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E01DFE" w14:textId="66B8EBAD" w:rsidR="0079355D" w:rsidRPr="00B01F9E" w:rsidRDefault="00B979AC" w:rsidP="0079355D">
      <w:pPr>
        <w:rPr>
          <w:rFonts w:ascii="Arial" w:hAnsi="Arial" w:cs="Arial"/>
          <w:sz w:val="20"/>
          <w:szCs w:val="20"/>
        </w:rPr>
      </w:pPr>
      <w:r w:rsidRPr="00B01F9E">
        <w:rPr>
          <w:rFonts w:ascii="Arial" w:hAnsi="Arial" w:cs="Arial"/>
          <w:noProof/>
          <w:sz w:val="20"/>
          <w:szCs w:val="20"/>
        </w:rPr>
        <w:drawing>
          <wp:anchor distT="0" distB="0" distL="114300" distR="114300" simplePos="0" relativeHeight="251658266" behindDoc="1" locked="0" layoutInCell="1" allowOverlap="1" wp14:anchorId="3971E083" wp14:editId="6DCE74DC">
            <wp:simplePos x="0" y="0"/>
            <wp:positionH relativeFrom="page">
              <wp:posOffset>1</wp:posOffset>
            </wp:positionH>
            <wp:positionV relativeFrom="paragraph">
              <wp:posOffset>-1315085</wp:posOffset>
            </wp:positionV>
            <wp:extent cx="7772400" cy="10389235"/>
            <wp:effectExtent l="0" t="0" r="0" b="0"/>
            <wp:wrapNone/>
            <wp:docPr id="8" name="Picture 8" descr="A scientist working in a laborat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cientist working in a laboratory&#10;&#10;Description automatically generated"/>
                    <pic:cNvPicPr/>
                  </pic:nvPicPr>
                  <pic:blipFill rotWithShape="1">
                    <a:blip r:embed="rId11">
                      <a:extLst>
                        <a:ext uri="{28A0092B-C50C-407E-A947-70E740481C1C}">
                          <a14:useLocalDpi xmlns:a14="http://schemas.microsoft.com/office/drawing/2010/main" val="0"/>
                        </a:ext>
                      </a:extLst>
                    </a:blip>
                    <a:srcRect r="12195"/>
                    <a:stretch/>
                  </pic:blipFill>
                  <pic:spPr bwMode="auto">
                    <a:xfrm>
                      <a:off x="0" y="0"/>
                      <a:ext cx="7772425" cy="103892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DFB36F" w14:textId="5F36271C" w:rsidR="00A47AB2" w:rsidRPr="00B01F9E" w:rsidRDefault="003F35E6" w:rsidP="0079355D">
      <w:pPr>
        <w:rPr>
          <w:rFonts w:ascii="Arial" w:hAnsi="Arial" w:cs="Arial"/>
          <w:sz w:val="20"/>
          <w:szCs w:val="20"/>
        </w:rPr>
      </w:pPr>
      <w:r w:rsidRPr="00B01F9E">
        <w:rPr>
          <w:rFonts w:ascii="Arial" w:hAnsi="Arial" w:cs="Arial"/>
          <w:noProof/>
          <w:sz w:val="20"/>
          <w:szCs w:val="20"/>
        </w:rPr>
        <mc:AlternateContent>
          <mc:Choice Requires="wps">
            <w:drawing>
              <wp:anchor distT="0" distB="0" distL="114300" distR="114300" simplePos="0" relativeHeight="251658265" behindDoc="0" locked="0" layoutInCell="1" allowOverlap="1" wp14:anchorId="26A18304" wp14:editId="385BBAB4">
                <wp:simplePos x="0" y="0"/>
                <wp:positionH relativeFrom="margin">
                  <wp:posOffset>359410</wp:posOffset>
                </wp:positionH>
                <wp:positionV relativeFrom="margin">
                  <wp:posOffset>304056</wp:posOffset>
                </wp:positionV>
                <wp:extent cx="5224780" cy="6649720"/>
                <wp:effectExtent l="0" t="0" r="0" b="0"/>
                <wp:wrapThrough wrapText="bothSides">
                  <wp:wrapPolygon edited="0">
                    <wp:start x="0" y="0"/>
                    <wp:lineTo x="0" y="21534"/>
                    <wp:lineTo x="21500" y="21534"/>
                    <wp:lineTo x="21500" y="0"/>
                    <wp:lineTo x="0" y="0"/>
                  </wp:wrapPolygon>
                </wp:wrapThrough>
                <wp:docPr id="2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24780" cy="6649720"/>
                        </a:xfrm>
                        <a:prstGeom prst="rect">
                          <a:avLst/>
                        </a:prstGeom>
                        <a:solidFill>
                          <a:schemeClr val="bg1">
                            <a:alpha val="80000"/>
                          </a:schemeClr>
                        </a:solidFill>
                        <a:ln>
                          <a:noFill/>
                        </a:ln>
                      </wps:spPr>
                      <wps:txbx>
                        <w:txbxContent>
                          <w:p w14:paraId="7CA117C6" w14:textId="77777777" w:rsidR="00B979AC" w:rsidRDefault="00B979AC" w:rsidP="00B979AC">
                            <w:pPr>
                              <w:pStyle w:val="Date"/>
                              <w:spacing w:line="360" w:lineRule="auto"/>
                              <w:rPr>
                                <w:rFonts w:ascii="Arial" w:hAnsi="Arial" w:cs="Arial"/>
                              </w:rPr>
                            </w:pPr>
                            <w:r>
                              <w:rPr>
                                <w:noProof/>
                              </w:rPr>
                              <w:drawing>
                                <wp:inline distT="0" distB="0" distL="0" distR="0" wp14:anchorId="245717D0" wp14:editId="3C39462D">
                                  <wp:extent cx="2946400" cy="502285"/>
                                  <wp:effectExtent l="0" t="0" r="6350" b="0"/>
                                  <wp:docPr id="1353005607" name="Picture 135300560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2946400" cy="502285"/>
                                          </a:xfrm>
                                          <a:prstGeom prst="rect">
                                            <a:avLst/>
                                          </a:prstGeom>
                                        </pic:spPr>
                                      </pic:pic>
                                    </a:graphicData>
                                  </a:graphic>
                                </wp:inline>
                              </w:drawing>
                            </w:r>
                          </w:p>
                          <w:p w14:paraId="4B19EF74" w14:textId="77777777" w:rsidR="00B979AC" w:rsidRPr="003A6CB9" w:rsidRDefault="00B979AC" w:rsidP="00B979AC">
                            <w:pPr>
                              <w:spacing w:line="360" w:lineRule="auto"/>
                            </w:pPr>
                          </w:p>
                          <w:p w14:paraId="3D041DF7" w14:textId="77777777" w:rsidR="00B979AC" w:rsidRPr="003A6CB9" w:rsidRDefault="00B979AC" w:rsidP="00B979AC">
                            <w:pPr>
                              <w:spacing w:line="360" w:lineRule="auto"/>
                            </w:pPr>
                          </w:p>
                          <w:p w14:paraId="61FE6AFD" w14:textId="77777777" w:rsidR="00B979AC" w:rsidRPr="003A5643" w:rsidRDefault="00B979AC" w:rsidP="00B979AC">
                            <w:pPr>
                              <w:pStyle w:val="Date"/>
                              <w:pBdr>
                                <w:top w:val="single" w:sz="4" w:space="25" w:color="7B8186" w:themeColor="background1" w:themeShade="A6"/>
                              </w:pBdr>
                              <w:spacing w:line="360" w:lineRule="auto"/>
                              <w:rPr>
                                <w:rFonts w:ascii="Arial" w:hAnsi="Arial" w:cs="Arial"/>
                                <w:color w:val="009BBF"/>
                              </w:rPr>
                            </w:pPr>
                            <w:r w:rsidRPr="003A5643">
                              <w:rPr>
                                <w:rFonts w:ascii="Arial" w:hAnsi="Arial" w:cs="Arial"/>
                                <w:color w:val="009BBF"/>
                              </w:rPr>
                              <w:t>FDA BAA</w:t>
                            </w:r>
                            <w:r>
                              <w:rPr>
                                <w:rFonts w:ascii="Arial" w:hAnsi="Arial" w:cs="Arial"/>
                                <w:color w:val="009BBF"/>
                              </w:rPr>
                              <w:t xml:space="preserve"> Year 2</w:t>
                            </w:r>
                            <w:r w:rsidRPr="003A5643">
                              <w:rPr>
                                <w:rFonts w:ascii="Arial" w:hAnsi="Arial" w:cs="Arial"/>
                                <w:color w:val="009BBF"/>
                              </w:rPr>
                              <w:t xml:space="preserve"> | September 2024 </w:t>
                            </w:r>
                          </w:p>
                          <w:p w14:paraId="785B5914" w14:textId="77777777" w:rsidR="00B979AC" w:rsidRPr="003A5643" w:rsidRDefault="00B979AC" w:rsidP="00B979AC">
                            <w:pPr>
                              <w:spacing w:line="480" w:lineRule="auto"/>
                              <w:rPr>
                                <w:color w:val="009BBF"/>
                              </w:rPr>
                            </w:pPr>
                          </w:p>
                          <w:p w14:paraId="6375470E" w14:textId="77777777" w:rsidR="00B979AC" w:rsidRPr="003A5643" w:rsidRDefault="00B979AC" w:rsidP="00B979AC">
                            <w:pPr>
                              <w:pStyle w:val="Title"/>
                              <w:spacing w:line="240" w:lineRule="auto"/>
                              <w:rPr>
                                <w:color w:val="009BBF"/>
                                <w:spacing w:val="0"/>
                              </w:rPr>
                            </w:pPr>
                            <w:r w:rsidRPr="003A5643">
                              <w:rPr>
                                <w:color w:val="009BBF"/>
                                <w:spacing w:val="0"/>
                              </w:rPr>
                              <w:t>In Vitro Diagnostic Encoded Test Result Data Validation and Quality Improvement</w:t>
                            </w:r>
                            <w:r>
                              <w:rPr>
                                <w:color w:val="009BBF"/>
                                <w:spacing w:val="0"/>
                              </w:rPr>
                              <w:t xml:space="preserve"> </w:t>
                            </w:r>
                          </w:p>
                          <w:p w14:paraId="2533C86B" w14:textId="77777777" w:rsidR="00B979AC" w:rsidRPr="00EC5F75" w:rsidRDefault="00B979AC" w:rsidP="00B979AC">
                            <w:pPr>
                              <w:pStyle w:val="Subtitle"/>
                              <w:spacing w:line="240" w:lineRule="auto"/>
                              <w:rPr>
                                <w:spacing w:val="0"/>
                                <w:sz w:val="24"/>
                                <w:szCs w:val="20"/>
                              </w:rPr>
                            </w:pPr>
                            <w:r w:rsidRPr="00EC5F75">
                              <w:rPr>
                                <w:spacing w:val="0"/>
                                <w:sz w:val="24"/>
                                <w:szCs w:val="20"/>
                              </w:rPr>
                              <w:t xml:space="preserve">Proof of Concept and Analysis Normal Form Evaluation </w:t>
                            </w:r>
                          </w:p>
                          <w:p w14:paraId="4E9C6CAA" w14:textId="77777777" w:rsidR="00B979AC" w:rsidRDefault="00B979AC" w:rsidP="00B979AC">
                            <w:pPr>
                              <w:pStyle w:val="Subtitle"/>
                              <w:spacing w:line="240" w:lineRule="auto"/>
                              <w:rPr>
                                <w:spacing w:val="0"/>
                                <w:sz w:val="24"/>
                                <w:szCs w:val="20"/>
                              </w:rPr>
                            </w:pPr>
                            <w:r w:rsidRPr="00EC5F75">
                              <w:rPr>
                                <w:spacing w:val="0"/>
                                <w:sz w:val="24"/>
                                <w:szCs w:val="20"/>
                              </w:rPr>
                              <w:t xml:space="preserve">Final Report – </w:t>
                            </w:r>
                            <w:r>
                              <w:rPr>
                                <w:spacing w:val="0"/>
                                <w:sz w:val="24"/>
                                <w:szCs w:val="20"/>
                              </w:rPr>
                              <w:t>FDABAA</w:t>
                            </w:r>
                            <w:r>
                              <w:t xml:space="preserve"> </w:t>
                            </w:r>
                            <w:r>
                              <w:rPr>
                                <w:spacing w:val="0"/>
                                <w:sz w:val="24"/>
                                <w:szCs w:val="20"/>
                              </w:rPr>
                              <w:t>#</w:t>
                            </w:r>
                            <w:r w:rsidRPr="00F6271A">
                              <w:rPr>
                                <w:spacing w:val="0"/>
                                <w:sz w:val="24"/>
                                <w:szCs w:val="20"/>
                              </w:rPr>
                              <w:t>75F40122C00179</w:t>
                            </w:r>
                          </w:p>
                          <w:p w14:paraId="62018DA6" w14:textId="77777777" w:rsidR="00B979AC" w:rsidRPr="004E7799" w:rsidRDefault="00B979AC" w:rsidP="00B979AC"/>
                          <w:p w14:paraId="70A3F59D" w14:textId="77777777" w:rsidR="00B979AC" w:rsidRPr="00507FCE" w:rsidRDefault="00B979AC" w:rsidP="00B979AC">
                            <w:pPr>
                              <w:spacing w:line="360" w:lineRule="auto"/>
                              <w:rPr>
                                <w:rFonts w:ascii="Arial" w:hAnsi="Arial" w:cs="Arial"/>
                                <w:color w:val="808080"/>
                                <w:sz w:val="24"/>
                                <w:szCs w:val="24"/>
                              </w:rPr>
                            </w:pPr>
                            <w:r w:rsidRPr="00507FCE">
                              <w:rPr>
                                <w:rFonts w:ascii="Arial" w:hAnsi="Arial" w:cs="Arial"/>
                                <w:color w:val="808080"/>
                                <w:sz w:val="24"/>
                                <w:szCs w:val="24"/>
                              </w:rPr>
                              <w:t xml:space="preserve">Prime Author: The College of American Pathologists </w:t>
                            </w:r>
                          </w:p>
                          <w:p w14:paraId="5D127FD8" w14:textId="77777777" w:rsidR="00B979AC" w:rsidRDefault="00B979AC" w:rsidP="00B979AC">
                            <w:pPr>
                              <w:spacing w:line="360" w:lineRule="auto"/>
                            </w:pPr>
                          </w:p>
                          <w:p w14:paraId="29BF6C65" w14:textId="77777777" w:rsidR="00B979AC" w:rsidRDefault="00B979AC" w:rsidP="00B979AC">
                            <w:pPr>
                              <w:spacing w:line="360" w:lineRule="auto"/>
                            </w:pPr>
                          </w:p>
                          <w:p w14:paraId="2FAE19E3" w14:textId="77777777" w:rsidR="00B979AC" w:rsidRDefault="00B979AC" w:rsidP="00B979AC">
                            <w:pPr>
                              <w:spacing w:line="360" w:lineRule="auto"/>
                            </w:pPr>
                          </w:p>
                          <w:p w14:paraId="4523DFF9" w14:textId="77777777" w:rsidR="00B979AC" w:rsidRPr="003A6CB9" w:rsidRDefault="00B979AC" w:rsidP="00B979AC">
                            <w:pPr>
                              <w:spacing w:line="360" w:lineRule="auto"/>
                            </w:pPr>
                          </w:p>
                          <w:p w14:paraId="0C542A61" w14:textId="77777777" w:rsidR="00B979AC" w:rsidRPr="003A6CB9" w:rsidRDefault="00B979AC" w:rsidP="00B979AC">
                            <w:pPr>
                              <w:pBdr>
                                <w:top w:val="single" w:sz="4" w:space="25" w:color="7B8186" w:themeColor="background1" w:themeShade="A6"/>
                              </w:pBdr>
                              <w:spacing w:line="360" w:lineRule="auto"/>
                              <w:rPr>
                                <w:sz w:val="14"/>
                                <w:szCs w:val="16"/>
                              </w:rPr>
                            </w:pPr>
                            <w:r w:rsidRPr="003A6CB9">
                              <w:rPr>
                                <w:sz w:val="14"/>
                                <w:szCs w:val="16"/>
                              </w:rPr>
                              <w:t>College of American Pathologists | 325 Waukegan Rd. | Northfield, IL 60093 | 800-323-4040 | cap.org</w:t>
                            </w:r>
                          </w:p>
                          <w:p w14:paraId="13EA7354" w14:textId="77777777" w:rsidR="00B979AC" w:rsidRDefault="00B979AC" w:rsidP="00B979AC">
                            <w:pPr>
                              <w:jc w:val="center"/>
                            </w:pPr>
                          </w:p>
                        </w:txbxContent>
                      </wps:txbx>
                      <wps:bodyPr rot="0" vert="horz" wrap="square" lIns="457200" tIns="457200" rIns="457200" bIns="45720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A18304" id="Rectangle 3" o:spid="_x0000_s1026" style="position:absolute;margin-left:28.3pt;margin-top:23.95pt;width:411.4pt;height:523.6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" fillcolor="#c3c6c8 [3212]" stroked="f">
                <v:fill opacity="52428f"/>
                <v:textbox inset="36pt,36pt,36pt,36pt">
                  <w:txbxContent>
                    <w:p w14:paraId="7CA117C6" w14:textId="77777777" w:rsidR="00B979AC" w:rsidRDefault="00B979AC" w:rsidP="00B979AC">
                      <w:pPr>
                        <w:pStyle w:val="Date"/>
                        <w:spacing w:line="360" w:lineRule="auto"/>
                        <w:rPr>
                          <w:rFonts w:ascii="Arial" w:hAnsi="Arial" w:cs="Arial"/>
                        </w:rPr>
                      </w:pPr>
                      <w:r>
                        <w:rPr>
                          <w:noProof/>
                        </w:rPr>
                        <w:drawing>
                          <wp:inline distT="0" distB="0" distL="0" distR="0" wp14:anchorId="245717D0" wp14:editId="3C39462D">
                            <wp:extent cx="2946400" cy="502285"/>
                            <wp:effectExtent l="0" t="0" r="6350" b="0"/>
                            <wp:docPr id="1353005607" name="Picture 135300560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extLst>
                                        <a:ext uri="{28A0092B-C50C-407E-A947-70E740481C1C}">
                                          <a14:useLocalDpi xmlns:a14="http://schemas.microsoft.com/office/drawing/2010/main" val="0"/>
                                        </a:ext>
                                      </a:extLst>
                                    </a:blip>
                                    <a:stretch>
                                      <a:fillRect/>
                                    </a:stretch>
                                  </pic:blipFill>
                                  <pic:spPr>
                                    <a:xfrm>
                                      <a:off x="0" y="0"/>
                                      <a:ext cx="2946400" cy="502285"/>
                                    </a:xfrm>
                                    <a:prstGeom prst="rect">
                                      <a:avLst/>
                                    </a:prstGeom>
                                  </pic:spPr>
                                </pic:pic>
                              </a:graphicData>
                            </a:graphic>
                          </wp:inline>
                        </w:drawing>
                      </w:r>
                    </w:p>
                    <w:p w14:paraId="4B19EF74" w14:textId="77777777" w:rsidR="00B979AC" w:rsidRPr="003A6CB9" w:rsidRDefault="00B979AC" w:rsidP="00B979AC">
                      <w:pPr>
                        <w:spacing w:line="360" w:lineRule="auto"/>
                      </w:pPr>
                    </w:p>
                    <w:p w14:paraId="3D041DF7" w14:textId="77777777" w:rsidR="00B979AC" w:rsidRPr="003A6CB9" w:rsidRDefault="00B979AC" w:rsidP="00B979AC">
                      <w:pPr>
                        <w:spacing w:line="360" w:lineRule="auto"/>
                      </w:pPr>
                    </w:p>
                    <w:p w14:paraId="61FE6AFD" w14:textId="77777777" w:rsidR="00B979AC" w:rsidRPr="003A5643" w:rsidRDefault="00B979AC" w:rsidP="00B979AC">
                      <w:pPr>
                        <w:pStyle w:val="Date"/>
                        <w:pBdr>
                          <w:top w:val="single" w:sz="4" w:space="25" w:color="7B8186" w:themeColor="background1" w:themeShade="A6"/>
                        </w:pBdr>
                        <w:spacing w:line="360" w:lineRule="auto"/>
                        <w:rPr>
                          <w:rFonts w:ascii="Arial" w:hAnsi="Arial" w:cs="Arial"/>
                          <w:color w:val="009BBF"/>
                        </w:rPr>
                      </w:pPr>
                      <w:r w:rsidRPr="003A5643">
                        <w:rPr>
                          <w:rFonts w:ascii="Arial" w:hAnsi="Arial" w:cs="Arial"/>
                          <w:color w:val="009BBF"/>
                        </w:rPr>
                        <w:t>FDA BAA</w:t>
                      </w:r>
                      <w:r>
                        <w:rPr>
                          <w:rFonts w:ascii="Arial" w:hAnsi="Arial" w:cs="Arial"/>
                          <w:color w:val="009BBF"/>
                        </w:rPr>
                        <w:t xml:space="preserve"> Year 2</w:t>
                      </w:r>
                      <w:r w:rsidRPr="003A5643">
                        <w:rPr>
                          <w:rFonts w:ascii="Arial" w:hAnsi="Arial" w:cs="Arial"/>
                          <w:color w:val="009BBF"/>
                        </w:rPr>
                        <w:t xml:space="preserve"> | September 2024 </w:t>
                      </w:r>
                    </w:p>
                    <w:p w14:paraId="785B5914" w14:textId="77777777" w:rsidR="00B979AC" w:rsidRPr="003A5643" w:rsidRDefault="00B979AC" w:rsidP="00B979AC">
                      <w:pPr>
                        <w:spacing w:line="480" w:lineRule="auto"/>
                        <w:rPr>
                          <w:color w:val="009BBF"/>
                        </w:rPr>
                      </w:pPr>
                    </w:p>
                    <w:p w14:paraId="6375470E" w14:textId="77777777" w:rsidR="00B979AC" w:rsidRPr="003A5643" w:rsidRDefault="00B979AC" w:rsidP="00B979AC">
                      <w:pPr>
                        <w:pStyle w:val="Title"/>
                        <w:spacing w:line="240" w:lineRule="auto"/>
                        <w:rPr>
                          <w:color w:val="009BBF"/>
                          <w:spacing w:val="0"/>
                        </w:rPr>
                      </w:pPr>
                      <w:r w:rsidRPr="003A5643">
                        <w:rPr>
                          <w:color w:val="009BBF"/>
                          <w:spacing w:val="0"/>
                        </w:rPr>
                        <w:t>In Vitro Diagnostic Encoded Test Result Data Validation and Quality Improvement</w:t>
                      </w:r>
                      <w:r>
                        <w:rPr>
                          <w:color w:val="009BBF"/>
                          <w:spacing w:val="0"/>
                        </w:rPr>
                        <w:t xml:space="preserve"> </w:t>
                      </w:r>
                    </w:p>
                    <w:p w14:paraId="2533C86B" w14:textId="77777777" w:rsidR="00B979AC" w:rsidRPr="00EC5F75" w:rsidRDefault="00B979AC" w:rsidP="00B979AC">
                      <w:pPr>
                        <w:pStyle w:val="Subtitle"/>
                        <w:spacing w:line="240" w:lineRule="auto"/>
                        <w:rPr>
                          <w:spacing w:val="0"/>
                          <w:sz w:val="24"/>
                          <w:szCs w:val="20"/>
                        </w:rPr>
                      </w:pPr>
                      <w:r w:rsidRPr="00EC5F75">
                        <w:rPr>
                          <w:spacing w:val="0"/>
                          <w:sz w:val="24"/>
                          <w:szCs w:val="20"/>
                        </w:rPr>
                        <w:t xml:space="preserve">Proof of Concept and Analysis Normal Form Evaluation </w:t>
                      </w:r>
                    </w:p>
                    <w:p w14:paraId="4E9C6CAA" w14:textId="77777777" w:rsidR="00B979AC" w:rsidRDefault="00B979AC" w:rsidP="00B979AC">
                      <w:pPr>
                        <w:pStyle w:val="Subtitle"/>
                        <w:spacing w:line="240" w:lineRule="auto"/>
                        <w:rPr>
                          <w:spacing w:val="0"/>
                          <w:sz w:val="24"/>
                          <w:szCs w:val="20"/>
                        </w:rPr>
                      </w:pPr>
                      <w:r w:rsidRPr="00EC5F75">
                        <w:rPr>
                          <w:spacing w:val="0"/>
                          <w:sz w:val="24"/>
                          <w:szCs w:val="20"/>
                        </w:rPr>
                        <w:t xml:space="preserve">Final Report – </w:t>
                      </w:r>
                      <w:r>
                        <w:rPr>
                          <w:spacing w:val="0"/>
                          <w:sz w:val="24"/>
                          <w:szCs w:val="20"/>
                        </w:rPr>
                        <w:t>FDABAA</w:t>
                      </w:r>
                      <w:r>
                        <w:t xml:space="preserve"> </w:t>
                      </w:r>
                      <w:r>
                        <w:rPr>
                          <w:spacing w:val="0"/>
                          <w:sz w:val="24"/>
                          <w:szCs w:val="20"/>
                        </w:rPr>
                        <w:t>#</w:t>
                      </w:r>
                      <w:r w:rsidRPr="00F6271A">
                        <w:rPr>
                          <w:spacing w:val="0"/>
                          <w:sz w:val="24"/>
                          <w:szCs w:val="20"/>
                        </w:rPr>
                        <w:t>75F40122C00179</w:t>
                      </w:r>
                    </w:p>
                    <w:p w14:paraId="62018DA6" w14:textId="77777777" w:rsidR="00B979AC" w:rsidRPr="004E7799" w:rsidRDefault="00B979AC" w:rsidP="00B979AC"/>
                    <w:p w14:paraId="70A3F59D" w14:textId="77777777" w:rsidR="00B979AC" w:rsidRPr="00507FCE" w:rsidRDefault="00B979AC" w:rsidP="00B979AC">
                      <w:pPr>
                        <w:spacing w:line="360" w:lineRule="auto"/>
                        <w:rPr>
                          <w:rFonts w:ascii="Arial" w:hAnsi="Arial" w:cs="Arial"/>
                          <w:color w:val="808080"/>
                          <w:sz w:val="24"/>
                          <w:szCs w:val="24"/>
                        </w:rPr>
                      </w:pPr>
                      <w:r w:rsidRPr="00507FCE">
                        <w:rPr>
                          <w:rFonts w:ascii="Arial" w:hAnsi="Arial" w:cs="Arial"/>
                          <w:color w:val="808080"/>
                          <w:sz w:val="24"/>
                          <w:szCs w:val="24"/>
                        </w:rPr>
                        <w:t xml:space="preserve">Prime Author: The College of American Pathologists </w:t>
                      </w:r>
                    </w:p>
                    <w:p w14:paraId="5D127FD8" w14:textId="77777777" w:rsidR="00B979AC" w:rsidRDefault="00B979AC" w:rsidP="00B979AC">
                      <w:pPr>
                        <w:spacing w:line="360" w:lineRule="auto"/>
                      </w:pPr>
                    </w:p>
                    <w:p w14:paraId="29BF6C65" w14:textId="77777777" w:rsidR="00B979AC" w:rsidRDefault="00B979AC" w:rsidP="00B979AC">
                      <w:pPr>
                        <w:spacing w:line="360" w:lineRule="auto"/>
                      </w:pPr>
                    </w:p>
                    <w:p w14:paraId="2FAE19E3" w14:textId="77777777" w:rsidR="00B979AC" w:rsidRDefault="00B979AC" w:rsidP="00B979AC">
                      <w:pPr>
                        <w:spacing w:line="360" w:lineRule="auto"/>
                      </w:pPr>
                    </w:p>
                    <w:p w14:paraId="4523DFF9" w14:textId="77777777" w:rsidR="00B979AC" w:rsidRPr="003A6CB9" w:rsidRDefault="00B979AC" w:rsidP="00B979AC">
                      <w:pPr>
                        <w:spacing w:line="360" w:lineRule="auto"/>
                      </w:pPr>
                    </w:p>
                    <w:p w14:paraId="0C542A61" w14:textId="77777777" w:rsidR="00B979AC" w:rsidRPr="003A6CB9" w:rsidRDefault="00B979AC" w:rsidP="00B979AC">
                      <w:pPr>
                        <w:pBdr>
                          <w:top w:val="single" w:sz="4" w:space="25" w:color="7B8186" w:themeColor="background1" w:themeShade="A6"/>
                        </w:pBdr>
                        <w:spacing w:line="360" w:lineRule="auto"/>
                        <w:rPr>
                          <w:sz w:val="14"/>
                          <w:szCs w:val="16"/>
                        </w:rPr>
                      </w:pPr>
                      <w:r w:rsidRPr="003A6CB9">
                        <w:rPr>
                          <w:sz w:val="14"/>
                          <w:szCs w:val="16"/>
                        </w:rPr>
                        <w:t>College of American Pathologists | 325 Waukegan Rd. | Northfield, IL 60093 | 800-323-4040 | cap.org</w:t>
                      </w:r>
                    </w:p>
                    <w:p w14:paraId="13EA7354" w14:textId="77777777" w:rsidR="00B979AC" w:rsidRDefault="00B979AC" w:rsidP="00B979AC">
                      <w:pPr>
                        <w:jc w:val="center"/>
                      </w:pPr>
                    </w:p>
                  </w:txbxContent>
                </v:textbox>
                <w10:wrap type="through" anchorx="margin" anchory="margin"/>
              </v:rect>
            </w:pict>
          </mc:Fallback>
        </mc:AlternateContent>
      </w:r>
    </w:p>
    <w:p w14:paraId="40096241" w14:textId="47C0D0CD" w:rsidR="00A47AB2" w:rsidRPr="00B01F9E" w:rsidRDefault="00A47AB2" w:rsidP="0079355D">
      <w:pPr>
        <w:rPr>
          <w:rFonts w:ascii="Arial" w:hAnsi="Arial" w:cs="Arial"/>
          <w:sz w:val="20"/>
          <w:szCs w:val="20"/>
        </w:rPr>
      </w:pPr>
    </w:p>
    <w:p w14:paraId="2FB3DB2D" w14:textId="75A9BF34" w:rsidR="00A47AB2" w:rsidRPr="00B01F9E" w:rsidRDefault="00A47AB2" w:rsidP="0079355D">
      <w:pPr>
        <w:rPr>
          <w:rFonts w:ascii="Arial" w:hAnsi="Arial" w:cs="Arial"/>
          <w:sz w:val="20"/>
          <w:szCs w:val="20"/>
        </w:rPr>
      </w:pPr>
    </w:p>
    <w:p w14:paraId="7033C60E" w14:textId="2810A91D" w:rsidR="00A47AB2" w:rsidRPr="00B01F9E" w:rsidRDefault="00A47AB2" w:rsidP="0079355D">
      <w:pPr>
        <w:rPr>
          <w:rFonts w:ascii="Arial" w:hAnsi="Arial" w:cs="Arial"/>
          <w:sz w:val="20"/>
          <w:szCs w:val="20"/>
        </w:rPr>
      </w:pPr>
    </w:p>
    <w:p w14:paraId="06247771" w14:textId="44F54129" w:rsidR="00A47AB2" w:rsidRPr="00B01F9E" w:rsidRDefault="00A47AB2" w:rsidP="0079355D">
      <w:pPr>
        <w:rPr>
          <w:rFonts w:ascii="Arial" w:hAnsi="Arial" w:cs="Arial"/>
          <w:sz w:val="20"/>
          <w:szCs w:val="20"/>
        </w:rPr>
      </w:pPr>
    </w:p>
    <w:p w14:paraId="150C9B7F" w14:textId="77777777" w:rsidR="00A47AB2" w:rsidRPr="00B01F9E" w:rsidRDefault="00A47AB2" w:rsidP="0079355D">
      <w:pPr>
        <w:rPr>
          <w:rFonts w:ascii="Arial" w:hAnsi="Arial" w:cs="Arial"/>
          <w:sz w:val="20"/>
          <w:szCs w:val="20"/>
        </w:rPr>
      </w:pPr>
    </w:p>
    <w:p w14:paraId="278DA763" w14:textId="61BD2A37" w:rsidR="000F6FBC" w:rsidRPr="00B01F9E" w:rsidRDefault="000F6FBC" w:rsidP="0079355D">
      <w:pPr>
        <w:rPr>
          <w:rFonts w:ascii="Arial" w:hAnsi="Arial" w:cs="Arial"/>
          <w:sz w:val="20"/>
          <w:szCs w:val="20"/>
        </w:rPr>
      </w:pPr>
    </w:p>
    <w:p w14:paraId="33EE33F8" w14:textId="1DFFCCDC" w:rsidR="00F67A7F" w:rsidRPr="00B01F9E" w:rsidRDefault="00F67A7F" w:rsidP="00510410">
      <w:pPr>
        <w:spacing w:line="240" w:lineRule="auto"/>
        <w:rPr>
          <w:rFonts w:ascii="Arial" w:hAnsi="Arial" w:cs="Arial"/>
          <w:sz w:val="20"/>
          <w:szCs w:val="20"/>
        </w:rPr>
      </w:pPr>
    </w:p>
    <w:sdt>
      <w:sdtPr>
        <w:rPr>
          <w:rFonts w:ascii="Arial" w:eastAsiaTheme="minorEastAsia" w:hAnsi="Arial" w:cs="Arial"/>
          <w:color w:val="auto"/>
          <w:sz w:val="20"/>
          <w:szCs w:val="20"/>
        </w:rPr>
        <w:id w:val="1771976187"/>
        <w:docPartObj>
          <w:docPartGallery w:val="Table of Contents"/>
          <w:docPartUnique/>
        </w:docPartObj>
      </w:sdtPr>
      <w:sdtEndPr>
        <w:rPr>
          <w:b/>
        </w:rPr>
      </w:sdtEndPr>
      <w:sdtContent>
        <w:p w14:paraId="11B05E47" w14:textId="0CE5C3A1" w:rsidR="000F6FBC" w:rsidRPr="00B01F9E" w:rsidRDefault="000F6FBC" w:rsidP="003F35E6">
          <w:pPr>
            <w:pStyle w:val="TOCHeading"/>
            <w:rPr>
              <w:rFonts w:ascii="Arial" w:eastAsiaTheme="minorEastAsia" w:hAnsi="Arial" w:cs="Arial"/>
              <w:color w:val="auto"/>
              <w:sz w:val="20"/>
              <w:szCs w:val="20"/>
            </w:rPr>
          </w:pPr>
          <w:r w:rsidRPr="00B01F9E">
            <w:rPr>
              <w:rFonts w:ascii="Arial" w:eastAsiaTheme="minorEastAsia" w:hAnsi="Arial" w:cs="Arial"/>
              <w:color w:val="auto"/>
              <w:sz w:val="20"/>
              <w:szCs w:val="20"/>
            </w:rPr>
            <w:br w:type="page"/>
          </w:r>
        </w:p>
        <w:p w14:paraId="3FB38C71" w14:textId="3504BC16" w:rsidR="00C70F31" w:rsidRPr="00B01F9E" w:rsidRDefault="00FE7C20">
          <w:pPr>
            <w:pStyle w:val="TOCHeading"/>
            <w:rPr>
              <w:rFonts w:ascii="Arial" w:hAnsi="Arial" w:cs="Arial"/>
              <w:b/>
              <w:color w:val="009ABF" w:themeColor="text1"/>
              <w:sz w:val="20"/>
              <w:szCs w:val="20"/>
            </w:rPr>
          </w:pPr>
          <w:r w:rsidRPr="00B01F9E">
            <w:rPr>
              <w:rFonts w:ascii="Arial" w:hAnsi="Arial" w:cs="Arial"/>
              <w:b/>
              <w:color w:val="009ABF" w:themeColor="text1"/>
              <w:sz w:val="20"/>
              <w:szCs w:val="20"/>
            </w:rPr>
            <w:lastRenderedPageBreak/>
            <w:t>TABLE OF CONTENTS</w:t>
          </w:r>
        </w:p>
        <w:p w14:paraId="148D89AF" w14:textId="4DAE6E58" w:rsidR="00C23DE3" w:rsidRPr="00B01F9E" w:rsidRDefault="00C70F31">
          <w:pPr>
            <w:pStyle w:val="TOC1"/>
            <w:tabs>
              <w:tab w:val="left" w:pos="440"/>
              <w:tab w:val="right" w:leader="dot" w:pos="9350"/>
            </w:tabs>
            <w:rPr>
              <w:rFonts w:ascii="Arial" w:eastAsiaTheme="minorEastAsia" w:hAnsi="Arial" w:cs="Arial"/>
              <w:noProof/>
              <w:kern w:val="2"/>
              <w:sz w:val="20"/>
              <w:szCs w:val="20"/>
              <w14:ligatures w14:val="standardContextual"/>
            </w:rPr>
          </w:pPr>
          <w:r w:rsidRPr="00B01F9E">
            <w:rPr>
              <w:rFonts w:ascii="Arial" w:hAnsi="Arial" w:cs="Arial"/>
              <w:sz w:val="20"/>
              <w:szCs w:val="20"/>
            </w:rPr>
            <w:fldChar w:fldCharType="begin"/>
          </w:r>
          <w:r w:rsidRPr="00B01F9E">
            <w:rPr>
              <w:rFonts w:ascii="Arial" w:hAnsi="Arial" w:cs="Arial"/>
              <w:sz w:val="20"/>
              <w:szCs w:val="20"/>
            </w:rPr>
            <w:instrText xml:space="preserve"> TOC \o "1-3" \h \z \u </w:instrText>
          </w:r>
          <w:r w:rsidRPr="00B01F9E">
            <w:rPr>
              <w:rFonts w:ascii="Arial" w:hAnsi="Arial" w:cs="Arial"/>
              <w:sz w:val="20"/>
              <w:szCs w:val="20"/>
            </w:rPr>
            <w:fldChar w:fldCharType="separate"/>
          </w:r>
          <w:hyperlink w:anchor="_Toc177136978" w:history="1">
            <w:r w:rsidR="00C23DE3" w:rsidRPr="00B01F9E">
              <w:rPr>
                <w:rStyle w:val="Hyperlink"/>
                <w:rFonts w:ascii="Arial" w:hAnsi="Arial" w:cs="Arial"/>
                <w:noProof/>
                <w:sz w:val="20"/>
                <w:szCs w:val="20"/>
              </w:rPr>
              <w:t>1.</w:t>
            </w:r>
            <w:r w:rsidR="00396DCF" w:rsidRPr="00B01F9E">
              <w:rPr>
                <w:rFonts w:ascii="Arial" w:eastAsiaTheme="minorEastAsia" w:hAnsi="Arial" w:cs="Arial"/>
                <w:noProof/>
                <w:kern w:val="2"/>
                <w:sz w:val="20"/>
                <w:szCs w:val="20"/>
                <w14:ligatures w14:val="standardContextual"/>
              </w:rPr>
              <w:t xml:space="preserve"> </w:t>
            </w:r>
            <w:r w:rsidR="00C23DE3" w:rsidRPr="00B01F9E">
              <w:rPr>
                <w:rStyle w:val="Hyperlink"/>
                <w:rFonts w:ascii="Arial" w:hAnsi="Arial" w:cs="Arial"/>
                <w:noProof/>
                <w:sz w:val="20"/>
                <w:szCs w:val="20"/>
              </w:rPr>
              <w:t>Executive Summary</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_Toc177136978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4</w:t>
            </w:r>
            <w:r w:rsidR="00C23DE3" w:rsidRPr="00B01F9E">
              <w:rPr>
                <w:rFonts w:ascii="Arial" w:hAnsi="Arial" w:cs="Arial"/>
                <w:noProof/>
                <w:webHidden/>
                <w:sz w:val="20"/>
                <w:szCs w:val="20"/>
              </w:rPr>
              <w:fldChar w:fldCharType="end"/>
            </w:r>
          </w:hyperlink>
        </w:p>
        <w:p w14:paraId="14E7A89D" w14:textId="3A9A8E7B" w:rsidR="00C23DE3" w:rsidRPr="00B01F9E" w:rsidRDefault="00000000">
          <w:pPr>
            <w:pStyle w:val="TOC1"/>
            <w:tabs>
              <w:tab w:val="left" w:pos="440"/>
              <w:tab w:val="right" w:leader="dot" w:pos="9350"/>
            </w:tabs>
            <w:rPr>
              <w:rFonts w:ascii="Arial" w:eastAsiaTheme="minorEastAsia" w:hAnsi="Arial" w:cs="Arial"/>
              <w:noProof/>
              <w:kern w:val="2"/>
              <w:sz w:val="20"/>
              <w:szCs w:val="20"/>
              <w14:ligatures w14:val="standardContextual"/>
            </w:rPr>
          </w:pPr>
          <w:hyperlink w:anchor="_Toc177136979" w:history="1">
            <w:r w:rsidR="00C23DE3" w:rsidRPr="00B01F9E">
              <w:rPr>
                <w:rStyle w:val="Hyperlink"/>
                <w:rFonts w:ascii="Arial" w:hAnsi="Arial" w:cs="Arial"/>
                <w:noProof/>
                <w:sz w:val="20"/>
                <w:szCs w:val="20"/>
              </w:rPr>
              <w:t>2.</w:t>
            </w:r>
            <w:r w:rsidR="00396DCF" w:rsidRPr="00B01F9E">
              <w:rPr>
                <w:rFonts w:ascii="Arial" w:eastAsiaTheme="minorEastAsia" w:hAnsi="Arial" w:cs="Arial"/>
                <w:noProof/>
                <w:kern w:val="2"/>
                <w:sz w:val="20"/>
                <w:szCs w:val="20"/>
                <w14:ligatures w14:val="standardContextual"/>
              </w:rPr>
              <w:t xml:space="preserve"> </w:t>
            </w:r>
            <w:r w:rsidR="00C23DE3" w:rsidRPr="00B01F9E">
              <w:rPr>
                <w:rStyle w:val="Hyperlink"/>
                <w:rFonts w:ascii="Arial" w:hAnsi="Arial" w:cs="Arial"/>
                <w:noProof/>
                <w:sz w:val="20"/>
                <w:szCs w:val="20"/>
              </w:rPr>
              <w:t>Introduction</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_Toc177136979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5</w:t>
            </w:r>
            <w:r w:rsidR="00C23DE3" w:rsidRPr="00B01F9E">
              <w:rPr>
                <w:rFonts w:ascii="Arial" w:hAnsi="Arial" w:cs="Arial"/>
                <w:noProof/>
                <w:webHidden/>
                <w:sz w:val="20"/>
                <w:szCs w:val="20"/>
              </w:rPr>
              <w:fldChar w:fldCharType="end"/>
            </w:r>
          </w:hyperlink>
        </w:p>
        <w:p w14:paraId="163C3EB1" w14:textId="2A240EF1"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80" w:history="1">
            <w:r w:rsidR="00C23DE3" w:rsidRPr="00B01F9E">
              <w:rPr>
                <w:rStyle w:val="Hyperlink"/>
                <w:rFonts w:ascii="Arial" w:hAnsi="Arial" w:cs="Arial"/>
                <w:noProof/>
                <w:sz w:val="20"/>
                <w:szCs w:val="20"/>
              </w:rPr>
              <w:t>2.1 Data Accuracy and Transparency in the Laboratory</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_Toc177136980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7</w:t>
            </w:r>
            <w:r w:rsidR="00C23DE3" w:rsidRPr="00B01F9E">
              <w:rPr>
                <w:rFonts w:ascii="Arial" w:hAnsi="Arial" w:cs="Arial"/>
                <w:noProof/>
                <w:webHidden/>
                <w:sz w:val="20"/>
                <w:szCs w:val="20"/>
              </w:rPr>
              <w:fldChar w:fldCharType="end"/>
            </w:r>
          </w:hyperlink>
        </w:p>
        <w:p w14:paraId="203DD3DC" w14:textId="623E0029" w:rsidR="00C23DE3" w:rsidRPr="00B01F9E" w:rsidRDefault="00000000">
          <w:pPr>
            <w:pStyle w:val="TOC1"/>
            <w:tabs>
              <w:tab w:val="right" w:leader="dot" w:pos="9350"/>
            </w:tabs>
            <w:rPr>
              <w:rFonts w:ascii="Arial" w:eastAsiaTheme="minorEastAsia" w:hAnsi="Arial" w:cs="Arial"/>
              <w:noProof/>
              <w:kern w:val="2"/>
              <w:sz w:val="20"/>
              <w:szCs w:val="20"/>
              <w14:ligatures w14:val="standardContextual"/>
            </w:rPr>
          </w:pPr>
          <w:hyperlink w:anchor="_Toc177136981" w:history="1">
            <w:r w:rsidR="00C23DE3" w:rsidRPr="00B01F9E">
              <w:rPr>
                <w:rStyle w:val="Hyperlink"/>
                <w:rFonts w:ascii="Arial" w:hAnsi="Arial" w:cs="Arial"/>
                <w:noProof/>
                <w:sz w:val="20"/>
                <w:szCs w:val="20"/>
              </w:rPr>
              <w:t>3. In Vitro Diagnostic (IVD) Test Data Coding Quality Assurance Program Proof of Concept (POC)</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_Toc177136981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9</w:t>
            </w:r>
            <w:r w:rsidR="00C23DE3" w:rsidRPr="00B01F9E">
              <w:rPr>
                <w:rFonts w:ascii="Arial" w:hAnsi="Arial" w:cs="Arial"/>
                <w:noProof/>
                <w:webHidden/>
                <w:sz w:val="20"/>
                <w:szCs w:val="20"/>
              </w:rPr>
              <w:fldChar w:fldCharType="end"/>
            </w:r>
          </w:hyperlink>
        </w:p>
        <w:p w14:paraId="7EF5644D" w14:textId="2E2324EF"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82" w:history="1">
            <w:r w:rsidR="00C23DE3" w:rsidRPr="00B01F9E">
              <w:rPr>
                <w:rStyle w:val="Hyperlink"/>
                <w:rFonts w:ascii="Arial" w:hAnsi="Arial" w:cs="Arial"/>
                <w:noProof/>
                <w:sz w:val="20"/>
                <w:szCs w:val="20"/>
              </w:rPr>
              <w:t>3.1 Background and Overview</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_Toc177136982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9</w:t>
            </w:r>
            <w:r w:rsidR="00C23DE3" w:rsidRPr="00B01F9E">
              <w:rPr>
                <w:rFonts w:ascii="Arial" w:hAnsi="Arial" w:cs="Arial"/>
                <w:noProof/>
                <w:webHidden/>
                <w:sz w:val="20"/>
                <w:szCs w:val="20"/>
              </w:rPr>
              <w:fldChar w:fldCharType="end"/>
            </w:r>
          </w:hyperlink>
        </w:p>
        <w:p w14:paraId="2715E5D2" w14:textId="37B205AE"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83" w:history="1">
            <w:r w:rsidR="00C23DE3" w:rsidRPr="00B01F9E">
              <w:rPr>
                <w:rStyle w:val="Hyperlink"/>
                <w:rFonts w:ascii="Arial" w:hAnsi="Arial" w:cs="Arial"/>
                <w:noProof/>
                <w:sz w:val="20"/>
                <w:szCs w:val="20"/>
              </w:rPr>
              <w:t>3.2 Environment Development</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_Toc177136983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10</w:t>
            </w:r>
            <w:r w:rsidR="00C23DE3" w:rsidRPr="00B01F9E">
              <w:rPr>
                <w:rFonts w:ascii="Arial" w:hAnsi="Arial" w:cs="Arial"/>
                <w:noProof/>
                <w:webHidden/>
                <w:sz w:val="20"/>
                <w:szCs w:val="20"/>
              </w:rPr>
              <w:fldChar w:fldCharType="end"/>
            </w:r>
          </w:hyperlink>
        </w:p>
        <w:p w14:paraId="0E1E68E8" w14:textId="1F513301" w:rsidR="00C23DE3" w:rsidRPr="00B01F9E" w:rsidRDefault="00000000" w:rsidP="00C23DE3">
          <w:pPr>
            <w:pStyle w:val="TOC3"/>
            <w:rPr>
              <w:rFonts w:eastAsiaTheme="minorEastAsia"/>
              <w:kern w:val="2"/>
              <w14:ligatures w14:val="standardContextual"/>
            </w:rPr>
          </w:pPr>
          <w:hyperlink w:anchor="_Toc177136984" w:history="1">
            <w:r w:rsidR="00C23DE3" w:rsidRPr="00B01F9E">
              <w:rPr>
                <w:rStyle w:val="Hyperlink"/>
              </w:rPr>
              <w:t>3.2.1 Required Environment Set-Up of System Components</w:t>
            </w:r>
            <w:r w:rsidR="00C23DE3" w:rsidRPr="00B01F9E">
              <w:rPr>
                <w:webHidden/>
              </w:rPr>
              <w:tab/>
            </w:r>
            <w:r w:rsidR="00C23DE3" w:rsidRPr="00B01F9E">
              <w:rPr>
                <w:webHidden/>
              </w:rPr>
              <w:fldChar w:fldCharType="begin"/>
            </w:r>
            <w:r w:rsidR="00C23DE3" w:rsidRPr="00B01F9E">
              <w:rPr>
                <w:webHidden/>
              </w:rPr>
              <w:instrText xml:space="preserve"> PAGEREF _Toc177136984 \h </w:instrText>
            </w:r>
            <w:r w:rsidR="00C23DE3" w:rsidRPr="00B01F9E">
              <w:rPr>
                <w:webHidden/>
              </w:rPr>
            </w:r>
            <w:r w:rsidR="00C23DE3" w:rsidRPr="00B01F9E">
              <w:rPr>
                <w:webHidden/>
              </w:rPr>
              <w:fldChar w:fldCharType="separate"/>
            </w:r>
            <w:r w:rsidR="005232DA">
              <w:rPr>
                <w:webHidden/>
              </w:rPr>
              <w:t>12</w:t>
            </w:r>
            <w:r w:rsidR="00C23DE3" w:rsidRPr="00B01F9E">
              <w:rPr>
                <w:webHidden/>
              </w:rPr>
              <w:fldChar w:fldCharType="end"/>
            </w:r>
          </w:hyperlink>
        </w:p>
        <w:p w14:paraId="3FAB47ED" w14:textId="7197BA2F"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85" w:history="1">
            <w:r w:rsidR="00C23DE3" w:rsidRPr="00B01F9E">
              <w:rPr>
                <w:rStyle w:val="Hyperlink"/>
                <w:rFonts w:ascii="Arial" w:hAnsi="Arial" w:cs="Arial"/>
                <w:noProof/>
                <w:sz w:val="20"/>
                <w:szCs w:val="20"/>
              </w:rPr>
              <w:t>3.3 Implement LIDR Subset in Laboratory Information System</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_Toc177136985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21</w:t>
            </w:r>
            <w:r w:rsidR="00C23DE3" w:rsidRPr="00B01F9E">
              <w:rPr>
                <w:rFonts w:ascii="Arial" w:hAnsi="Arial" w:cs="Arial"/>
                <w:noProof/>
                <w:webHidden/>
                <w:sz w:val="20"/>
                <w:szCs w:val="20"/>
              </w:rPr>
              <w:fldChar w:fldCharType="end"/>
            </w:r>
          </w:hyperlink>
        </w:p>
        <w:p w14:paraId="28F3190E" w14:textId="6255627E"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86" w:history="1">
            <w:r w:rsidR="00C23DE3" w:rsidRPr="00B01F9E">
              <w:rPr>
                <w:rStyle w:val="Hyperlink"/>
                <w:rFonts w:ascii="Arial" w:hAnsi="Arial" w:cs="Arial"/>
                <w:noProof/>
                <w:sz w:val="20"/>
                <w:szCs w:val="20"/>
              </w:rPr>
              <w:t>3.4 Simulate Test Submission</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_Toc177136986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26</w:t>
            </w:r>
            <w:r w:rsidR="00C23DE3" w:rsidRPr="00B01F9E">
              <w:rPr>
                <w:rFonts w:ascii="Arial" w:hAnsi="Arial" w:cs="Arial"/>
                <w:noProof/>
                <w:webHidden/>
                <w:sz w:val="20"/>
                <w:szCs w:val="20"/>
              </w:rPr>
              <w:fldChar w:fldCharType="end"/>
            </w:r>
          </w:hyperlink>
        </w:p>
        <w:p w14:paraId="1114EC48" w14:textId="08021783"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87" w:history="1">
            <w:r w:rsidR="00C23DE3" w:rsidRPr="00B01F9E">
              <w:rPr>
                <w:rStyle w:val="Hyperlink"/>
                <w:rFonts w:ascii="Arial" w:hAnsi="Arial" w:cs="Arial"/>
                <w:noProof/>
                <w:sz w:val="20"/>
                <w:szCs w:val="20"/>
              </w:rPr>
              <w:t>3.5 Testing and Validation Process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_Toc177136987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31</w:t>
            </w:r>
            <w:r w:rsidR="00C23DE3" w:rsidRPr="00B01F9E">
              <w:rPr>
                <w:rFonts w:ascii="Arial" w:hAnsi="Arial" w:cs="Arial"/>
                <w:noProof/>
                <w:webHidden/>
                <w:sz w:val="20"/>
                <w:szCs w:val="20"/>
              </w:rPr>
              <w:fldChar w:fldCharType="end"/>
            </w:r>
          </w:hyperlink>
        </w:p>
        <w:p w14:paraId="6AB9307D" w14:textId="40F9EE9E"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88" w:history="1">
            <w:r w:rsidR="00C23DE3" w:rsidRPr="00B01F9E">
              <w:rPr>
                <w:rStyle w:val="Hyperlink"/>
                <w:rFonts w:ascii="Arial" w:hAnsi="Arial" w:cs="Arial"/>
                <w:noProof/>
                <w:sz w:val="20"/>
                <w:szCs w:val="20"/>
              </w:rPr>
              <w:t>3.6 QA Analysis Reporting</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_Toc177136988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32</w:t>
            </w:r>
            <w:r w:rsidR="00C23DE3" w:rsidRPr="00B01F9E">
              <w:rPr>
                <w:rFonts w:ascii="Arial" w:hAnsi="Arial" w:cs="Arial"/>
                <w:noProof/>
                <w:webHidden/>
                <w:sz w:val="20"/>
                <w:szCs w:val="20"/>
              </w:rPr>
              <w:fldChar w:fldCharType="end"/>
            </w:r>
          </w:hyperlink>
        </w:p>
        <w:p w14:paraId="5D861D4D" w14:textId="7B34E2E9" w:rsidR="00C23DE3" w:rsidRPr="00B01F9E" w:rsidRDefault="00000000" w:rsidP="00C23DE3">
          <w:pPr>
            <w:pStyle w:val="TOC3"/>
            <w:rPr>
              <w:rFonts w:eastAsiaTheme="minorEastAsia"/>
              <w:kern w:val="2"/>
              <w14:ligatures w14:val="standardContextual"/>
            </w:rPr>
          </w:pPr>
          <w:hyperlink w:anchor="_Toc177136989" w:history="1">
            <w:r w:rsidR="00C23DE3" w:rsidRPr="00B01F9E">
              <w:rPr>
                <w:rStyle w:val="Hyperlink"/>
              </w:rPr>
              <w:t>3.6.1 LIDR Test Compendium Error Check QA Analysis Reports</w:t>
            </w:r>
            <w:r w:rsidR="00C23DE3" w:rsidRPr="00B01F9E">
              <w:rPr>
                <w:webHidden/>
              </w:rPr>
              <w:tab/>
            </w:r>
            <w:r w:rsidR="00C23DE3" w:rsidRPr="00B01F9E">
              <w:rPr>
                <w:webHidden/>
              </w:rPr>
              <w:fldChar w:fldCharType="begin"/>
            </w:r>
            <w:r w:rsidR="00C23DE3" w:rsidRPr="00B01F9E">
              <w:rPr>
                <w:webHidden/>
              </w:rPr>
              <w:instrText xml:space="preserve"> PAGEREF _Toc177136989 \h </w:instrText>
            </w:r>
            <w:r w:rsidR="00C23DE3" w:rsidRPr="00B01F9E">
              <w:rPr>
                <w:webHidden/>
              </w:rPr>
            </w:r>
            <w:r w:rsidR="00C23DE3" w:rsidRPr="00B01F9E">
              <w:rPr>
                <w:webHidden/>
              </w:rPr>
              <w:fldChar w:fldCharType="separate"/>
            </w:r>
            <w:r w:rsidR="005232DA">
              <w:rPr>
                <w:webHidden/>
              </w:rPr>
              <w:t>32</w:t>
            </w:r>
            <w:r w:rsidR="00C23DE3" w:rsidRPr="00B01F9E">
              <w:rPr>
                <w:webHidden/>
              </w:rPr>
              <w:fldChar w:fldCharType="end"/>
            </w:r>
          </w:hyperlink>
        </w:p>
        <w:p w14:paraId="7D1EF068" w14:textId="7D746D5E" w:rsidR="00C23DE3" w:rsidRPr="00B01F9E" w:rsidRDefault="00000000" w:rsidP="00C23DE3">
          <w:pPr>
            <w:pStyle w:val="TOC3"/>
            <w:rPr>
              <w:rFonts w:eastAsiaTheme="minorEastAsia"/>
              <w:kern w:val="2"/>
              <w14:ligatures w14:val="standardContextual"/>
            </w:rPr>
          </w:pPr>
          <w:hyperlink w:anchor="_Toc177136990" w:history="1">
            <w:r w:rsidR="00C23DE3" w:rsidRPr="00B01F9E">
              <w:rPr>
                <w:rStyle w:val="Hyperlink"/>
              </w:rPr>
              <w:t>3.6.2 Instance Error Check QA Analysis Reports</w:t>
            </w:r>
            <w:r w:rsidR="00C23DE3" w:rsidRPr="00B01F9E">
              <w:rPr>
                <w:webHidden/>
              </w:rPr>
              <w:tab/>
            </w:r>
            <w:r w:rsidR="00C23DE3" w:rsidRPr="00B01F9E">
              <w:rPr>
                <w:webHidden/>
              </w:rPr>
              <w:fldChar w:fldCharType="begin"/>
            </w:r>
            <w:r w:rsidR="00C23DE3" w:rsidRPr="00B01F9E">
              <w:rPr>
                <w:webHidden/>
              </w:rPr>
              <w:instrText xml:space="preserve"> PAGEREF _Toc177136990 \h </w:instrText>
            </w:r>
            <w:r w:rsidR="00C23DE3" w:rsidRPr="00B01F9E">
              <w:rPr>
                <w:webHidden/>
              </w:rPr>
            </w:r>
            <w:r w:rsidR="00C23DE3" w:rsidRPr="00B01F9E">
              <w:rPr>
                <w:webHidden/>
              </w:rPr>
              <w:fldChar w:fldCharType="separate"/>
            </w:r>
            <w:r w:rsidR="005232DA">
              <w:rPr>
                <w:webHidden/>
              </w:rPr>
              <w:t>36</w:t>
            </w:r>
            <w:r w:rsidR="00C23DE3" w:rsidRPr="00B01F9E">
              <w:rPr>
                <w:webHidden/>
              </w:rPr>
              <w:fldChar w:fldCharType="end"/>
            </w:r>
          </w:hyperlink>
        </w:p>
        <w:p w14:paraId="26F9B307" w14:textId="3ED61B83" w:rsidR="00C23DE3" w:rsidRPr="00B01F9E" w:rsidRDefault="00000000" w:rsidP="00C23DE3">
          <w:pPr>
            <w:pStyle w:val="TOC3"/>
            <w:rPr>
              <w:rFonts w:eastAsiaTheme="minorEastAsia"/>
              <w:kern w:val="2"/>
              <w14:ligatures w14:val="standardContextual"/>
            </w:rPr>
          </w:pPr>
          <w:hyperlink w:anchor="_Toc177136991" w:history="1">
            <w:r w:rsidR="00C23DE3" w:rsidRPr="00B01F9E">
              <w:rPr>
                <w:rStyle w:val="Hyperlink"/>
              </w:rPr>
              <w:t>3.6.3 Future Plans for QA Analysis Reporting</w:t>
            </w:r>
            <w:r w:rsidR="00C23DE3" w:rsidRPr="00B01F9E">
              <w:rPr>
                <w:webHidden/>
              </w:rPr>
              <w:tab/>
            </w:r>
            <w:r w:rsidR="00C23DE3" w:rsidRPr="00B01F9E">
              <w:rPr>
                <w:webHidden/>
              </w:rPr>
              <w:fldChar w:fldCharType="begin"/>
            </w:r>
            <w:r w:rsidR="00C23DE3" w:rsidRPr="00B01F9E">
              <w:rPr>
                <w:webHidden/>
              </w:rPr>
              <w:instrText xml:space="preserve"> PAGEREF _Toc177136991 \h </w:instrText>
            </w:r>
            <w:r w:rsidR="00C23DE3" w:rsidRPr="00B01F9E">
              <w:rPr>
                <w:webHidden/>
              </w:rPr>
            </w:r>
            <w:r w:rsidR="00C23DE3" w:rsidRPr="00B01F9E">
              <w:rPr>
                <w:webHidden/>
              </w:rPr>
              <w:fldChar w:fldCharType="separate"/>
            </w:r>
            <w:r w:rsidR="005232DA">
              <w:rPr>
                <w:webHidden/>
              </w:rPr>
              <w:t>40</w:t>
            </w:r>
            <w:r w:rsidR="00C23DE3" w:rsidRPr="00B01F9E">
              <w:rPr>
                <w:webHidden/>
              </w:rPr>
              <w:fldChar w:fldCharType="end"/>
            </w:r>
          </w:hyperlink>
        </w:p>
        <w:p w14:paraId="5455E716" w14:textId="54E5B341"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6992" w:history="1">
            <w:r w:rsidR="00C23DE3" w:rsidRPr="00B01F9E">
              <w:rPr>
                <w:rStyle w:val="Hyperlink"/>
                <w:rFonts w:ascii="Arial" w:hAnsi="Arial" w:cs="Arial"/>
                <w:noProof/>
                <w:sz w:val="20"/>
                <w:szCs w:val="20"/>
              </w:rPr>
              <w:t>3.7 Gap Analysis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_Toc177136992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41</w:t>
            </w:r>
            <w:r w:rsidR="00C23DE3" w:rsidRPr="00B01F9E">
              <w:rPr>
                <w:rFonts w:ascii="Arial" w:hAnsi="Arial" w:cs="Arial"/>
                <w:noProof/>
                <w:webHidden/>
                <w:sz w:val="20"/>
                <w:szCs w:val="20"/>
              </w:rPr>
              <w:fldChar w:fldCharType="end"/>
            </w:r>
          </w:hyperlink>
        </w:p>
        <w:p w14:paraId="7E8F2522" w14:textId="1737DA13" w:rsidR="00C23DE3" w:rsidRPr="00B01F9E" w:rsidRDefault="00000000" w:rsidP="00C23DE3">
          <w:pPr>
            <w:pStyle w:val="TOC3"/>
            <w:rPr>
              <w:rFonts w:eastAsiaTheme="minorEastAsia"/>
              <w:kern w:val="2"/>
              <w14:ligatures w14:val="standardContextual"/>
            </w:rPr>
          </w:pPr>
          <w:hyperlink w:anchor="_Toc177136993" w:history="1">
            <w:r w:rsidR="00C23DE3" w:rsidRPr="00B01F9E">
              <w:rPr>
                <w:rStyle w:val="Hyperlink"/>
              </w:rPr>
              <w:t>3.7.1 Gaps Related to LIDR</w:t>
            </w:r>
            <w:r w:rsidR="00C23DE3" w:rsidRPr="00B01F9E">
              <w:rPr>
                <w:webHidden/>
              </w:rPr>
              <w:tab/>
            </w:r>
            <w:r w:rsidR="00C23DE3" w:rsidRPr="00B01F9E">
              <w:rPr>
                <w:webHidden/>
              </w:rPr>
              <w:fldChar w:fldCharType="begin"/>
            </w:r>
            <w:r w:rsidR="00C23DE3" w:rsidRPr="00B01F9E">
              <w:rPr>
                <w:webHidden/>
              </w:rPr>
              <w:instrText xml:space="preserve"> PAGEREF _Toc177136993 \h </w:instrText>
            </w:r>
            <w:r w:rsidR="00C23DE3" w:rsidRPr="00B01F9E">
              <w:rPr>
                <w:webHidden/>
              </w:rPr>
            </w:r>
            <w:r w:rsidR="00C23DE3" w:rsidRPr="00B01F9E">
              <w:rPr>
                <w:webHidden/>
              </w:rPr>
              <w:fldChar w:fldCharType="separate"/>
            </w:r>
            <w:r w:rsidR="005232DA">
              <w:rPr>
                <w:webHidden/>
              </w:rPr>
              <w:t>44</w:t>
            </w:r>
            <w:r w:rsidR="00C23DE3" w:rsidRPr="00B01F9E">
              <w:rPr>
                <w:webHidden/>
              </w:rPr>
              <w:fldChar w:fldCharType="end"/>
            </w:r>
          </w:hyperlink>
        </w:p>
        <w:p w14:paraId="54908A01" w14:textId="5C805375" w:rsidR="00C23DE3" w:rsidRPr="00B01F9E" w:rsidRDefault="00000000" w:rsidP="00C23DE3">
          <w:pPr>
            <w:pStyle w:val="TOC3"/>
            <w:rPr>
              <w:rFonts w:eastAsiaTheme="minorEastAsia"/>
              <w:kern w:val="2"/>
              <w14:ligatures w14:val="standardContextual"/>
            </w:rPr>
          </w:pPr>
          <w:hyperlink w:anchor="_Toc177136994" w:history="1">
            <w:r w:rsidR="00C23DE3" w:rsidRPr="00B01F9E">
              <w:rPr>
                <w:rStyle w:val="Hyperlink"/>
              </w:rPr>
              <w:t>3.7.2 Gaps Related to LIS Build</w:t>
            </w:r>
            <w:r w:rsidR="00C23DE3" w:rsidRPr="00B01F9E">
              <w:rPr>
                <w:webHidden/>
              </w:rPr>
              <w:tab/>
            </w:r>
            <w:r w:rsidR="00C23DE3" w:rsidRPr="00B01F9E">
              <w:rPr>
                <w:webHidden/>
              </w:rPr>
              <w:fldChar w:fldCharType="begin"/>
            </w:r>
            <w:r w:rsidR="00C23DE3" w:rsidRPr="00B01F9E">
              <w:rPr>
                <w:webHidden/>
              </w:rPr>
              <w:instrText xml:space="preserve"> PAGEREF _Toc177136994 \h </w:instrText>
            </w:r>
            <w:r w:rsidR="00C23DE3" w:rsidRPr="00B01F9E">
              <w:rPr>
                <w:webHidden/>
              </w:rPr>
            </w:r>
            <w:r w:rsidR="00C23DE3" w:rsidRPr="00B01F9E">
              <w:rPr>
                <w:webHidden/>
              </w:rPr>
              <w:fldChar w:fldCharType="separate"/>
            </w:r>
            <w:r w:rsidR="005232DA">
              <w:rPr>
                <w:webHidden/>
              </w:rPr>
              <w:t>47</w:t>
            </w:r>
            <w:r w:rsidR="00C23DE3" w:rsidRPr="00B01F9E">
              <w:rPr>
                <w:webHidden/>
              </w:rPr>
              <w:fldChar w:fldCharType="end"/>
            </w:r>
          </w:hyperlink>
        </w:p>
        <w:p w14:paraId="480B1D8E" w14:textId="47695095" w:rsidR="00C23DE3" w:rsidRPr="00B01F9E" w:rsidRDefault="00000000" w:rsidP="00C23DE3">
          <w:pPr>
            <w:pStyle w:val="TOC3"/>
            <w:rPr>
              <w:rFonts w:eastAsiaTheme="minorEastAsia"/>
              <w:kern w:val="2"/>
              <w14:ligatures w14:val="standardContextual"/>
            </w:rPr>
          </w:pPr>
          <w:hyperlink w:anchor="_Toc177136995" w:history="1">
            <w:r w:rsidR="00C23DE3" w:rsidRPr="00B01F9E">
              <w:rPr>
                <w:rStyle w:val="Hyperlink"/>
                <w:rFonts w:eastAsia="Yu Gothic Light"/>
              </w:rPr>
              <w:t>3.7.3 Gaps Related to Entering Results in Epic Beaker</w:t>
            </w:r>
            <w:r w:rsidR="00C23DE3" w:rsidRPr="00B01F9E">
              <w:rPr>
                <w:webHidden/>
              </w:rPr>
              <w:tab/>
            </w:r>
            <w:r w:rsidR="00C23DE3" w:rsidRPr="00B01F9E">
              <w:rPr>
                <w:webHidden/>
              </w:rPr>
              <w:fldChar w:fldCharType="begin"/>
            </w:r>
            <w:r w:rsidR="00C23DE3" w:rsidRPr="00B01F9E">
              <w:rPr>
                <w:webHidden/>
              </w:rPr>
              <w:instrText xml:space="preserve"> PAGEREF _Toc177136995 \h </w:instrText>
            </w:r>
            <w:r w:rsidR="00C23DE3" w:rsidRPr="00B01F9E">
              <w:rPr>
                <w:webHidden/>
              </w:rPr>
            </w:r>
            <w:r w:rsidR="00C23DE3" w:rsidRPr="00B01F9E">
              <w:rPr>
                <w:webHidden/>
              </w:rPr>
              <w:fldChar w:fldCharType="separate"/>
            </w:r>
            <w:r w:rsidR="005232DA">
              <w:rPr>
                <w:webHidden/>
              </w:rPr>
              <w:t>52</w:t>
            </w:r>
            <w:r w:rsidR="00C23DE3" w:rsidRPr="00B01F9E">
              <w:rPr>
                <w:webHidden/>
              </w:rPr>
              <w:fldChar w:fldCharType="end"/>
            </w:r>
          </w:hyperlink>
        </w:p>
        <w:p w14:paraId="6D79BE94" w14:textId="31E59F14" w:rsidR="00C23DE3" w:rsidRPr="00B01F9E" w:rsidRDefault="00000000" w:rsidP="00C23DE3">
          <w:pPr>
            <w:pStyle w:val="TOC3"/>
            <w:rPr>
              <w:rFonts w:eastAsiaTheme="minorEastAsia"/>
              <w:kern w:val="2"/>
              <w14:ligatures w14:val="standardContextual"/>
            </w:rPr>
          </w:pPr>
          <w:hyperlink w:anchor="_Toc177136996" w:history="1">
            <w:r w:rsidR="00C23DE3" w:rsidRPr="00B01F9E">
              <w:rPr>
                <w:rStyle w:val="Hyperlink"/>
                <w:rFonts w:eastAsia="Yu Gothic Light"/>
              </w:rPr>
              <w:t>3.7.4 Gaps Related to LIS Result Interface</w:t>
            </w:r>
            <w:r w:rsidR="00C23DE3" w:rsidRPr="00B01F9E">
              <w:rPr>
                <w:webHidden/>
              </w:rPr>
              <w:tab/>
            </w:r>
            <w:r w:rsidR="00C23DE3" w:rsidRPr="00B01F9E">
              <w:rPr>
                <w:webHidden/>
              </w:rPr>
              <w:fldChar w:fldCharType="begin"/>
            </w:r>
            <w:r w:rsidR="00C23DE3" w:rsidRPr="00B01F9E">
              <w:rPr>
                <w:webHidden/>
              </w:rPr>
              <w:instrText xml:space="preserve"> PAGEREF _Toc177136996 \h </w:instrText>
            </w:r>
            <w:r w:rsidR="00C23DE3" w:rsidRPr="00B01F9E">
              <w:rPr>
                <w:webHidden/>
              </w:rPr>
            </w:r>
            <w:r w:rsidR="00C23DE3" w:rsidRPr="00B01F9E">
              <w:rPr>
                <w:webHidden/>
              </w:rPr>
              <w:fldChar w:fldCharType="separate"/>
            </w:r>
            <w:r w:rsidR="005232DA">
              <w:rPr>
                <w:webHidden/>
              </w:rPr>
              <w:t>52</w:t>
            </w:r>
            <w:r w:rsidR="00C23DE3" w:rsidRPr="00B01F9E">
              <w:rPr>
                <w:webHidden/>
              </w:rPr>
              <w:fldChar w:fldCharType="end"/>
            </w:r>
          </w:hyperlink>
        </w:p>
        <w:p w14:paraId="7291267A" w14:textId="1A76FA5E" w:rsidR="00C23DE3" w:rsidRPr="00B01F9E" w:rsidRDefault="00000000" w:rsidP="00C23DE3">
          <w:pPr>
            <w:pStyle w:val="TOC3"/>
            <w:rPr>
              <w:rFonts w:eastAsiaTheme="minorEastAsia"/>
              <w:kern w:val="2"/>
              <w14:ligatures w14:val="standardContextual"/>
            </w:rPr>
          </w:pPr>
          <w:hyperlink w:anchor="_Toc177136997" w:history="1">
            <w:r w:rsidR="00C23DE3" w:rsidRPr="00B01F9E">
              <w:rPr>
                <w:rStyle w:val="Hyperlink"/>
                <w:rFonts w:eastAsia="Yu Gothic Light"/>
              </w:rPr>
              <w:t>3.7.5 Gaps Related to the LIDR Test Compendium Report</w:t>
            </w:r>
            <w:r w:rsidR="00C23DE3" w:rsidRPr="00B01F9E">
              <w:rPr>
                <w:webHidden/>
              </w:rPr>
              <w:tab/>
            </w:r>
            <w:r w:rsidR="00C23DE3" w:rsidRPr="00B01F9E">
              <w:rPr>
                <w:webHidden/>
              </w:rPr>
              <w:fldChar w:fldCharType="begin"/>
            </w:r>
            <w:r w:rsidR="00C23DE3" w:rsidRPr="00B01F9E">
              <w:rPr>
                <w:webHidden/>
              </w:rPr>
              <w:instrText xml:space="preserve"> PAGEREF _Toc177136997 \h </w:instrText>
            </w:r>
            <w:r w:rsidR="00C23DE3" w:rsidRPr="00B01F9E">
              <w:rPr>
                <w:webHidden/>
              </w:rPr>
            </w:r>
            <w:r w:rsidR="00C23DE3" w:rsidRPr="00B01F9E">
              <w:rPr>
                <w:webHidden/>
              </w:rPr>
              <w:fldChar w:fldCharType="separate"/>
            </w:r>
            <w:r w:rsidR="005232DA">
              <w:rPr>
                <w:webHidden/>
              </w:rPr>
              <w:t>55</w:t>
            </w:r>
            <w:r w:rsidR="00C23DE3" w:rsidRPr="00B01F9E">
              <w:rPr>
                <w:webHidden/>
              </w:rPr>
              <w:fldChar w:fldCharType="end"/>
            </w:r>
          </w:hyperlink>
        </w:p>
        <w:p w14:paraId="457E1A1F" w14:textId="151BF37C" w:rsidR="00C23DE3" w:rsidRPr="00B01F9E" w:rsidRDefault="00000000" w:rsidP="00C23DE3">
          <w:pPr>
            <w:pStyle w:val="TOC3"/>
            <w:rPr>
              <w:rFonts w:eastAsiaTheme="minorEastAsia"/>
              <w:kern w:val="2"/>
              <w14:ligatures w14:val="standardContextual"/>
            </w:rPr>
          </w:pPr>
          <w:hyperlink w:anchor="_Toc177136998" w:history="1">
            <w:r w:rsidR="00C23DE3" w:rsidRPr="00B01F9E">
              <w:rPr>
                <w:rStyle w:val="Hyperlink"/>
                <w:rFonts w:eastAsia="Yu Gothic Light"/>
              </w:rPr>
              <w:t>3.7.6 Gaps Related to the Instance Error Check</w:t>
            </w:r>
            <w:r w:rsidR="00C23DE3" w:rsidRPr="00B01F9E">
              <w:rPr>
                <w:webHidden/>
              </w:rPr>
              <w:tab/>
            </w:r>
            <w:r w:rsidR="00C23DE3" w:rsidRPr="00B01F9E">
              <w:rPr>
                <w:webHidden/>
              </w:rPr>
              <w:fldChar w:fldCharType="begin"/>
            </w:r>
            <w:r w:rsidR="00C23DE3" w:rsidRPr="00B01F9E">
              <w:rPr>
                <w:webHidden/>
              </w:rPr>
              <w:instrText xml:space="preserve"> PAGEREF _Toc177136998 \h </w:instrText>
            </w:r>
            <w:r w:rsidR="00C23DE3" w:rsidRPr="00B01F9E">
              <w:rPr>
                <w:webHidden/>
              </w:rPr>
            </w:r>
            <w:r w:rsidR="00C23DE3" w:rsidRPr="00B01F9E">
              <w:rPr>
                <w:webHidden/>
              </w:rPr>
              <w:fldChar w:fldCharType="separate"/>
            </w:r>
            <w:r w:rsidR="005232DA">
              <w:rPr>
                <w:webHidden/>
              </w:rPr>
              <w:t>57</w:t>
            </w:r>
            <w:r w:rsidR="00C23DE3" w:rsidRPr="00B01F9E">
              <w:rPr>
                <w:webHidden/>
              </w:rPr>
              <w:fldChar w:fldCharType="end"/>
            </w:r>
          </w:hyperlink>
        </w:p>
        <w:p w14:paraId="11BCDE39" w14:textId="1E6F835E" w:rsidR="00C23DE3" w:rsidRPr="00B01F9E" w:rsidRDefault="00000000" w:rsidP="00C23DE3">
          <w:pPr>
            <w:pStyle w:val="TOC3"/>
            <w:rPr>
              <w:rFonts w:eastAsiaTheme="minorEastAsia"/>
              <w:kern w:val="2"/>
              <w14:ligatures w14:val="standardContextual"/>
            </w:rPr>
          </w:pPr>
          <w:hyperlink w:anchor="_Toc177136999" w:history="1">
            <w:r w:rsidR="00C23DE3" w:rsidRPr="00B01F9E">
              <w:rPr>
                <w:rStyle w:val="Hyperlink"/>
                <w:rFonts w:eastAsia="Yu Gothic Light"/>
              </w:rPr>
              <w:t>3.7.7 Gaps Related to Training and Education</w:t>
            </w:r>
            <w:r w:rsidR="00C23DE3" w:rsidRPr="00B01F9E">
              <w:rPr>
                <w:webHidden/>
              </w:rPr>
              <w:tab/>
            </w:r>
            <w:r w:rsidR="00C23DE3" w:rsidRPr="00B01F9E">
              <w:rPr>
                <w:webHidden/>
              </w:rPr>
              <w:fldChar w:fldCharType="begin"/>
            </w:r>
            <w:r w:rsidR="00C23DE3" w:rsidRPr="00B01F9E">
              <w:rPr>
                <w:webHidden/>
              </w:rPr>
              <w:instrText xml:space="preserve"> PAGEREF _Toc177136999 \h </w:instrText>
            </w:r>
            <w:r w:rsidR="00C23DE3" w:rsidRPr="00B01F9E">
              <w:rPr>
                <w:webHidden/>
              </w:rPr>
            </w:r>
            <w:r w:rsidR="00C23DE3" w:rsidRPr="00B01F9E">
              <w:rPr>
                <w:webHidden/>
              </w:rPr>
              <w:fldChar w:fldCharType="separate"/>
            </w:r>
            <w:r w:rsidR="005232DA">
              <w:rPr>
                <w:webHidden/>
              </w:rPr>
              <w:t>57</w:t>
            </w:r>
            <w:r w:rsidR="00C23DE3" w:rsidRPr="00B01F9E">
              <w:rPr>
                <w:webHidden/>
              </w:rPr>
              <w:fldChar w:fldCharType="end"/>
            </w:r>
          </w:hyperlink>
        </w:p>
        <w:p w14:paraId="15A5E4B6" w14:textId="6827FBAF" w:rsidR="00C23DE3" w:rsidRPr="00B01F9E" w:rsidRDefault="00000000" w:rsidP="00C23DE3">
          <w:pPr>
            <w:pStyle w:val="TOC3"/>
            <w:rPr>
              <w:rFonts w:eastAsiaTheme="minorEastAsia"/>
              <w:kern w:val="2"/>
              <w14:ligatures w14:val="standardContextual"/>
            </w:rPr>
          </w:pPr>
          <w:hyperlink w:anchor="_Toc177137000" w:history="1">
            <w:r w:rsidR="00C23DE3" w:rsidRPr="00B01F9E">
              <w:rPr>
                <w:rStyle w:val="Hyperlink"/>
                <w:rFonts w:eastAsia="Yu Gothic Light"/>
              </w:rPr>
              <w:t>3.7.8 Gaps Related to QA Analysis Reporting</w:t>
            </w:r>
            <w:r w:rsidR="00C23DE3" w:rsidRPr="00B01F9E">
              <w:rPr>
                <w:webHidden/>
              </w:rPr>
              <w:tab/>
            </w:r>
            <w:r w:rsidR="00C23DE3" w:rsidRPr="00B01F9E">
              <w:rPr>
                <w:webHidden/>
              </w:rPr>
              <w:fldChar w:fldCharType="begin"/>
            </w:r>
            <w:r w:rsidR="00C23DE3" w:rsidRPr="00B01F9E">
              <w:rPr>
                <w:webHidden/>
              </w:rPr>
              <w:instrText xml:space="preserve"> PAGEREF _Toc177137000 \h </w:instrText>
            </w:r>
            <w:r w:rsidR="00C23DE3" w:rsidRPr="00B01F9E">
              <w:rPr>
                <w:webHidden/>
              </w:rPr>
            </w:r>
            <w:r w:rsidR="00C23DE3" w:rsidRPr="00B01F9E">
              <w:rPr>
                <w:webHidden/>
              </w:rPr>
              <w:fldChar w:fldCharType="separate"/>
            </w:r>
            <w:r w:rsidR="005232DA">
              <w:rPr>
                <w:webHidden/>
              </w:rPr>
              <w:t>58</w:t>
            </w:r>
            <w:r w:rsidR="00C23DE3" w:rsidRPr="00B01F9E">
              <w:rPr>
                <w:webHidden/>
              </w:rPr>
              <w:fldChar w:fldCharType="end"/>
            </w:r>
          </w:hyperlink>
        </w:p>
        <w:p w14:paraId="1843CFD8" w14:textId="5BBBAA27" w:rsidR="00C23DE3" w:rsidRPr="00B01F9E" w:rsidRDefault="00000000" w:rsidP="00C23DE3">
          <w:pPr>
            <w:pStyle w:val="TOC3"/>
            <w:rPr>
              <w:rFonts w:eastAsiaTheme="minorEastAsia"/>
              <w:kern w:val="2"/>
              <w14:ligatures w14:val="standardContextual"/>
            </w:rPr>
          </w:pPr>
          <w:hyperlink w:anchor="_Toc177137001" w:history="1">
            <w:r w:rsidR="00C23DE3" w:rsidRPr="00B01F9E">
              <w:rPr>
                <w:rStyle w:val="Hyperlink"/>
                <w:rFonts w:eastAsia="Yu Gothic Light"/>
              </w:rPr>
              <w:t>3.7.9 Gaps Related to Laboratory Analyst Availability</w:t>
            </w:r>
            <w:r w:rsidR="00C23DE3" w:rsidRPr="00B01F9E">
              <w:rPr>
                <w:webHidden/>
              </w:rPr>
              <w:tab/>
            </w:r>
            <w:r w:rsidR="00C23DE3" w:rsidRPr="00B01F9E">
              <w:rPr>
                <w:webHidden/>
              </w:rPr>
              <w:fldChar w:fldCharType="begin"/>
            </w:r>
            <w:r w:rsidR="00C23DE3" w:rsidRPr="00B01F9E">
              <w:rPr>
                <w:webHidden/>
              </w:rPr>
              <w:instrText xml:space="preserve"> PAGEREF _Toc177137001 \h </w:instrText>
            </w:r>
            <w:r w:rsidR="00C23DE3" w:rsidRPr="00B01F9E">
              <w:rPr>
                <w:webHidden/>
              </w:rPr>
            </w:r>
            <w:r w:rsidR="00C23DE3" w:rsidRPr="00B01F9E">
              <w:rPr>
                <w:webHidden/>
              </w:rPr>
              <w:fldChar w:fldCharType="separate"/>
            </w:r>
            <w:r w:rsidR="005232DA">
              <w:rPr>
                <w:webHidden/>
              </w:rPr>
              <w:t>58</w:t>
            </w:r>
            <w:r w:rsidR="00C23DE3" w:rsidRPr="00B01F9E">
              <w:rPr>
                <w:webHidden/>
              </w:rPr>
              <w:fldChar w:fldCharType="end"/>
            </w:r>
          </w:hyperlink>
        </w:p>
        <w:p w14:paraId="7C894E02" w14:textId="22E72254"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02" w:history="1">
            <w:r w:rsidR="00C23DE3" w:rsidRPr="00B01F9E">
              <w:rPr>
                <w:rStyle w:val="Hyperlink"/>
                <w:rFonts w:ascii="Arial" w:hAnsi="Arial" w:cs="Arial"/>
                <w:noProof/>
                <w:sz w:val="20"/>
                <w:szCs w:val="20"/>
              </w:rPr>
              <w:t>3.8 Successes and Challenges of Implementing the POC</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_Toc177137002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59</w:t>
            </w:r>
            <w:r w:rsidR="00C23DE3" w:rsidRPr="00B01F9E">
              <w:rPr>
                <w:rFonts w:ascii="Arial" w:hAnsi="Arial" w:cs="Arial"/>
                <w:noProof/>
                <w:webHidden/>
                <w:sz w:val="20"/>
                <w:szCs w:val="20"/>
              </w:rPr>
              <w:fldChar w:fldCharType="end"/>
            </w:r>
          </w:hyperlink>
        </w:p>
        <w:p w14:paraId="3A8299F0" w14:textId="1FCBC1ED"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03" w:history="1">
            <w:r w:rsidR="00C23DE3" w:rsidRPr="00B01F9E">
              <w:rPr>
                <w:rStyle w:val="Hyperlink"/>
                <w:rFonts w:ascii="Arial" w:hAnsi="Arial" w:cs="Arial"/>
                <w:noProof/>
                <w:sz w:val="20"/>
                <w:szCs w:val="20"/>
              </w:rPr>
              <w:t>3.9 Lessons Learned</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_Toc177137003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62</w:t>
            </w:r>
            <w:r w:rsidR="00C23DE3" w:rsidRPr="00B01F9E">
              <w:rPr>
                <w:rFonts w:ascii="Arial" w:hAnsi="Arial" w:cs="Arial"/>
                <w:noProof/>
                <w:webHidden/>
                <w:sz w:val="20"/>
                <w:szCs w:val="20"/>
              </w:rPr>
              <w:fldChar w:fldCharType="end"/>
            </w:r>
          </w:hyperlink>
        </w:p>
        <w:p w14:paraId="3F5865BA" w14:textId="0C44A3A8" w:rsidR="00C23DE3" w:rsidRPr="00B01F9E" w:rsidRDefault="00000000" w:rsidP="00C23DE3">
          <w:pPr>
            <w:pStyle w:val="TOC3"/>
            <w:rPr>
              <w:rFonts w:eastAsiaTheme="minorEastAsia"/>
              <w:kern w:val="2"/>
              <w14:ligatures w14:val="standardContextual"/>
            </w:rPr>
          </w:pPr>
          <w:hyperlink w:anchor="_Toc177137004" w:history="1">
            <w:r w:rsidR="00C23DE3" w:rsidRPr="00B01F9E">
              <w:rPr>
                <w:rStyle w:val="Hyperlink"/>
              </w:rPr>
              <w:t>3.9.1 CAP Perspective</w:t>
            </w:r>
            <w:r w:rsidR="00C23DE3" w:rsidRPr="00B01F9E">
              <w:rPr>
                <w:webHidden/>
              </w:rPr>
              <w:tab/>
            </w:r>
            <w:r w:rsidR="00C23DE3" w:rsidRPr="00B01F9E">
              <w:rPr>
                <w:webHidden/>
              </w:rPr>
              <w:fldChar w:fldCharType="begin"/>
            </w:r>
            <w:r w:rsidR="00C23DE3" w:rsidRPr="00B01F9E">
              <w:rPr>
                <w:webHidden/>
              </w:rPr>
              <w:instrText xml:space="preserve"> PAGEREF _Toc177137004 \h </w:instrText>
            </w:r>
            <w:r w:rsidR="00C23DE3" w:rsidRPr="00B01F9E">
              <w:rPr>
                <w:webHidden/>
              </w:rPr>
            </w:r>
            <w:r w:rsidR="00C23DE3" w:rsidRPr="00B01F9E">
              <w:rPr>
                <w:webHidden/>
              </w:rPr>
              <w:fldChar w:fldCharType="separate"/>
            </w:r>
            <w:r w:rsidR="005232DA">
              <w:rPr>
                <w:webHidden/>
              </w:rPr>
              <w:t>62</w:t>
            </w:r>
            <w:r w:rsidR="00C23DE3" w:rsidRPr="00B01F9E">
              <w:rPr>
                <w:webHidden/>
              </w:rPr>
              <w:fldChar w:fldCharType="end"/>
            </w:r>
          </w:hyperlink>
        </w:p>
        <w:p w14:paraId="3D436CBC" w14:textId="040CD481" w:rsidR="00C23DE3" w:rsidRPr="00B01F9E" w:rsidRDefault="00000000" w:rsidP="00C23DE3">
          <w:pPr>
            <w:pStyle w:val="TOC3"/>
            <w:rPr>
              <w:rFonts w:eastAsiaTheme="minorEastAsia"/>
              <w:kern w:val="2"/>
              <w14:ligatures w14:val="standardContextual"/>
            </w:rPr>
          </w:pPr>
          <w:hyperlink w:anchor="_Toc177137005" w:history="1">
            <w:r w:rsidR="00C23DE3" w:rsidRPr="00B01F9E">
              <w:rPr>
                <w:rStyle w:val="Hyperlink"/>
              </w:rPr>
              <w:t>3.9.2 Duke Laboratory Perspective</w:t>
            </w:r>
            <w:r w:rsidR="00C23DE3" w:rsidRPr="00B01F9E">
              <w:rPr>
                <w:webHidden/>
              </w:rPr>
              <w:tab/>
            </w:r>
            <w:r w:rsidR="00C23DE3" w:rsidRPr="00B01F9E">
              <w:rPr>
                <w:webHidden/>
              </w:rPr>
              <w:fldChar w:fldCharType="begin"/>
            </w:r>
            <w:r w:rsidR="00C23DE3" w:rsidRPr="00B01F9E">
              <w:rPr>
                <w:webHidden/>
              </w:rPr>
              <w:instrText xml:space="preserve"> PAGEREF _Toc177137005 \h </w:instrText>
            </w:r>
            <w:r w:rsidR="00C23DE3" w:rsidRPr="00B01F9E">
              <w:rPr>
                <w:webHidden/>
              </w:rPr>
            </w:r>
            <w:r w:rsidR="00C23DE3" w:rsidRPr="00B01F9E">
              <w:rPr>
                <w:webHidden/>
              </w:rPr>
              <w:fldChar w:fldCharType="separate"/>
            </w:r>
            <w:r w:rsidR="005232DA">
              <w:rPr>
                <w:webHidden/>
              </w:rPr>
              <w:t>63</w:t>
            </w:r>
            <w:r w:rsidR="00C23DE3" w:rsidRPr="00B01F9E">
              <w:rPr>
                <w:webHidden/>
              </w:rPr>
              <w:fldChar w:fldCharType="end"/>
            </w:r>
          </w:hyperlink>
        </w:p>
        <w:p w14:paraId="5EAF2BCE" w14:textId="08CB3F8F" w:rsidR="00C23DE3" w:rsidRPr="00B01F9E" w:rsidRDefault="00000000" w:rsidP="00C23DE3">
          <w:pPr>
            <w:pStyle w:val="TOC3"/>
            <w:rPr>
              <w:rFonts w:eastAsiaTheme="minorEastAsia"/>
              <w:kern w:val="2"/>
              <w14:ligatures w14:val="standardContextual"/>
            </w:rPr>
          </w:pPr>
          <w:hyperlink w:anchor="_Toc177137006" w:history="1">
            <w:r w:rsidR="00C23DE3" w:rsidRPr="00B01F9E">
              <w:rPr>
                <w:rStyle w:val="Hyperlink"/>
              </w:rPr>
              <w:t>3.9.3 Vendor Collaboration Feedback</w:t>
            </w:r>
            <w:r w:rsidR="00C23DE3" w:rsidRPr="00B01F9E">
              <w:rPr>
                <w:webHidden/>
              </w:rPr>
              <w:tab/>
            </w:r>
            <w:r w:rsidR="00C23DE3" w:rsidRPr="00B01F9E">
              <w:rPr>
                <w:webHidden/>
              </w:rPr>
              <w:fldChar w:fldCharType="begin"/>
            </w:r>
            <w:r w:rsidR="00C23DE3" w:rsidRPr="00B01F9E">
              <w:rPr>
                <w:webHidden/>
              </w:rPr>
              <w:instrText xml:space="preserve"> PAGEREF _Toc177137006 \h </w:instrText>
            </w:r>
            <w:r w:rsidR="00C23DE3" w:rsidRPr="00B01F9E">
              <w:rPr>
                <w:webHidden/>
              </w:rPr>
            </w:r>
            <w:r w:rsidR="00C23DE3" w:rsidRPr="00B01F9E">
              <w:rPr>
                <w:webHidden/>
              </w:rPr>
              <w:fldChar w:fldCharType="separate"/>
            </w:r>
            <w:r w:rsidR="005232DA">
              <w:rPr>
                <w:webHidden/>
              </w:rPr>
              <w:t>65</w:t>
            </w:r>
            <w:r w:rsidR="00C23DE3" w:rsidRPr="00B01F9E">
              <w:rPr>
                <w:webHidden/>
              </w:rPr>
              <w:fldChar w:fldCharType="end"/>
            </w:r>
          </w:hyperlink>
        </w:p>
        <w:p w14:paraId="013070EE" w14:textId="7CBD240F" w:rsidR="00C23DE3" w:rsidRPr="00B01F9E" w:rsidRDefault="00000000">
          <w:pPr>
            <w:pStyle w:val="TOC1"/>
            <w:tabs>
              <w:tab w:val="right" w:leader="dot" w:pos="9350"/>
            </w:tabs>
            <w:rPr>
              <w:rFonts w:ascii="Arial" w:eastAsiaTheme="minorEastAsia" w:hAnsi="Arial" w:cs="Arial"/>
              <w:noProof/>
              <w:kern w:val="2"/>
              <w:sz w:val="20"/>
              <w:szCs w:val="20"/>
              <w14:ligatures w14:val="standardContextual"/>
            </w:rPr>
          </w:pPr>
          <w:hyperlink w:anchor="_Toc177137007" w:history="1">
            <w:r w:rsidR="00C23DE3" w:rsidRPr="00B01F9E">
              <w:rPr>
                <w:rStyle w:val="Hyperlink"/>
                <w:rFonts w:ascii="Arial" w:hAnsi="Arial" w:cs="Arial"/>
                <w:noProof/>
                <w:sz w:val="20"/>
                <w:szCs w:val="20"/>
              </w:rPr>
              <w:t>4. Training and Education Materials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_Toc177137007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66</w:t>
            </w:r>
            <w:r w:rsidR="00C23DE3" w:rsidRPr="00B01F9E">
              <w:rPr>
                <w:rFonts w:ascii="Arial" w:hAnsi="Arial" w:cs="Arial"/>
                <w:noProof/>
                <w:webHidden/>
                <w:sz w:val="20"/>
                <w:szCs w:val="20"/>
              </w:rPr>
              <w:fldChar w:fldCharType="end"/>
            </w:r>
          </w:hyperlink>
        </w:p>
        <w:p w14:paraId="3A690DF0" w14:textId="24D3EBC2"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08" w:history="1">
            <w:r w:rsidR="00C23DE3" w:rsidRPr="00B01F9E">
              <w:rPr>
                <w:rStyle w:val="Hyperlink"/>
                <w:rFonts w:ascii="Arial" w:hAnsi="Arial" w:cs="Arial"/>
                <w:noProof/>
                <w:sz w:val="20"/>
                <w:szCs w:val="20"/>
              </w:rPr>
              <w:t>4.1 Development Process and Overview</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_Toc177137008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66</w:t>
            </w:r>
            <w:r w:rsidR="00C23DE3" w:rsidRPr="00B01F9E">
              <w:rPr>
                <w:rFonts w:ascii="Arial" w:hAnsi="Arial" w:cs="Arial"/>
                <w:noProof/>
                <w:webHidden/>
                <w:sz w:val="20"/>
                <w:szCs w:val="20"/>
              </w:rPr>
              <w:fldChar w:fldCharType="end"/>
            </w:r>
          </w:hyperlink>
        </w:p>
        <w:p w14:paraId="6B4881DC" w14:textId="65583E71"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09" w:history="1">
            <w:r w:rsidR="00C23DE3" w:rsidRPr="00B01F9E">
              <w:rPr>
                <w:rStyle w:val="Hyperlink"/>
                <w:rFonts w:ascii="Arial" w:hAnsi="Arial" w:cs="Arial"/>
                <w:noProof/>
                <w:sz w:val="20"/>
                <w:szCs w:val="20"/>
              </w:rPr>
              <w:t>4.2 Training and Education Material Prototypes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_Toc177137009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67</w:t>
            </w:r>
            <w:r w:rsidR="00C23DE3" w:rsidRPr="00B01F9E">
              <w:rPr>
                <w:rFonts w:ascii="Arial" w:hAnsi="Arial" w:cs="Arial"/>
                <w:noProof/>
                <w:webHidden/>
                <w:sz w:val="20"/>
                <w:szCs w:val="20"/>
              </w:rPr>
              <w:fldChar w:fldCharType="end"/>
            </w:r>
          </w:hyperlink>
        </w:p>
        <w:p w14:paraId="57AAB9C6" w14:textId="5E1DABB3"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10" w:history="1">
            <w:r w:rsidR="00C23DE3" w:rsidRPr="00B01F9E">
              <w:rPr>
                <w:rStyle w:val="Hyperlink"/>
                <w:rFonts w:ascii="Arial" w:hAnsi="Arial" w:cs="Arial"/>
                <w:noProof/>
                <w:sz w:val="20"/>
                <w:szCs w:val="20"/>
              </w:rPr>
              <w:t>4.3 Training and Education Recommended Next Steps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_Toc177137010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70</w:t>
            </w:r>
            <w:r w:rsidR="00C23DE3" w:rsidRPr="00B01F9E">
              <w:rPr>
                <w:rFonts w:ascii="Arial" w:hAnsi="Arial" w:cs="Arial"/>
                <w:noProof/>
                <w:webHidden/>
                <w:sz w:val="20"/>
                <w:szCs w:val="20"/>
              </w:rPr>
              <w:fldChar w:fldCharType="end"/>
            </w:r>
          </w:hyperlink>
        </w:p>
        <w:p w14:paraId="4BA5CDA6" w14:textId="420AE2E2" w:rsidR="00C23DE3" w:rsidRPr="00B01F9E" w:rsidRDefault="00000000">
          <w:pPr>
            <w:pStyle w:val="TOC1"/>
            <w:tabs>
              <w:tab w:val="right" w:leader="dot" w:pos="9350"/>
            </w:tabs>
            <w:rPr>
              <w:rFonts w:ascii="Arial" w:eastAsiaTheme="minorEastAsia" w:hAnsi="Arial" w:cs="Arial"/>
              <w:noProof/>
              <w:kern w:val="2"/>
              <w:sz w:val="20"/>
              <w:szCs w:val="20"/>
              <w14:ligatures w14:val="standardContextual"/>
            </w:rPr>
          </w:pPr>
          <w:hyperlink w:anchor="_Toc177137011" w:history="1">
            <w:r w:rsidR="00C23DE3" w:rsidRPr="00B01F9E">
              <w:rPr>
                <w:rStyle w:val="Hyperlink"/>
                <w:rFonts w:ascii="Arial" w:hAnsi="Arial" w:cs="Arial"/>
                <w:noProof/>
                <w:sz w:val="20"/>
                <w:szCs w:val="20"/>
              </w:rPr>
              <w:t>5. Analysis Normal Form (ANF)</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_Toc177137011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71</w:t>
            </w:r>
            <w:r w:rsidR="00C23DE3" w:rsidRPr="00B01F9E">
              <w:rPr>
                <w:rFonts w:ascii="Arial" w:hAnsi="Arial" w:cs="Arial"/>
                <w:noProof/>
                <w:webHidden/>
                <w:sz w:val="20"/>
                <w:szCs w:val="20"/>
              </w:rPr>
              <w:fldChar w:fldCharType="end"/>
            </w:r>
          </w:hyperlink>
        </w:p>
        <w:p w14:paraId="32CF48A6" w14:textId="6C42D603"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12" w:history="1">
            <w:r w:rsidR="00C23DE3" w:rsidRPr="00B01F9E">
              <w:rPr>
                <w:rStyle w:val="Hyperlink"/>
                <w:rFonts w:ascii="Arial" w:hAnsi="Arial" w:cs="Arial"/>
                <w:noProof/>
                <w:sz w:val="20"/>
                <w:szCs w:val="20"/>
              </w:rPr>
              <w:t>5.1 ANF Background and Overview</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_Toc177137012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71</w:t>
            </w:r>
            <w:r w:rsidR="00C23DE3" w:rsidRPr="00B01F9E">
              <w:rPr>
                <w:rFonts w:ascii="Arial" w:hAnsi="Arial" w:cs="Arial"/>
                <w:noProof/>
                <w:webHidden/>
                <w:sz w:val="20"/>
                <w:szCs w:val="20"/>
              </w:rPr>
              <w:fldChar w:fldCharType="end"/>
            </w:r>
          </w:hyperlink>
        </w:p>
        <w:p w14:paraId="5522DEFF" w14:textId="6F8DA71D"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13" w:history="1">
            <w:r w:rsidR="00C23DE3" w:rsidRPr="00B01F9E">
              <w:rPr>
                <w:rStyle w:val="Hyperlink"/>
                <w:rFonts w:ascii="Arial" w:hAnsi="Arial" w:cs="Arial"/>
                <w:noProof/>
                <w:sz w:val="20"/>
                <w:szCs w:val="20"/>
              </w:rPr>
              <w:t>5.2 ANF Process and Outcomes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_Toc177137013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72</w:t>
            </w:r>
            <w:r w:rsidR="00C23DE3" w:rsidRPr="00B01F9E">
              <w:rPr>
                <w:rFonts w:ascii="Arial" w:hAnsi="Arial" w:cs="Arial"/>
                <w:noProof/>
                <w:webHidden/>
                <w:sz w:val="20"/>
                <w:szCs w:val="20"/>
              </w:rPr>
              <w:fldChar w:fldCharType="end"/>
            </w:r>
          </w:hyperlink>
        </w:p>
        <w:p w14:paraId="35D1BC8C" w14:textId="43A24285"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14" w:history="1">
            <w:r w:rsidR="00C23DE3" w:rsidRPr="00B01F9E">
              <w:rPr>
                <w:rStyle w:val="Hyperlink"/>
                <w:rFonts w:ascii="Arial" w:hAnsi="Arial" w:cs="Arial"/>
                <w:noProof/>
                <w:sz w:val="20"/>
                <w:szCs w:val="20"/>
              </w:rPr>
              <w:t>5.3 Development of Clinical Narratives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_Toc177137014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84</w:t>
            </w:r>
            <w:r w:rsidR="00C23DE3" w:rsidRPr="00B01F9E">
              <w:rPr>
                <w:rFonts w:ascii="Arial" w:hAnsi="Arial" w:cs="Arial"/>
                <w:noProof/>
                <w:webHidden/>
                <w:sz w:val="20"/>
                <w:szCs w:val="20"/>
              </w:rPr>
              <w:fldChar w:fldCharType="end"/>
            </w:r>
          </w:hyperlink>
        </w:p>
        <w:p w14:paraId="4A3B0D84" w14:textId="742208DA" w:rsidR="00C23DE3" w:rsidRPr="00B01F9E" w:rsidRDefault="00000000" w:rsidP="00C23DE3">
          <w:pPr>
            <w:pStyle w:val="TOC3"/>
            <w:rPr>
              <w:rFonts w:eastAsiaTheme="minorEastAsia"/>
              <w:kern w:val="2"/>
              <w14:ligatures w14:val="standardContextual"/>
            </w:rPr>
          </w:pPr>
          <w:hyperlink w:anchor="_Toc177137015" w:history="1">
            <w:r w:rsidR="00C23DE3" w:rsidRPr="00B01F9E">
              <w:rPr>
                <w:rStyle w:val="Hyperlink"/>
              </w:rPr>
              <w:t>5.3.1 Clinical Narrative 1: Serum Albumin Test</w:t>
            </w:r>
            <w:r w:rsidR="00C23DE3" w:rsidRPr="00B01F9E">
              <w:rPr>
                <w:webHidden/>
              </w:rPr>
              <w:tab/>
            </w:r>
            <w:r w:rsidR="00C23DE3" w:rsidRPr="00B01F9E">
              <w:rPr>
                <w:webHidden/>
              </w:rPr>
              <w:fldChar w:fldCharType="begin"/>
            </w:r>
            <w:r w:rsidR="00C23DE3" w:rsidRPr="00B01F9E">
              <w:rPr>
                <w:webHidden/>
              </w:rPr>
              <w:instrText xml:space="preserve"> PAGEREF _Toc177137015 \h </w:instrText>
            </w:r>
            <w:r w:rsidR="00C23DE3" w:rsidRPr="00B01F9E">
              <w:rPr>
                <w:webHidden/>
              </w:rPr>
            </w:r>
            <w:r w:rsidR="00C23DE3" w:rsidRPr="00B01F9E">
              <w:rPr>
                <w:webHidden/>
              </w:rPr>
              <w:fldChar w:fldCharType="separate"/>
            </w:r>
            <w:r w:rsidR="005232DA">
              <w:rPr>
                <w:webHidden/>
              </w:rPr>
              <w:t>85</w:t>
            </w:r>
            <w:r w:rsidR="00C23DE3" w:rsidRPr="00B01F9E">
              <w:rPr>
                <w:webHidden/>
              </w:rPr>
              <w:fldChar w:fldCharType="end"/>
            </w:r>
          </w:hyperlink>
        </w:p>
        <w:p w14:paraId="568265CE" w14:textId="05880654" w:rsidR="00C23DE3" w:rsidRPr="00B01F9E" w:rsidRDefault="00000000" w:rsidP="00C23DE3">
          <w:pPr>
            <w:pStyle w:val="TOC3"/>
            <w:rPr>
              <w:rFonts w:eastAsiaTheme="minorEastAsia"/>
              <w:kern w:val="2"/>
              <w14:ligatures w14:val="standardContextual"/>
            </w:rPr>
          </w:pPr>
          <w:hyperlink w:anchor="_Toc177137016" w:history="1">
            <w:r w:rsidR="00C23DE3" w:rsidRPr="00B01F9E">
              <w:rPr>
                <w:rStyle w:val="Hyperlink"/>
              </w:rPr>
              <w:t>5.3.2 Clinical Narrative 2: Renal Biopsy</w:t>
            </w:r>
            <w:r w:rsidR="00C23DE3" w:rsidRPr="00B01F9E">
              <w:rPr>
                <w:webHidden/>
              </w:rPr>
              <w:tab/>
            </w:r>
            <w:r w:rsidR="00C23DE3" w:rsidRPr="00B01F9E">
              <w:rPr>
                <w:webHidden/>
              </w:rPr>
              <w:fldChar w:fldCharType="begin"/>
            </w:r>
            <w:r w:rsidR="00C23DE3" w:rsidRPr="00B01F9E">
              <w:rPr>
                <w:webHidden/>
              </w:rPr>
              <w:instrText xml:space="preserve"> PAGEREF _Toc177137016 \h </w:instrText>
            </w:r>
            <w:r w:rsidR="00C23DE3" w:rsidRPr="00B01F9E">
              <w:rPr>
                <w:webHidden/>
              </w:rPr>
            </w:r>
            <w:r w:rsidR="00C23DE3" w:rsidRPr="00B01F9E">
              <w:rPr>
                <w:webHidden/>
              </w:rPr>
              <w:fldChar w:fldCharType="separate"/>
            </w:r>
            <w:r w:rsidR="005232DA">
              <w:rPr>
                <w:webHidden/>
              </w:rPr>
              <w:t>85</w:t>
            </w:r>
            <w:r w:rsidR="00C23DE3" w:rsidRPr="00B01F9E">
              <w:rPr>
                <w:webHidden/>
              </w:rPr>
              <w:fldChar w:fldCharType="end"/>
            </w:r>
          </w:hyperlink>
        </w:p>
        <w:p w14:paraId="63887C68" w14:textId="74AF2335" w:rsidR="00C23DE3" w:rsidRPr="00B01F9E" w:rsidRDefault="00000000" w:rsidP="00C23DE3">
          <w:pPr>
            <w:pStyle w:val="TOC3"/>
            <w:rPr>
              <w:rFonts w:eastAsiaTheme="minorEastAsia"/>
              <w:kern w:val="2"/>
              <w14:ligatures w14:val="standardContextual"/>
            </w:rPr>
          </w:pPr>
          <w:hyperlink w:anchor="_Toc177137017" w:history="1">
            <w:r w:rsidR="00C23DE3" w:rsidRPr="00B01F9E">
              <w:rPr>
                <w:rStyle w:val="Hyperlink"/>
              </w:rPr>
              <w:t>5.3.3 Clinical Narrative 3: Complete Blood Count</w:t>
            </w:r>
            <w:r w:rsidR="00C23DE3" w:rsidRPr="00B01F9E">
              <w:rPr>
                <w:webHidden/>
              </w:rPr>
              <w:tab/>
            </w:r>
            <w:r w:rsidR="00C23DE3" w:rsidRPr="00B01F9E">
              <w:rPr>
                <w:webHidden/>
              </w:rPr>
              <w:fldChar w:fldCharType="begin"/>
            </w:r>
            <w:r w:rsidR="00C23DE3" w:rsidRPr="00B01F9E">
              <w:rPr>
                <w:webHidden/>
              </w:rPr>
              <w:instrText xml:space="preserve"> PAGEREF _Toc177137017 \h </w:instrText>
            </w:r>
            <w:r w:rsidR="00C23DE3" w:rsidRPr="00B01F9E">
              <w:rPr>
                <w:webHidden/>
              </w:rPr>
            </w:r>
            <w:r w:rsidR="00C23DE3" w:rsidRPr="00B01F9E">
              <w:rPr>
                <w:webHidden/>
              </w:rPr>
              <w:fldChar w:fldCharType="separate"/>
            </w:r>
            <w:r w:rsidR="005232DA">
              <w:rPr>
                <w:webHidden/>
              </w:rPr>
              <w:t>88</w:t>
            </w:r>
            <w:r w:rsidR="00C23DE3" w:rsidRPr="00B01F9E">
              <w:rPr>
                <w:webHidden/>
              </w:rPr>
              <w:fldChar w:fldCharType="end"/>
            </w:r>
          </w:hyperlink>
        </w:p>
        <w:p w14:paraId="06198331" w14:textId="129D5BEA" w:rsidR="00C23DE3" w:rsidRPr="00B01F9E" w:rsidRDefault="00000000" w:rsidP="00C23DE3">
          <w:pPr>
            <w:pStyle w:val="TOC3"/>
            <w:rPr>
              <w:rFonts w:eastAsiaTheme="minorEastAsia"/>
              <w:kern w:val="2"/>
              <w14:ligatures w14:val="standardContextual"/>
            </w:rPr>
          </w:pPr>
          <w:hyperlink w:anchor="_Toc177137018" w:history="1">
            <w:r w:rsidR="00C23DE3" w:rsidRPr="00B01F9E">
              <w:rPr>
                <w:rStyle w:val="Hyperlink"/>
              </w:rPr>
              <w:t>5.3.4 Clinical Narrative 4: Lymph Node Biopsy</w:t>
            </w:r>
            <w:r w:rsidR="00C23DE3" w:rsidRPr="00B01F9E">
              <w:rPr>
                <w:webHidden/>
              </w:rPr>
              <w:tab/>
            </w:r>
            <w:r w:rsidR="00C23DE3" w:rsidRPr="00B01F9E">
              <w:rPr>
                <w:webHidden/>
              </w:rPr>
              <w:fldChar w:fldCharType="begin"/>
            </w:r>
            <w:r w:rsidR="00C23DE3" w:rsidRPr="00B01F9E">
              <w:rPr>
                <w:webHidden/>
              </w:rPr>
              <w:instrText xml:space="preserve"> PAGEREF _Toc177137018 \h </w:instrText>
            </w:r>
            <w:r w:rsidR="00C23DE3" w:rsidRPr="00B01F9E">
              <w:rPr>
                <w:webHidden/>
              </w:rPr>
            </w:r>
            <w:r w:rsidR="00C23DE3" w:rsidRPr="00B01F9E">
              <w:rPr>
                <w:webHidden/>
              </w:rPr>
              <w:fldChar w:fldCharType="separate"/>
            </w:r>
            <w:r w:rsidR="005232DA">
              <w:rPr>
                <w:webHidden/>
              </w:rPr>
              <w:t>91</w:t>
            </w:r>
            <w:r w:rsidR="00C23DE3" w:rsidRPr="00B01F9E">
              <w:rPr>
                <w:webHidden/>
              </w:rPr>
              <w:fldChar w:fldCharType="end"/>
            </w:r>
          </w:hyperlink>
        </w:p>
        <w:p w14:paraId="1BCAA760" w14:textId="43697568" w:rsidR="00C23DE3" w:rsidRPr="00B01F9E" w:rsidRDefault="00000000" w:rsidP="00C23DE3">
          <w:pPr>
            <w:pStyle w:val="TOC3"/>
            <w:rPr>
              <w:rFonts w:eastAsiaTheme="minorEastAsia"/>
              <w:kern w:val="2"/>
              <w14:ligatures w14:val="standardContextual"/>
            </w:rPr>
          </w:pPr>
          <w:hyperlink w:anchor="_Toc177137019" w:history="1">
            <w:r w:rsidR="00C23DE3" w:rsidRPr="00B01F9E">
              <w:rPr>
                <w:rStyle w:val="Hyperlink"/>
              </w:rPr>
              <w:t>5.3.5 Clinical Narrative 5: Breast Resection for Cancer</w:t>
            </w:r>
            <w:r w:rsidR="00C23DE3" w:rsidRPr="00B01F9E">
              <w:rPr>
                <w:webHidden/>
              </w:rPr>
              <w:tab/>
            </w:r>
            <w:r w:rsidR="00C23DE3" w:rsidRPr="00B01F9E">
              <w:rPr>
                <w:webHidden/>
              </w:rPr>
              <w:fldChar w:fldCharType="begin"/>
            </w:r>
            <w:r w:rsidR="00C23DE3" w:rsidRPr="00B01F9E">
              <w:rPr>
                <w:webHidden/>
              </w:rPr>
              <w:instrText xml:space="preserve"> PAGEREF _Toc177137019 \h </w:instrText>
            </w:r>
            <w:r w:rsidR="00C23DE3" w:rsidRPr="00B01F9E">
              <w:rPr>
                <w:webHidden/>
              </w:rPr>
            </w:r>
            <w:r w:rsidR="00C23DE3" w:rsidRPr="00B01F9E">
              <w:rPr>
                <w:webHidden/>
              </w:rPr>
              <w:fldChar w:fldCharType="separate"/>
            </w:r>
            <w:r w:rsidR="005232DA">
              <w:rPr>
                <w:webHidden/>
              </w:rPr>
              <w:t>93</w:t>
            </w:r>
            <w:r w:rsidR="00C23DE3" w:rsidRPr="00B01F9E">
              <w:rPr>
                <w:webHidden/>
              </w:rPr>
              <w:fldChar w:fldCharType="end"/>
            </w:r>
          </w:hyperlink>
        </w:p>
        <w:p w14:paraId="4883C6AC" w14:textId="3FF02324" w:rsidR="00C23DE3" w:rsidRPr="00B01F9E" w:rsidRDefault="00000000" w:rsidP="00C23DE3">
          <w:pPr>
            <w:pStyle w:val="TOC3"/>
            <w:rPr>
              <w:rFonts w:eastAsiaTheme="minorEastAsia"/>
              <w:kern w:val="2"/>
              <w14:ligatures w14:val="standardContextual"/>
            </w:rPr>
          </w:pPr>
          <w:hyperlink w:anchor="_Toc177137020" w:history="1">
            <w:r w:rsidR="00C23DE3" w:rsidRPr="00B01F9E">
              <w:rPr>
                <w:rStyle w:val="Hyperlink"/>
              </w:rPr>
              <w:t>5.3.6 Clinical Narrative 6: Self-Administered Syphilis Test</w:t>
            </w:r>
            <w:r w:rsidR="00C23DE3" w:rsidRPr="00B01F9E">
              <w:rPr>
                <w:webHidden/>
              </w:rPr>
              <w:tab/>
            </w:r>
            <w:r w:rsidR="00C23DE3" w:rsidRPr="00B01F9E">
              <w:rPr>
                <w:webHidden/>
              </w:rPr>
              <w:fldChar w:fldCharType="begin"/>
            </w:r>
            <w:r w:rsidR="00C23DE3" w:rsidRPr="00B01F9E">
              <w:rPr>
                <w:webHidden/>
              </w:rPr>
              <w:instrText xml:space="preserve"> PAGEREF _Toc177137020 \h </w:instrText>
            </w:r>
            <w:r w:rsidR="00C23DE3" w:rsidRPr="00B01F9E">
              <w:rPr>
                <w:webHidden/>
              </w:rPr>
            </w:r>
            <w:r w:rsidR="00C23DE3" w:rsidRPr="00B01F9E">
              <w:rPr>
                <w:webHidden/>
              </w:rPr>
              <w:fldChar w:fldCharType="separate"/>
            </w:r>
            <w:r w:rsidR="005232DA">
              <w:rPr>
                <w:webHidden/>
              </w:rPr>
              <w:t>94</w:t>
            </w:r>
            <w:r w:rsidR="00C23DE3" w:rsidRPr="00B01F9E">
              <w:rPr>
                <w:webHidden/>
              </w:rPr>
              <w:fldChar w:fldCharType="end"/>
            </w:r>
          </w:hyperlink>
        </w:p>
        <w:p w14:paraId="02698230" w14:textId="428EF136" w:rsidR="00C23DE3" w:rsidRPr="00B01F9E" w:rsidRDefault="00000000" w:rsidP="00C23DE3">
          <w:pPr>
            <w:pStyle w:val="TOC3"/>
            <w:rPr>
              <w:rFonts w:eastAsiaTheme="minorEastAsia"/>
              <w:kern w:val="2"/>
              <w14:ligatures w14:val="standardContextual"/>
            </w:rPr>
          </w:pPr>
          <w:hyperlink w:anchor="_Toc177137021" w:history="1">
            <w:r w:rsidR="00C23DE3" w:rsidRPr="00B01F9E">
              <w:rPr>
                <w:rStyle w:val="Hyperlink"/>
              </w:rPr>
              <w:t>5.3.7 Clinical Narrative 7: Toxicology</w:t>
            </w:r>
            <w:r w:rsidR="00C23DE3" w:rsidRPr="00B01F9E">
              <w:rPr>
                <w:webHidden/>
              </w:rPr>
              <w:tab/>
            </w:r>
            <w:r w:rsidR="00C23DE3" w:rsidRPr="00B01F9E">
              <w:rPr>
                <w:webHidden/>
              </w:rPr>
              <w:fldChar w:fldCharType="begin"/>
            </w:r>
            <w:r w:rsidR="00C23DE3" w:rsidRPr="00B01F9E">
              <w:rPr>
                <w:webHidden/>
              </w:rPr>
              <w:instrText xml:space="preserve"> PAGEREF _Toc177137021 \h </w:instrText>
            </w:r>
            <w:r w:rsidR="00C23DE3" w:rsidRPr="00B01F9E">
              <w:rPr>
                <w:webHidden/>
              </w:rPr>
            </w:r>
            <w:r w:rsidR="00C23DE3" w:rsidRPr="00B01F9E">
              <w:rPr>
                <w:webHidden/>
              </w:rPr>
              <w:fldChar w:fldCharType="separate"/>
            </w:r>
            <w:r w:rsidR="005232DA">
              <w:rPr>
                <w:webHidden/>
              </w:rPr>
              <w:t>96</w:t>
            </w:r>
            <w:r w:rsidR="00C23DE3" w:rsidRPr="00B01F9E">
              <w:rPr>
                <w:webHidden/>
              </w:rPr>
              <w:fldChar w:fldCharType="end"/>
            </w:r>
          </w:hyperlink>
        </w:p>
        <w:p w14:paraId="24B42CC7" w14:textId="28C487DD" w:rsidR="00C23DE3" w:rsidRPr="00B01F9E" w:rsidRDefault="00000000" w:rsidP="00C23DE3">
          <w:pPr>
            <w:pStyle w:val="TOC3"/>
            <w:rPr>
              <w:rFonts w:eastAsiaTheme="minorEastAsia"/>
              <w:kern w:val="2"/>
              <w14:ligatures w14:val="standardContextual"/>
            </w:rPr>
          </w:pPr>
          <w:hyperlink w:anchor="_Toc177137022" w:history="1">
            <w:r w:rsidR="00C23DE3" w:rsidRPr="00B01F9E">
              <w:rPr>
                <w:rStyle w:val="Hyperlink"/>
              </w:rPr>
              <w:t>5.3.8 Clinical Narrative 8: Blood Culture</w:t>
            </w:r>
            <w:r w:rsidR="00C23DE3" w:rsidRPr="00B01F9E">
              <w:rPr>
                <w:webHidden/>
              </w:rPr>
              <w:tab/>
            </w:r>
            <w:r w:rsidR="00C23DE3" w:rsidRPr="00B01F9E">
              <w:rPr>
                <w:webHidden/>
              </w:rPr>
              <w:fldChar w:fldCharType="begin"/>
            </w:r>
            <w:r w:rsidR="00C23DE3" w:rsidRPr="00B01F9E">
              <w:rPr>
                <w:webHidden/>
              </w:rPr>
              <w:instrText xml:space="preserve"> PAGEREF _Toc177137022 \h </w:instrText>
            </w:r>
            <w:r w:rsidR="00C23DE3" w:rsidRPr="00B01F9E">
              <w:rPr>
                <w:webHidden/>
              </w:rPr>
            </w:r>
            <w:r w:rsidR="00C23DE3" w:rsidRPr="00B01F9E">
              <w:rPr>
                <w:webHidden/>
              </w:rPr>
              <w:fldChar w:fldCharType="separate"/>
            </w:r>
            <w:r w:rsidR="005232DA">
              <w:rPr>
                <w:webHidden/>
              </w:rPr>
              <w:t>96</w:t>
            </w:r>
            <w:r w:rsidR="00C23DE3" w:rsidRPr="00B01F9E">
              <w:rPr>
                <w:webHidden/>
              </w:rPr>
              <w:fldChar w:fldCharType="end"/>
            </w:r>
          </w:hyperlink>
        </w:p>
        <w:p w14:paraId="2F2690C2" w14:textId="1F5D0D82"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23" w:history="1">
            <w:r w:rsidR="00C23DE3" w:rsidRPr="00B01F9E">
              <w:rPr>
                <w:rStyle w:val="Hyperlink"/>
                <w:rFonts w:ascii="Arial" w:hAnsi="Arial" w:cs="Arial"/>
                <w:noProof/>
                <w:sz w:val="20"/>
                <w:szCs w:val="20"/>
              </w:rPr>
              <w:t>5.4 ANF Lessons Learned</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_Toc177137023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101</w:t>
            </w:r>
            <w:r w:rsidR="00C23DE3" w:rsidRPr="00B01F9E">
              <w:rPr>
                <w:rFonts w:ascii="Arial" w:hAnsi="Arial" w:cs="Arial"/>
                <w:noProof/>
                <w:webHidden/>
                <w:sz w:val="20"/>
                <w:szCs w:val="20"/>
              </w:rPr>
              <w:fldChar w:fldCharType="end"/>
            </w:r>
          </w:hyperlink>
        </w:p>
        <w:p w14:paraId="758C3160" w14:textId="46AE93F3" w:rsidR="00C23DE3" w:rsidRPr="00B01F9E" w:rsidRDefault="00000000" w:rsidP="00C23DE3">
          <w:pPr>
            <w:pStyle w:val="TOC3"/>
            <w:rPr>
              <w:rFonts w:eastAsiaTheme="minorEastAsia"/>
              <w:kern w:val="2"/>
              <w14:ligatures w14:val="standardContextual"/>
            </w:rPr>
          </w:pPr>
          <w:hyperlink w:anchor="_Toc177137024" w:history="1">
            <w:r w:rsidR="00C23DE3" w:rsidRPr="00B01F9E">
              <w:rPr>
                <w:rStyle w:val="Hyperlink"/>
              </w:rPr>
              <w:t>5.4.1 Recommended Next Steps</w:t>
            </w:r>
            <w:r w:rsidR="00C23DE3" w:rsidRPr="00B01F9E">
              <w:rPr>
                <w:webHidden/>
              </w:rPr>
              <w:tab/>
            </w:r>
            <w:r w:rsidR="00C23DE3" w:rsidRPr="00B01F9E">
              <w:rPr>
                <w:webHidden/>
              </w:rPr>
              <w:fldChar w:fldCharType="begin"/>
            </w:r>
            <w:r w:rsidR="00C23DE3" w:rsidRPr="00B01F9E">
              <w:rPr>
                <w:webHidden/>
              </w:rPr>
              <w:instrText xml:space="preserve"> PAGEREF _Toc177137024 \h </w:instrText>
            </w:r>
            <w:r w:rsidR="00C23DE3" w:rsidRPr="00B01F9E">
              <w:rPr>
                <w:webHidden/>
              </w:rPr>
            </w:r>
            <w:r w:rsidR="00C23DE3" w:rsidRPr="00B01F9E">
              <w:rPr>
                <w:webHidden/>
              </w:rPr>
              <w:fldChar w:fldCharType="separate"/>
            </w:r>
            <w:r w:rsidR="005232DA">
              <w:rPr>
                <w:webHidden/>
              </w:rPr>
              <w:t>101</w:t>
            </w:r>
            <w:r w:rsidR="00C23DE3" w:rsidRPr="00B01F9E">
              <w:rPr>
                <w:webHidden/>
              </w:rPr>
              <w:fldChar w:fldCharType="end"/>
            </w:r>
          </w:hyperlink>
        </w:p>
        <w:p w14:paraId="1E4F13FB" w14:textId="59DB58C0" w:rsidR="00C23DE3" w:rsidRPr="00B01F9E" w:rsidRDefault="00000000">
          <w:pPr>
            <w:pStyle w:val="TOC1"/>
            <w:tabs>
              <w:tab w:val="left" w:pos="440"/>
              <w:tab w:val="right" w:leader="dot" w:pos="9350"/>
            </w:tabs>
            <w:rPr>
              <w:rFonts w:ascii="Arial" w:eastAsiaTheme="minorEastAsia" w:hAnsi="Arial" w:cs="Arial"/>
              <w:noProof/>
              <w:kern w:val="2"/>
              <w:sz w:val="20"/>
              <w:szCs w:val="20"/>
              <w14:ligatures w14:val="standardContextual"/>
            </w:rPr>
          </w:pPr>
          <w:hyperlink w:anchor="_Toc177137025" w:history="1">
            <w:r w:rsidR="00C23DE3" w:rsidRPr="00B01F9E">
              <w:rPr>
                <w:rStyle w:val="Hyperlink"/>
                <w:rFonts w:ascii="Arial" w:hAnsi="Arial" w:cs="Arial"/>
                <w:noProof/>
                <w:sz w:val="20"/>
                <w:szCs w:val="20"/>
              </w:rPr>
              <w:t>6.</w:t>
            </w:r>
            <w:r w:rsidR="00396DCF" w:rsidRPr="00B01F9E">
              <w:rPr>
                <w:rFonts w:ascii="Arial" w:eastAsiaTheme="minorEastAsia" w:hAnsi="Arial" w:cs="Arial"/>
                <w:noProof/>
                <w:kern w:val="2"/>
                <w:sz w:val="20"/>
                <w:szCs w:val="20"/>
                <w14:ligatures w14:val="standardContextual"/>
              </w:rPr>
              <w:t xml:space="preserve"> </w:t>
            </w:r>
            <w:r w:rsidR="00C23DE3" w:rsidRPr="00B01F9E">
              <w:rPr>
                <w:rStyle w:val="Hyperlink"/>
                <w:rFonts w:ascii="Arial" w:hAnsi="Arial" w:cs="Arial"/>
                <w:noProof/>
                <w:sz w:val="20"/>
                <w:szCs w:val="20"/>
              </w:rPr>
              <w:t>References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_Toc177137025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102</w:t>
            </w:r>
            <w:r w:rsidR="00C23DE3" w:rsidRPr="00B01F9E">
              <w:rPr>
                <w:rFonts w:ascii="Arial" w:hAnsi="Arial" w:cs="Arial"/>
                <w:noProof/>
                <w:webHidden/>
                <w:sz w:val="20"/>
                <w:szCs w:val="20"/>
              </w:rPr>
              <w:fldChar w:fldCharType="end"/>
            </w:r>
          </w:hyperlink>
        </w:p>
        <w:p w14:paraId="5ABE516F" w14:textId="4F95C4CA" w:rsidR="00C23DE3" w:rsidRPr="00B01F9E" w:rsidRDefault="00000000">
          <w:pPr>
            <w:pStyle w:val="TOC1"/>
            <w:tabs>
              <w:tab w:val="right" w:leader="dot" w:pos="9350"/>
            </w:tabs>
            <w:rPr>
              <w:rFonts w:ascii="Arial" w:eastAsiaTheme="minorEastAsia" w:hAnsi="Arial" w:cs="Arial"/>
              <w:noProof/>
              <w:kern w:val="2"/>
              <w:sz w:val="20"/>
              <w:szCs w:val="20"/>
              <w14:ligatures w14:val="standardContextual"/>
            </w:rPr>
          </w:pPr>
          <w:hyperlink w:anchor="_Toc177137026" w:history="1">
            <w:r w:rsidR="00C23DE3" w:rsidRPr="00B01F9E">
              <w:rPr>
                <w:rStyle w:val="Hyperlink"/>
                <w:rFonts w:ascii="Arial" w:hAnsi="Arial" w:cs="Arial"/>
                <w:noProof/>
                <w:sz w:val="20"/>
                <w:szCs w:val="20"/>
              </w:rPr>
              <w:t>7. Appendix</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_Toc177137026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103</w:t>
            </w:r>
            <w:r w:rsidR="00C23DE3" w:rsidRPr="00B01F9E">
              <w:rPr>
                <w:rFonts w:ascii="Arial" w:hAnsi="Arial" w:cs="Arial"/>
                <w:noProof/>
                <w:webHidden/>
                <w:sz w:val="20"/>
                <w:szCs w:val="20"/>
              </w:rPr>
              <w:fldChar w:fldCharType="end"/>
            </w:r>
          </w:hyperlink>
        </w:p>
        <w:p w14:paraId="5246F394" w14:textId="2B81D96C"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27" w:history="1">
            <w:r w:rsidR="00C23DE3" w:rsidRPr="00B01F9E">
              <w:rPr>
                <w:rStyle w:val="Hyperlink"/>
                <w:rFonts w:ascii="Arial" w:hAnsi="Arial" w:cs="Arial"/>
                <w:noProof/>
                <w:sz w:val="20"/>
                <w:szCs w:val="20"/>
              </w:rPr>
              <w:t>7.1 Success Metrics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_Toc177137027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103</w:t>
            </w:r>
            <w:r w:rsidR="00C23DE3" w:rsidRPr="00B01F9E">
              <w:rPr>
                <w:rFonts w:ascii="Arial" w:hAnsi="Arial" w:cs="Arial"/>
                <w:noProof/>
                <w:webHidden/>
                <w:sz w:val="20"/>
                <w:szCs w:val="20"/>
              </w:rPr>
              <w:fldChar w:fldCharType="end"/>
            </w:r>
          </w:hyperlink>
        </w:p>
        <w:p w14:paraId="06FB4FF5" w14:textId="2F798354"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28" w:history="1">
            <w:r w:rsidR="00C23DE3" w:rsidRPr="00B01F9E">
              <w:rPr>
                <w:rStyle w:val="Hyperlink"/>
                <w:rFonts w:ascii="Arial" w:hAnsi="Arial" w:cs="Arial"/>
                <w:noProof/>
                <w:sz w:val="20"/>
                <w:szCs w:val="20"/>
              </w:rPr>
              <w:t>7.2 Terminology Glossary</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_Toc177137028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104</w:t>
            </w:r>
            <w:r w:rsidR="00C23DE3" w:rsidRPr="00B01F9E">
              <w:rPr>
                <w:rFonts w:ascii="Arial" w:hAnsi="Arial" w:cs="Arial"/>
                <w:noProof/>
                <w:webHidden/>
                <w:sz w:val="20"/>
                <w:szCs w:val="20"/>
              </w:rPr>
              <w:fldChar w:fldCharType="end"/>
            </w:r>
          </w:hyperlink>
        </w:p>
        <w:p w14:paraId="72371FA6" w14:textId="7095FC91" w:rsidR="00C23DE3" w:rsidRPr="00B01F9E" w:rsidRDefault="00000000">
          <w:pPr>
            <w:pStyle w:val="TOC2"/>
            <w:tabs>
              <w:tab w:val="right" w:leader="dot" w:pos="9350"/>
            </w:tabs>
            <w:rPr>
              <w:rFonts w:ascii="Arial" w:eastAsiaTheme="minorEastAsia" w:hAnsi="Arial" w:cs="Arial"/>
              <w:noProof/>
              <w:kern w:val="2"/>
              <w:sz w:val="20"/>
              <w:szCs w:val="20"/>
              <w14:ligatures w14:val="standardContextual"/>
            </w:rPr>
          </w:pPr>
          <w:hyperlink w:anchor="_Toc177137029" w:history="1">
            <w:r w:rsidR="00C23DE3" w:rsidRPr="00B01F9E">
              <w:rPr>
                <w:rStyle w:val="Hyperlink"/>
                <w:rFonts w:ascii="Arial" w:hAnsi="Arial" w:cs="Arial"/>
                <w:noProof/>
                <w:sz w:val="20"/>
                <w:szCs w:val="20"/>
              </w:rPr>
              <w:t>7.3 Supplemental Materials</w:t>
            </w:r>
            <w:r w:rsidR="00C23DE3" w:rsidRPr="00B01F9E">
              <w:rPr>
                <w:rFonts w:ascii="Arial" w:hAnsi="Arial" w:cs="Arial"/>
                <w:noProof/>
                <w:webHidden/>
                <w:sz w:val="20"/>
                <w:szCs w:val="20"/>
              </w:rPr>
              <w:tab/>
            </w:r>
            <w:r w:rsidR="00C23DE3" w:rsidRPr="00B01F9E">
              <w:rPr>
                <w:rFonts w:ascii="Arial" w:hAnsi="Arial" w:cs="Arial"/>
                <w:noProof/>
                <w:webHidden/>
                <w:sz w:val="20"/>
                <w:szCs w:val="20"/>
              </w:rPr>
              <w:fldChar w:fldCharType="begin"/>
            </w:r>
            <w:r w:rsidR="00C23DE3" w:rsidRPr="00B01F9E">
              <w:rPr>
                <w:rFonts w:ascii="Arial" w:hAnsi="Arial" w:cs="Arial"/>
                <w:noProof/>
                <w:webHidden/>
                <w:sz w:val="20"/>
                <w:szCs w:val="20"/>
              </w:rPr>
              <w:instrText xml:space="preserve"> PAGEREF _Toc177137029 \h </w:instrText>
            </w:r>
            <w:r w:rsidR="00C23DE3" w:rsidRPr="00B01F9E">
              <w:rPr>
                <w:rFonts w:ascii="Arial" w:hAnsi="Arial" w:cs="Arial"/>
                <w:noProof/>
                <w:webHidden/>
                <w:sz w:val="20"/>
                <w:szCs w:val="20"/>
              </w:rPr>
            </w:r>
            <w:r w:rsidR="00C23DE3" w:rsidRPr="00B01F9E">
              <w:rPr>
                <w:rFonts w:ascii="Arial" w:hAnsi="Arial" w:cs="Arial"/>
                <w:noProof/>
                <w:webHidden/>
                <w:sz w:val="20"/>
                <w:szCs w:val="20"/>
              </w:rPr>
              <w:fldChar w:fldCharType="separate"/>
            </w:r>
            <w:r w:rsidR="005232DA">
              <w:rPr>
                <w:rFonts w:ascii="Arial" w:hAnsi="Arial" w:cs="Arial"/>
                <w:noProof/>
                <w:webHidden/>
                <w:sz w:val="20"/>
                <w:szCs w:val="20"/>
              </w:rPr>
              <w:t>112</w:t>
            </w:r>
            <w:r w:rsidR="00C23DE3" w:rsidRPr="00B01F9E">
              <w:rPr>
                <w:rFonts w:ascii="Arial" w:hAnsi="Arial" w:cs="Arial"/>
                <w:noProof/>
                <w:webHidden/>
                <w:sz w:val="20"/>
                <w:szCs w:val="20"/>
              </w:rPr>
              <w:fldChar w:fldCharType="end"/>
            </w:r>
          </w:hyperlink>
        </w:p>
        <w:p w14:paraId="47C6259B" w14:textId="42E39B50" w:rsidR="00C23DE3" w:rsidRPr="00B01F9E" w:rsidRDefault="00000000" w:rsidP="00C23DE3">
          <w:pPr>
            <w:pStyle w:val="TOC3"/>
            <w:rPr>
              <w:rFonts w:eastAsiaTheme="minorEastAsia"/>
              <w:kern w:val="2"/>
              <w14:ligatures w14:val="standardContextual"/>
            </w:rPr>
          </w:pPr>
          <w:hyperlink w:anchor="_Toc177137030" w:history="1">
            <w:r w:rsidR="00C23DE3" w:rsidRPr="00B01F9E">
              <w:rPr>
                <w:rStyle w:val="Hyperlink"/>
              </w:rPr>
              <w:t>7.3.1 Proof of Concept Supplemental Materials</w:t>
            </w:r>
            <w:r w:rsidR="00C23DE3" w:rsidRPr="00B01F9E">
              <w:rPr>
                <w:webHidden/>
              </w:rPr>
              <w:tab/>
            </w:r>
            <w:r w:rsidR="00C23DE3" w:rsidRPr="00B01F9E">
              <w:rPr>
                <w:webHidden/>
              </w:rPr>
              <w:fldChar w:fldCharType="begin"/>
            </w:r>
            <w:r w:rsidR="00C23DE3" w:rsidRPr="00B01F9E">
              <w:rPr>
                <w:webHidden/>
              </w:rPr>
              <w:instrText xml:space="preserve"> PAGEREF _Toc177137030 \h </w:instrText>
            </w:r>
            <w:r w:rsidR="00C23DE3" w:rsidRPr="00B01F9E">
              <w:rPr>
                <w:webHidden/>
              </w:rPr>
            </w:r>
            <w:r w:rsidR="00C23DE3" w:rsidRPr="00B01F9E">
              <w:rPr>
                <w:webHidden/>
              </w:rPr>
              <w:fldChar w:fldCharType="separate"/>
            </w:r>
            <w:r w:rsidR="005232DA">
              <w:rPr>
                <w:webHidden/>
              </w:rPr>
              <w:t>112</w:t>
            </w:r>
            <w:r w:rsidR="00C23DE3" w:rsidRPr="00B01F9E">
              <w:rPr>
                <w:webHidden/>
              </w:rPr>
              <w:fldChar w:fldCharType="end"/>
            </w:r>
          </w:hyperlink>
        </w:p>
        <w:p w14:paraId="179D805B" w14:textId="530C23E5" w:rsidR="00C23DE3" w:rsidRPr="00B01F9E" w:rsidRDefault="00000000" w:rsidP="00C23DE3">
          <w:pPr>
            <w:pStyle w:val="TOC3"/>
            <w:rPr>
              <w:rFonts w:eastAsiaTheme="minorEastAsia"/>
              <w:kern w:val="2"/>
              <w14:ligatures w14:val="standardContextual"/>
            </w:rPr>
          </w:pPr>
          <w:hyperlink w:anchor="_Toc177137031" w:history="1">
            <w:r w:rsidR="00C23DE3" w:rsidRPr="00B01F9E">
              <w:rPr>
                <w:rStyle w:val="Hyperlink"/>
              </w:rPr>
              <w:t>7.3.2 Training and Education Supplemental Materials</w:t>
            </w:r>
            <w:r w:rsidR="00C23DE3" w:rsidRPr="00B01F9E">
              <w:rPr>
                <w:webHidden/>
              </w:rPr>
              <w:tab/>
            </w:r>
            <w:r w:rsidR="00C23DE3" w:rsidRPr="00B01F9E">
              <w:rPr>
                <w:webHidden/>
              </w:rPr>
              <w:fldChar w:fldCharType="begin"/>
            </w:r>
            <w:r w:rsidR="00C23DE3" w:rsidRPr="00B01F9E">
              <w:rPr>
                <w:webHidden/>
              </w:rPr>
              <w:instrText xml:space="preserve"> PAGEREF _Toc177137031 \h </w:instrText>
            </w:r>
            <w:r w:rsidR="00C23DE3" w:rsidRPr="00B01F9E">
              <w:rPr>
                <w:webHidden/>
              </w:rPr>
            </w:r>
            <w:r w:rsidR="00C23DE3" w:rsidRPr="00B01F9E">
              <w:rPr>
                <w:webHidden/>
              </w:rPr>
              <w:fldChar w:fldCharType="separate"/>
            </w:r>
            <w:r w:rsidR="005232DA">
              <w:rPr>
                <w:webHidden/>
              </w:rPr>
              <w:t>122</w:t>
            </w:r>
            <w:r w:rsidR="00C23DE3" w:rsidRPr="00B01F9E">
              <w:rPr>
                <w:webHidden/>
              </w:rPr>
              <w:fldChar w:fldCharType="end"/>
            </w:r>
          </w:hyperlink>
        </w:p>
        <w:p w14:paraId="1051DCC2" w14:textId="44BFE9C2" w:rsidR="00C23DE3" w:rsidRPr="00B01F9E" w:rsidRDefault="00000000" w:rsidP="00C23DE3">
          <w:pPr>
            <w:pStyle w:val="TOC3"/>
            <w:rPr>
              <w:rFonts w:eastAsiaTheme="minorEastAsia"/>
              <w:kern w:val="2"/>
              <w14:ligatures w14:val="standardContextual"/>
            </w:rPr>
          </w:pPr>
          <w:hyperlink w:anchor="_Toc177137032" w:history="1">
            <w:r w:rsidR="00C23DE3" w:rsidRPr="00B01F9E">
              <w:rPr>
                <w:rStyle w:val="Hyperlink"/>
              </w:rPr>
              <w:t>7.3.3 ANF Supplemental Materials</w:t>
            </w:r>
            <w:r w:rsidR="00C23DE3" w:rsidRPr="00B01F9E">
              <w:rPr>
                <w:webHidden/>
              </w:rPr>
              <w:tab/>
            </w:r>
            <w:r w:rsidR="00C23DE3" w:rsidRPr="00B01F9E">
              <w:rPr>
                <w:webHidden/>
              </w:rPr>
              <w:fldChar w:fldCharType="begin"/>
            </w:r>
            <w:r w:rsidR="00C23DE3" w:rsidRPr="00B01F9E">
              <w:rPr>
                <w:webHidden/>
              </w:rPr>
              <w:instrText xml:space="preserve"> PAGEREF _Toc177137032 \h </w:instrText>
            </w:r>
            <w:r w:rsidR="00C23DE3" w:rsidRPr="00B01F9E">
              <w:rPr>
                <w:webHidden/>
              </w:rPr>
            </w:r>
            <w:r w:rsidR="00C23DE3" w:rsidRPr="00B01F9E">
              <w:rPr>
                <w:webHidden/>
              </w:rPr>
              <w:fldChar w:fldCharType="separate"/>
            </w:r>
            <w:r w:rsidR="005232DA">
              <w:rPr>
                <w:webHidden/>
              </w:rPr>
              <w:t>122</w:t>
            </w:r>
            <w:r w:rsidR="00C23DE3" w:rsidRPr="00B01F9E">
              <w:rPr>
                <w:webHidden/>
              </w:rPr>
              <w:fldChar w:fldCharType="end"/>
            </w:r>
          </w:hyperlink>
        </w:p>
        <w:p w14:paraId="661FADBB" w14:textId="2F8EACB5" w:rsidR="00C70F31" w:rsidRPr="00B01F9E" w:rsidRDefault="00C70F31">
          <w:pPr>
            <w:rPr>
              <w:rFonts w:ascii="Arial" w:hAnsi="Arial" w:cs="Arial"/>
              <w:sz w:val="20"/>
              <w:szCs w:val="20"/>
            </w:rPr>
          </w:pPr>
          <w:r w:rsidRPr="00B01F9E">
            <w:rPr>
              <w:rFonts w:ascii="Arial" w:hAnsi="Arial" w:cs="Arial"/>
              <w:noProof/>
              <w:sz w:val="20"/>
              <w:szCs w:val="20"/>
            </w:rPr>
            <w:fldChar w:fldCharType="end"/>
          </w:r>
        </w:p>
      </w:sdtContent>
    </w:sdt>
    <w:p w14:paraId="15D9F740" w14:textId="77777777" w:rsidR="00F67A7F" w:rsidRPr="00B01F9E" w:rsidRDefault="00F67A7F" w:rsidP="0073293F">
      <w:pPr>
        <w:spacing w:before="40"/>
        <w:ind w:left="540"/>
        <w:rPr>
          <w:rFonts w:ascii="Arial" w:hAnsi="Arial" w:cs="Arial"/>
          <w:color w:val="000000"/>
          <w:sz w:val="20"/>
          <w:szCs w:val="20"/>
        </w:rPr>
      </w:pPr>
    </w:p>
    <w:p w14:paraId="20FA3CDF" w14:textId="77777777" w:rsidR="00F67A7F" w:rsidRPr="00B01F9E" w:rsidRDefault="00F67A7F" w:rsidP="0073293F">
      <w:pPr>
        <w:spacing w:before="40"/>
        <w:ind w:left="540"/>
        <w:rPr>
          <w:rFonts w:ascii="Arial" w:hAnsi="Arial" w:cs="Arial"/>
          <w:color w:val="000000"/>
          <w:sz w:val="20"/>
          <w:szCs w:val="20"/>
        </w:rPr>
      </w:pPr>
    </w:p>
    <w:p w14:paraId="0C1ACAF4" w14:textId="646577C5" w:rsidR="00510410" w:rsidRPr="00B01F9E" w:rsidRDefault="00277E2F" w:rsidP="00277E2F">
      <w:pPr>
        <w:rPr>
          <w:rFonts w:ascii="Arial" w:hAnsi="Arial" w:cs="Arial"/>
          <w:color w:val="000000"/>
          <w:sz w:val="20"/>
          <w:szCs w:val="20"/>
        </w:rPr>
      </w:pPr>
      <w:r w:rsidRPr="00B01F9E">
        <w:rPr>
          <w:rFonts w:ascii="Arial" w:hAnsi="Arial" w:cs="Arial"/>
          <w:color w:val="000000"/>
          <w:sz w:val="20"/>
          <w:szCs w:val="20"/>
        </w:rPr>
        <w:br w:type="page"/>
      </w:r>
    </w:p>
    <w:p w14:paraId="19BCAE4E" w14:textId="36889547" w:rsidR="00DF60BE" w:rsidRPr="00B01F9E" w:rsidRDefault="00C0123E" w:rsidP="00494A0A">
      <w:pPr>
        <w:pStyle w:val="Heading1"/>
        <w:numPr>
          <w:ilvl w:val="1"/>
          <w:numId w:val="2"/>
        </w:numPr>
        <w:spacing w:after="120"/>
        <w:ind w:left="360"/>
        <w:rPr>
          <w:color w:val="009BBF"/>
          <w:sz w:val="20"/>
          <w:szCs w:val="20"/>
        </w:rPr>
      </w:pPr>
      <w:bookmarkStart w:id="0" w:name="_Toc177136978"/>
      <w:r w:rsidRPr="00B01F9E">
        <w:rPr>
          <w:color w:val="009BBF"/>
          <w:sz w:val="20"/>
          <w:szCs w:val="20"/>
        </w:rPr>
        <w:lastRenderedPageBreak/>
        <w:t>EXECUTIVE SUMMARY</w:t>
      </w:r>
      <w:bookmarkEnd w:id="0"/>
    </w:p>
    <w:p w14:paraId="16046D92" w14:textId="5D1D3D2C" w:rsidR="00F661A3" w:rsidRPr="00B01F9E" w:rsidRDefault="00494A0A" w:rsidP="3FEF9B05">
      <w:pPr>
        <w:spacing w:after="120"/>
        <w:rPr>
          <w:rFonts w:ascii="Arial" w:hAnsi="Arial" w:cs="Arial"/>
          <w:sz w:val="20"/>
          <w:szCs w:val="20"/>
        </w:rPr>
      </w:pPr>
      <w:r w:rsidRPr="00B01F9E">
        <w:rPr>
          <w:rFonts w:ascii="Arial" w:hAnsi="Arial" w:cs="Arial"/>
          <w:sz w:val="20"/>
          <w:szCs w:val="20"/>
        </w:rPr>
        <w:t xml:space="preserve">The transformative role of data interoperability in the in vitro diagnostics (IVD) domain is the central theme of this document. Interoperability is the seamless ability of diverse systems to exchange and collaboratively use data. </w:t>
      </w:r>
      <w:r w:rsidR="00F661A3" w:rsidRPr="00B01F9E">
        <w:rPr>
          <w:rFonts w:ascii="Arial" w:hAnsi="Arial" w:cs="Arial"/>
          <w:sz w:val="20"/>
          <w:szCs w:val="20"/>
        </w:rPr>
        <w:t xml:space="preserve">This report </w:t>
      </w:r>
      <w:r w:rsidR="006369E0" w:rsidRPr="00B01F9E">
        <w:rPr>
          <w:rFonts w:ascii="Arial" w:hAnsi="Arial" w:cs="Arial"/>
          <w:sz w:val="20"/>
          <w:szCs w:val="20"/>
        </w:rPr>
        <w:t>outlines the implementation</w:t>
      </w:r>
      <w:r w:rsidR="008E7338" w:rsidRPr="00B01F9E">
        <w:rPr>
          <w:rFonts w:ascii="Arial" w:hAnsi="Arial" w:cs="Arial"/>
          <w:sz w:val="20"/>
          <w:szCs w:val="20"/>
        </w:rPr>
        <w:t xml:space="preserve"> and quality analysis</w:t>
      </w:r>
      <w:r w:rsidR="006369E0" w:rsidRPr="00B01F9E">
        <w:rPr>
          <w:rFonts w:ascii="Arial" w:hAnsi="Arial" w:cs="Arial"/>
          <w:sz w:val="20"/>
          <w:szCs w:val="20"/>
        </w:rPr>
        <w:t xml:space="preserve"> of </w:t>
      </w:r>
      <w:r w:rsidR="00620DA4" w:rsidRPr="00B01F9E">
        <w:rPr>
          <w:rFonts w:ascii="Arial" w:hAnsi="Arial" w:cs="Arial"/>
          <w:sz w:val="20"/>
          <w:szCs w:val="20"/>
        </w:rPr>
        <w:t xml:space="preserve">the structural and semantic interoperability essential for the format, understanding, and organization of data exchanges. </w:t>
      </w:r>
    </w:p>
    <w:p w14:paraId="01434197" w14:textId="2916CEB6" w:rsidR="00620DA4" w:rsidRPr="00B01F9E" w:rsidRDefault="00620DA4" w:rsidP="6F7C83DF">
      <w:pPr>
        <w:spacing w:after="120"/>
        <w:rPr>
          <w:rFonts w:ascii="Arial" w:hAnsi="Arial" w:cs="Arial"/>
          <w:sz w:val="20"/>
          <w:szCs w:val="20"/>
        </w:rPr>
      </w:pPr>
      <w:r w:rsidRPr="00B01F9E">
        <w:rPr>
          <w:rFonts w:ascii="Arial" w:hAnsi="Arial" w:cs="Arial"/>
          <w:sz w:val="20"/>
          <w:szCs w:val="20"/>
        </w:rPr>
        <w:t xml:space="preserve">The </w:t>
      </w:r>
      <w:r w:rsidR="00494A0A" w:rsidRPr="00B01F9E">
        <w:rPr>
          <w:rFonts w:ascii="Arial" w:hAnsi="Arial" w:cs="Arial"/>
          <w:sz w:val="20"/>
          <w:szCs w:val="20"/>
        </w:rPr>
        <w:t>Systemic Harmonization and Interoperability Enhancement for Laboratory Data</w:t>
      </w:r>
      <w:r w:rsidRPr="00B01F9E">
        <w:rPr>
          <w:rFonts w:ascii="Arial" w:hAnsi="Arial" w:cs="Arial"/>
          <w:sz w:val="20"/>
          <w:szCs w:val="20"/>
        </w:rPr>
        <w:t xml:space="preserve"> (SHIELD) </w:t>
      </w:r>
      <w:r w:rsidR="00494A0A" w:rsidRPr="00B01F9E">
        <w:rPr>
          <w:rFonts w:ascii="Arial" w:hAnsi="Arial" w:cs="Arial"/>
          <w:sz w:val="20"/>
          <w:szCs w:val="20"/>
        </w:rPr>
        <w:t xml:space="preserve">initiative serves as a foundation in this space. </w:t>
      </w:r>
      <w:r w:rsidRPr="00B01F9E">
        <w:rPr>
          <w:rFonts w:ascii="Arial" w:hAnsi="Arial" w:cs="Arial"/>
          <w:sz w:val="20"/>
          <w:szCs w:val="20"/>
        </w:rPr>
        <w:t xml:space="preserve">SHIELD aims to collaborate with organizations to build, implement, and support a comprehensive solution addressing clinical and semantic device interoperability of IVD data nationwide. </w:t>
      </w:r>
      <w:r w:rsidR="00494A0A" w:rsidRPr="00B01F9E">
        <w:rPr>
          <w:rFonts w:ascii="Arial" w:hAnsi="Arial" w:cs="Arial"/>
          <w:sz w:val="20"/>
          <w:szCs w:val="20"/>
        </w:rPr>
        <w:t xml:space="preserve">A noteworthy facet of this </w:t>
      </w:r>
      <w:r w:rsidRPr="00B01F9E">
        <w:rPr>
          <w:rFonts w:ascii="Arial" w:hAnsi="Arial" w:cs="Arial"/>
          <w:sz w:val="20"/>
          <w:szCs w:val="20"/>
        </w:rPr>
        <w:t>initiative</w:t>
      </w:r>
      <w:r w:rsidR="00494A0A" w:rsidRPr="00B01F9E">
        <w:rPr>
          <w:rFonts w:ascii="Arial" w:hAnsi="Arial" w:cs="Arial"/>
          <w:sz w:val="20"/>
          <w:szCs w:val="20"/>
        </w:rPr>
        <w:t xml:space="preserve"> is Laboratory Interoperability Data Repository (LIDR) — a centralized repository tailored to streamline both structural and semantic encoding of laboratory results data. </w:t>
      </w:r>
    </w:p>
    <w:p w14:paraId="724F6270" w14:textId="4C86F2D1" w:rsidR="00BC60AC" w:rsidRPr="00B01F9E" w:rsidRDefault="00494A0A" w:rsidP="161EE0DD">
      <w:pPr>
        <w:spacing w:after="120"/>
        <w:rPr>
          <w:rFonts w:ascii="Arial" w:hAnsi="Arial" w:cs="Arial"/>
          <w:sz w:val="20"/>
          <w:szCs w:val="20"/>
        </w:rPr>
      </w:pPr>
      <w:r w:rsidRPr="00B01F9E">
        <w:rPr>
          <w:rFonts w:ascii="Arial" w:hAnsi="Arial" w:cs="Arial"/>
          <w:sz w:val="20"/>
          <w:szCs w:val="20"/>
        </w:rPr>
        <w:t>This document, created by the College of American Pathologists (CAP),</w:t>
      </w:r>
      <w:r w:rsidR="00E535E3" w:rsidRPr="00B01F9E">
        <w:rPr>
          <w:rFonts w:ascii="Arial" w:hAnsi="Arial" w:cs="Arial"/>
          <w:sz w:val="20"/>
          <w:szCs w:val="20"/>
        </w:rPr>
        <w:t xml:space="preserve"> is a continuation of the Year 1 </w:t>
      </w:r>
      <w:r w:rsidR="004D6AE4" w:rsidRPr="00B01F9E">
        <w:rPr>
          <w:rFonts w:ascii="Arial" w:hAnsi="Arial" w:cs="Arial"/>
          <w:sz w:val="20"/>
          <w:szCs w:val="20"/>
        </w:rPr>
        <w:t>IVD Test Data Coding Q</w:t>
      </w:r>
      <w:r w:rsidR="00E535E3" w:rsidRPr="00B01F9E">
        <w:rPr>
          <w:rFonts w:ascii="Arial" w:hAnsi="Arial" w:cs="Arial"/>
          <w:sz w:val="20"/>
          <w:szCs w:val="20"/>
        </w:rPr>
        <w:t xml:space="preserve">uality </w:t>
      </w:r>
      <w:r w:rsidR="004D6AE4" w:rsidRPr="00B01F9E">
        <w:rPr>
          <w:rFonts w:ascii="Arial" w:hAnsi="Arial" w:cs="Arial"/>
          <w:sz w:val="20"/>
          <w:szCs w:val="20"/>
        </w:rPr>
        <w:t>A</w:t>
      </w:r>
      <w:r w:rsidR="00E535E3" w:rsidRPr="00B01F9E">
        <w:rPr>
          <w:rFonts w:ascii="Arial" w:hAnsi="Arial" w:cs="Arial"/>
          <w:sz w:val="20"/>
          <w:szCs w:val="20"/>
        </w:rPr>
        <w:t xml:space="preserve">ssurance </w:t>
      </w:r>
      <w:r w:rsidR="001D4EF8" w:rsidRPr="00B01F9E">
        <w:rPr>
          <w:rFonts w:ascii="Arial" w:hAnsi="Arial" w:cs="Arial"/>
          <w:sz w:val="20"/>
          <w:szCs w:val="20"/>
        </w:rPr>
        <w:t>P</w:t>
      </w:r>
      <w:r w:rsidR="00E535E3" w:rsidRPr="00B01F9E">
        <w:rPr>
          <w:rFonts w:ascii="Arial" w:hAnsi="Arial" w:cs="Arial"/>
          <w:sz w:val="20"/>
          <w:szCs w:val="20"/>
        </w:rPr>
        <w:t>rogram</w:t>
      </w:r>
      <w:r w:rsidR="004D6AE4" w:rsidRPr="00B01F9E">
        <w:rPr>
          <w:rFonts w:ascii="Arial" w:hAnsi="Arial" w:cs="Arial"/>
          <w:sz w:val="20"/>
          <w:szCs w:val="20"/>
        </w:rPr>
        <w:t xml:space="preserve"> (the QA Program)</w:t>
      </w:r>
      <w:r w:rsidR="00E535E3" w:rsidRPr="00B01F9E">
        <w:rPr>
          <w:rFonts w:ascii="Arial" w:hAnsi="Arial" w:cs="Arial"/>
          <w:sz w:val="20"/>
          <w:szCs w:val="20"/>
        </w:rPr>
        <w:t xml:space="preserve"> design and</w:t>
      </w:r>
      <w:r w:rsidRPr="00B01F9E">
        <w:rPr>
          <w:rFonts w:ascii="Arial" w:hAnsi="Arial" w:cs="Arial"/>
          <w:sz w:val="20"/>
          <w:szCs w:val="20"/>
        </w:rPr>
        <w:t xml:space="preserve"> aligns </w:t>
      </w:r>
      <w:r w:rsidR="00620DA4" w:rsidRPr="00B01F9E">
        <w:rPr>
          <w:rFonts w:ascii="Arial" w:hAnsi="Arial" w:cs="Arial"/>
          <w:sz w:val="20"/>
          <w:szCs w:val="20"/>
        </w:rPr>
        <w:t xml:space="preserve">with the FDA’s priority to leverage real-world data. The emphasis lies on utilizing data standards to enhance reliability, interoperability, and overall value of real-world data. </w:t>
      </w:r>
    </w:p>
    <w:p w14:paraId="49DE707C" w14:textId="2D72BCC2" w:rsidR="00EC7A22" w:rsidRPr="00B01F9E" w:rsidRDefault="00620DA4" w:rsidP="6F7C83DF">
      <w:pPr>
        <w:spacing w:after="120"/>
        <w:rPr>
          <w:rFonts w:ascii="Arial" w:hAnsi="Arial" w:cs="Arial"/>
          <w:sz w:val="20"/>
          <w:szCs w:val="20"/>
        </w:rPr>
      </w:pPr>
      <w:r w:rsidRPr="00B01F9E">
        <w:rPr>
          <w:rFonts w:ascii="Arial" w:hAnsi="Arial" w:cs="Arial"/>
          <w:sz w:val="20"/>
          <w:szCs w:val="20"/>
        </w:rPr>
        <w:t>T</w:t>
      </w:r>
      <w:r w:rsidR="00EC7A22" w:rsidRPr="00B01F9E">
        <w:rPr>
          <w:rFonts w:ascii="Arial" w:hAnsi="Arial" w:cs="Arial"/>
          <w:sz w:val="20"/>
          <w:szCs w:val="20"/>
        </w:rPr>
        <w:t>he primary objectives of this report are</w:t>
      </w:r>
      <w:r w:rsidR="00AA1340" w:rsidRPr="00B01F9E">
        <w:rPr>
          <w:rFonts w:ascii="Arial" w:hAnsi="Arial" w:cs="Arial"/>
          <w:sz w:val="20"/>
          <w:szCs w:val="20"/>
        </w:rPr>
        <w:t xml:space="preserve"> to</w:t>
      </w:r>
      <w:r w:rsidR="00E85F43" w:rsidRPr="00B01F9E">
        <w:rPr>
          <w:rFonts w:ascii="Arial" w:hAnsi="Arial" w:cs="Arial"/>
          <w:sz w:val="20"/>
          <w:szCs w:val="20"/>
        </w:rPr>
        <w:t xml:space="preserve"> </w:t>
      </w:r>
      <w:r w:rsidR="00BC60AC" w:rsidRPr="00B01F9E">
        <w:rPr>
          <w:rFonts w:ascii="Arial" w:hAnsi="Arial" w:cs="Arial"/>
          <w:sz w:val="20"/>
          <w:szCs w:val="20"/>
        </w:rPr>
        <w:t>describe the findings and outcomes of</w:t>
      </w:r>
      <w:r w:rsidR="00EC7A22" w:rsidRPr="00B01F9E">
        <w:rPr>
          <w:rFonts w:ascii="Arial" w:hAnsi="Arial" w:cs="Arial"/>
          <w:sz w:val="20"/>
          <w:szCs w:val="20"/>
        </w:rPr>
        <w:t>:</w:t>
      </w:r>
    </w:p>
    <w:p w14:paraId="700A5B55" w14:textId="77777777" w:rsidR="00EC7A22" w:rsidRPr="00B01F9E" w:rsidRDefault="00EC7A22" w:rsidP="00EC7A22">
      <w:pPr>
        <w:spacing w:after="120"/>
        <w:ind w:left="360"/>
        <w:rPr>
          <w:rFonts w:ascii="Arial" w:hAnsi="Arial" w:cs="Arial"/>
          <w:sz w:val="20"/>
          <w:szCs w:val="20"/>
        </w:rPr>
      </w:pPr>
      <w:r w:rsidRPr="00B01F9E">
        <w:rPr>
          <w:rFonts w:ascii="Arial" w:hAnsi="Arial" w:cs="Arial"/>
          <w:sz w:val="20"/>
          <w:szCs w:val="20"/>
        </w:rPr>
        <w:t xml:space="preserve">1. Proof of Concept (POC) Implementation: </w:t>
      </w:r>
    </w:p>
    <w:p w14:paraId="59AAD61E" w14:textId="302286A2" w:rsidR="00620DA4" w:rsidRPr="00B01F9E" w:rsidRDefault="00EC7A22" w:rsidP="00BC2A2D">
      <w:pPr>
        <w:pStyle w:val="ListParagraph"/>
        <w:numPr>
          <w:ilvl w:val="0"/>
          <w:numId w:val="106"/>
        </w:numPr>
        <w:rPr>
          <w:rFonts w:ascii="Arial" w:hAnsi="Arial" w:cs="Arial"/>
          <w:sz w:val="20"/>
          <w:szCs w:val="20"/>
        </w:rPr>
      </w:pPr>
      <w:r w:rsidRPr="00B01F9E">
        <w:rPr>
          <w:rFonts w:ascii="Arial" w:hAnsi="Arial" w:cs="Arial"/>
          <w:sz w:val="20"/>
          <w:szCs w:val="20"/>
        </w:rPr>
        <w:t xml:space="preserve">Conducted POC with Duke University Health System Clinical Laboratory to understand if test results could be encoded and transmitted with </w:t>
      </w:r>
      <w:r w:rsidR="005825A2" w:rsidRPr="00B01F9E">
        <w:rPr>
          <w:rFonts w:ascii="Arial" w:hAnsi="Arial" w:cs="Arial"/>
          <w:sz w:val="20"/>
          <w:szCs w:val="20"/>
        </w:rPr>
        <w:t>simulated</w:t>
      </w:r>
      <w:r w:rsidRPr="00B01F9E">
        <w:rPr>
          <w:rFonts w:ascii="Arial" w:hAnsi="Arial" w:cs="Arial"/>
          <w:sz w:val="20"/>
          <w:szCs w:val="20"/>
        </w:rPr>
        <w:t xml:space="preserve"> LIDR elements </w:t>
      </w:r>
    </w:p>
    <w:p w14:paraId="4737FB2F" w14:textId="2F89A62A" w:rsidR="00EC7A22" w:rsidRPr="00B01F9E" w:rsidRDefault="00EC7A22" w:rsidP="00BC2A2D">
      <w:pPr>
        <w:pStyle w:val="ListParagraph"/>
        <w:numPr>
          <w:ilvl w:val="0"/>
          <w:numId w:val="106"/>
        </w:numPr>
        <w:rPr>
          <w:rFonts w:ascii="Arial" w:hAnsi="Arial" w:cs="Arial"/>
          <w:sz w:val="20"/>
          <w:szCs w:val="20"/>
        </w:rPr>
      </w:pPr>
      <w:r w:rsidRPr="00B01F9E">
        <w:rPr>
          <w:rFonts w:ascii="Arial" w:hAnsi="Arial" w:cs="Arial"/>
          <w:sz w:val="20"/>
          <w:szCs w:val="20"/>
        </w:rPr>
        <w:t xml:space="preserve">Identified potential gaps in the design and evaluated whether the encoded test data met necessary data transmission standards </w:t>
      </w:r>
    </w:p>
    <w:p w14:paraId="4679A508" w14:textId="499303DA" w:rsidR="00EC7A22" w:rsidRPr="00B01F9E" w:rsidRDefault="00EC7A22" w:rsidP="00027340">
      <w:pPr>
        <w:spacing w:after="120"/>
        <w:ind w:left="360"/>
        <w:rPr>
          <w:rFonts w:ascii="Arial" w:hAnsi="Arial" w:cs="Arial"/>
          <w:sz w:val="20"/>
          <w:szCs w:val="20"/>
        </w:rPr>
      </w:pPr>
      <w:r w:rsidRPr="00B01F9E">
        <w:rPr>
          <w:rFonts w:ascii="Arial" w:hAnsi="Arial" w:cs="Arial"/>
          <w:sz w:val="20"/>
          <w:szCs w:val="20"/>
        </w:rPr>
        <w:t xml:space="preserve">2. Development of Training and Education Material Prototypes: </w:t>
      </w:r>
    </w:p>
    <w:p w14:paraId="5662181B" w14:textId="28618C51" w:rsidR="00CB35EA" w:rsidRPr="00B01F9E" w:rsidRDefault="00CB35EA" w:rsidP="00A30583">
      <w:pPr>
        <w:pStyle w:val="ListParagraph"/>
        <w:numPr>
          <w:ilvl w:val="0"/>
          <w:numId w:val="107"/>
        </w:numPr>
        <w:rPr>
          <w:rFonts w:ascii="Arial" w:hAnsi="Arial" w:cs="Arial"/>
          <w:sz w:val="20"/>
          <w:szCs w:val="20"/>
        </w:rPr>
      </w:pPr>
      <w:r w:rsidRPr="00B01F9E">
        <w:rPr>
          <w:rFonts w:ascii="Arial" w:hAnsi="Arial" w:cs="Arial"/>
          <w:sz w:val="20"/>
          <w:szCs w:val="20"/>
        </w:rPr>
        <w:t xml:space="preserve">Created a framework to offer training and education to inform laboratories about system changes required to implement the proof of concept </w:t>
      </w:r>
    </w:p>
    <w:p w14:paraId="34E0CCD2" w14:textId="18586FC7" w:rsidR="00027340" w:rsidRPr="00B01F9E" w:rsidRDefault="000056A7" w:rsidP="00A30583">
      <w:pPr>
        <w:pStyle w:val="ListParagraph"/>
        <w:numPr>
          <w:ilvl w:val="0"/>
          <w:numId w:val="107"/>
        </w:numPr>
        <w:rPr>
          <w:rFonts w:ascii="Arial" w:hAnsi="Arial" w:cs="Arial"/>
          <w:sz w:val="20"/>
          <w:szCs w:val="20"/>
        </w:rPr>
      </w:pPr>
      <w:r w:rsidRPr="00B01F9E">
        <w:rPr>
          <w:rFonts w:ascii="Arial" w:hAnsi="Arial" w:cs="Arial"/>
          <w:sz w:val="20"/>
          <w:szCs w:val="20"/>
        </w:rPr>
        <w:t xml:space="preserve">Developed </w:t>
      </w:r>
      <w:r w:rsidR="00027340" w:rsidRPr="00B01F9E">
        <w:rPr>
          <w:rFonts w:ascii="Arial" w:hAnsi="Arial" w:cs="Arial"/>
          <w:sz w:val="20"/>
          <w:szCs w:val="20"/>
        </w:rPr>
        <w:t xml:space="preserve">training and educational tools including instructional materials, online tutorials, and educational videos </w:t>
      </w:r>
    </w:p>
    <w:p w14:paraId="4783D0BC" w14:textId="6BA2986C" w:rsidR="00EC7A22" w:rsidRPr="00B01F9E" w:rsidRDefault="00027340" w:rsidP="00EC4C25">
      <w:pPr>
        <w:spacing w:after="120"/>
        <w:ind w:left="360"/>
        <w:rPr>
          <w:rFonts w:ascii="Arial" w:hAnsi="Arial" w:cs="Arial"/>
          <w:sz w:val="20"/>
          <w:szCs w:val="20"/>
        </w:rPr>
      </w:pPr>
      <w:r w:rsidRPr="00B01F9E">
        <w:rPr>
          <w:rFonts w:ascii="Arial" w:hAnsi="Arial" w:cs="Arial"/>
          <w:sz w:val="20"/>
          <w:szCs w:val="20"/>
        </w:rPr>
        <w:t xml:space="preserve">3. Analysis Normal Form (ANF) </w:t>
      </w:r>
    </w:p>
    <w:p w14:paraId="53B0A44B" w14:textId="7ED6A722" w:rsidR="00EC4C25" w:rsidRPr="00B01F9E" w:rsidRDefault="00EC4C25" w:rsidP="00A30583">
      <w:pPr>
        <w:pStyle w:val="ListParagraph"/>
        <w:numPr>
          <w:ilvl w:val="0"/>
          <w:numId w:val="108"/>
        </w:numPr>
        <w:rPr>
          <w:rFonts w:ascii="Arial" w:hAnsi="Arial" w:cs="Arial"/>
          <w:sz w:val="20"/>
          <w:szCs w:val="20"/>
        </w:rPr>
      </w:pPr>
      <w:r w:rsidRPr="00B01F9E">
        <w:rPr>
          <w:rFonts w:ascii="Arial" w:hAnsi="Arial" w:cs="Arial"/>
          <w:sz w:val="20"/>
          <w:szCs w:val="20"/>
        </w:rPr>
        <w:t xml:space="preserve">Developed clinical narratives focused on laboratory workflows involving IVD tests to support and enhance ANF statement development </w:t>
      </w:r>
    </w:p>
    <w:p w14:paraId="7069F431" w14:textId="534DD271" w:rsidR="0025794E" w:rsidRPr="00B01F9E" w:rsidRDefault="00EC4C25" w:rsidP="00A30583">
      <w:pPr>
        <w:pStyle w:val="ListParagraph"/>
        <w:numPr>
          <w:ilvl w:val="0"/>
          <w:numId w:val="108"/>
        </w:numPr>
        <w:rPr>
          <w:rFonts w:ascii="Arial" w:hAnsi="Arial" w:cs="Arial"/>
          <w:sz w:val="20"/>
          <w:szCs w:val="20"/>
        </w:rPr>
      </w:pPr>
      <w:r w:rsidRPr="00B01F9E">
        <w:rPr>
          <w:rFonts w:ascii="Arial" w:hAnsi="Arial" w:cs="Arial"/>
          <w:sz w:val="20"/>
          <w:szCs w:val="20"/>
        </w:rPr>
        <w:t>Applied existing ANF data elements to clinical narratives and identified modification or additional</w:t>
      </w:r>
      <w:r w:rsidR="00533C2F" w:rsidRPr="00B01F9E">
        <w:rPr>
          <w:rFonts w:ascii="Arial" w:hAnsi="Arial" w:cs="Arial"/>
          <w:sz w:val="20"/>
          <w:szCs w:val="20"/>
        </w:rPr>
        <w:t xml:space="preserve"> data elements</w:t>
      </w:r>
      <w:r w:rsidRPr="00B01F9E">
        <w:rPr>
          <w:rFonts w:ascii="Arial" w:hAnsi="Arial" w:cs="Arial"/>
          <w:sz w:val="20"/>
          <w:szCs w:val="20"/>
        </w:rPr>
        <w:t xml:space="preserve"> to enhance the model’s relevance to </w:t>
      </w:r>
      <w:r w:rsidR="0034137B" w:rsidRPr="00B01F9E">
        <w:rPr>
          <w:rFonts w:ascii="Arial" w:hAnsi="Arial" w:cs="Arial"/>
          <w:sz w:val="20"/>
          <w:szCs w:val="20"/>
        </w:rPr>
        <w:t>anatomic and clinical pathology</w:t>
      </w:r>
    </w:p>
    <w:p w14:paraId="19478193" w14:textId="6C7E435E" w:rsidR="0025794E" w:rsidRPr="00B01F9E" w:rsidRDefault="0025794E" w:rsidP="5F3E67D5">
      <w:pPr>
        <w:spacing w:after="120"/>
        <w:rPr>
          <w:rFonts w:ascii="Arial" w:hAnsi="Arial" w:cs="Arial"/>
          <w:sz w:val="20"/>
          <w:szCs w:val="20"/>
        </w:rPr>
      </w:pPr>
      <w:r w:rsidRPr="00B01F9E">
        <w:rPr>
          <w:rFonts w:ascii="Arial" w:hAnsi="Arial" w:cs="Arial"/>
          <w:sz w:val="20"/>
          <w:szCs w:val="20"/>
        </w:rPr>
        <w:t>This document reviews the processes and challenges related to implementing an IVD test data encoding quality assurance program. The quality assurance program proof of concept experience offers insights and strategies into both the needs of implementing the program and the needs of a national laboratory test results interoperability solution.</w:t>
      </w:r>
    </w:p>
    <w:p w14:paraId="391CBEF7" w14:textId="360CDA1B" w:rsidR="00620DA4" w:rsidRPr="00B01F9E" w:rsidRDefault="00620DA4" w:rsidP="00CD1FBD">
      <w:pPr>
        <w:rPr>
          <w:rFonts w:ascii="Arial" w:hAnsi="Arial" w:cs="Arial"/>
          <w:sz w:val="20"/>
          <w:szCs w:val="20"/>
        </w:rPr>
      </w:pPr>
    </w:p>
    <w:p w14:paraId="1849F7C5" w14:textId="07031FB2" w:rsidR="00087840" w:rsidRPr="00B01F9E" w:rsidRDefault="00C0123E" w:rsidP="00087840">
      <w:pPr>
        <w:pStyle w:val="Heading1"/>
        <w:numPr>
          <w:ilvl w:val="1"/>
          <w:numId w:val="2"/>
        </w:numPr>
        <w:spacing w:after="120"/>
        <w:ind w:left="360"/>
        <w:rPr>
          <w:color w:val="009BBF"/>
          <w:sz w:val="20"/>
          <w:szCs w:val="20"/>
        </w:rPr>
      </w:pPr>
      <w:bookmarkStart w:id="1" w:name="_Toc177136979"/>
      <w:r w:rsidRPr="00B01F9E">
        <w:rPr>
          <w:color w:val="009BBF"/>
          <w:sz w:val="20"/>
          <w:szCs w:val="20"/>
        </w:rPr>
        <w:lastRenderedPageBreak/>
        <w:t>INTRODUCTION</w:t>
      </w:r>
      <w:bookmarkEnd w:id="1"/>
      <w:r w:rsidRPr="00B01F9E">
        <w:rPr>
          <w:color w:val="009BBF"/>
          <w:sz w:val="20"/>
          <w:szCs w:val="20"/>
        </w:rPr>
        <w:t xml:space="preserve"> </w:t>
      </w:r>
    </w:p>
    <w:p w14:paraId="4E54A7BA" w14:textId="66189272" w:rsidR="0085255F" w:rsidRPr="00B01F9E" w:rsidRDefault="0085255F" w:rsidP="0085255F">
      <w:pPr>
        <w:spacing w:after="120"/>
        <w:rPr>
          <w:rFonts w:ascii="Arial" w:hAnsi="Arial" w:cs="Arial"/>
          <w:sz w:val="20"/>
          <w:szCs w:val="20"/>
        </w:rPr>
      </w:pPr>
      <w:r w:rsidRPr="00B01F9E">
        <w:rPr>
          <w:rFonts w:ascii="Arial" w:hAnsi="Arial" w:cs="Arial"/>
          <w:sz w:val="20"/>
          <w:szCs w:val="20"/>
        </w:rPr>
        <w:t>Improving interoperability within the in vitro diagnostics (IVD)</w:t>
      </w:r>
      <w:r w:rsidR="00DA31C4" w:rsidRPr="00B01F9E">
        <w:rPr>
          <w:rStyle w:val="FootnoteReference"/>
          <w:rFonts w:ascii="Arial" w:hAnsi="Arial" w:cs="Arial"/>
          <w:sz w:val="20"/>
          <w:szCs w:val="20"/>
        </w:rPr>
        <w:footnoteReference w:customMarkFollows="1" w:id="2"/>
        <w:t>*</w:t>
      </w:r>
      <w:r w:rsidR="0006626F" w:rsidRPr="00B01F9E" w:rsidDel="0006626F">
        <w:rPr>
          <w:rStyle w:val="FootnoteReference"/>
          <w:rFonts w:ascii="Arial" w:hAnsi="Arial" w:cs="Arial"/>
          <w:sz w:val="20"/>
          <w:szCs w:val="20"/>
        </w:rPr>
        <w:t xml:space="preserve"> </w:t>
      </w:r>
      <w:r w:rsidRPr="00B01F9E">
        <w:rPr>
          <w:rFonts w:ascii="Arial" w:hAnsi="Arial" w:cs="Arial"/>
          <w:sz w:val="20"/>
          <w:szCs w:val="20"/>
        </w:rPr>
        <w:t>space has been a focus of the Food and Drug Administration (FDA), as well as other federal agencies, as seen through the creation of the SHIELD collaboration. Interoperability, as defined by the Healthcare Information and Management Systems Society (HIMSS), is the ability of different information systems, devices, and applications to access, exchange, integrate</w:t>
      </w:r>
      <w:r w:rsidR="00BB1861" w:rsidRPr="00B01F9E">
        <w:rPr>
          <w:rFonts w:ascii="Arial" w:hAnsi="Arial" w:cs="Arial"/>
          <w:sz w:val="20"/>
          <w:szCs w:val="20"/>
        </w:rPr>
        <w:t>,</w:t>
      </w:r>
      <w:r w:rsidRPr="00B01F9E">
        <w:rPr>
          <w:rFonts w:ascii="Arial" w:hAnsi="Arial" w:cs="Arial"/>
          <w:sz w:val="20"/>
          <w:szCs w:val="20"/>
        </w:rPr>
        <w:t xml:space="preserve"> and cooperatively use data in a coordinated manner, within and across organizational, regional, and national boundaries, to provide timely and seamless portability of information. </w:t>
      </w:r>
    </w:p>
    <w:p w14:paraId="20B37259" w14:textId="2358F489" w:rsidR="0085255F" w:rsidRPr="00B01F9E" w:rsidRDefault="0085255F" w:rsidP="0085255F">
      <w:pPr>
        <w:spacing w:after="120"/>
        <w:rPr>
          <w:rFonts w:ascii="Arial" w:hAnsi="Arial" w:cs="Arial"/>
          <w:sz w:val="20"/>
          <w:szCs w:val="20"/>
        </w:rPr>
      </w:pPr>
      <w:r w:rsidRPr="00B01F9E">
        <w:rPr>
          <w:rFonts w:ascii="Arial" w:hAnsi="Arial" w:cs="Arial"/>
          <w:sz w:val="20"/>
          <w:szCs w:val="20"/>
        </w:rPr>
        <w:t>SHIELD aims to collaborate with organizations to build, implement, and support a comprehensive solution that addresses clinical and semantic device interoperability of IVD data across the nation. As a part of the solution, SHIELD aims to introduce a centralized reference database of standardized test data elements, LIDR</w:t>
      </w:r>
      <w:r w:rsidR="003925F9" w:rsidRPr="00B01F9E">
        <w:rPr>
          <w:rFonts w:ascii="Arial" w:hAnsi="Arial" w:cs="Arial"/>
          <w:sz w:val="20"/>
          <w:szCs w:val="20"/>
        </w:rPr>
        <w:t>,</w:t>
      </w:r>
      <w:r w:rsidRPr="00B01F9E">
        <w:rPr>
          <w:rFonts w:ascii="Arial" w:hAnsi="Arial" w:cs="Arial"/>
          <w:sz w:val="20"/>
          <w:szCs w:val="20"/>
        </w:rPr>
        <w:t xml:space="preserve"> that will assist in the facilitation of structural and semantic interoperability. </w:t>
      </w:r>
    </w:p>
    <w:p w14:paraId="1F3689C4" w14:textId="5674EF55" w:rsidR="0085255F" w:rsidRPr="00B01F9E" w:rsidRDefault="0085255F" w:rsidP="0085255F">
      <w:pPr>
        <w:spacing w:after="120"/>
        <w:rPr>
          <w:rFonts w:ascii="Arial" w:hAnsi="Arial" w:cs="Arial"/>
          <w:sz w:val="20"/>
          <w:szCs w:val="20"/>
        </w:rPr>
      </w:pPr>
      <w:r w:rsidRPr="00B01F9E">
        <w:rPr>
          <w:rFonts w:ascii="Arial" w:hAnsi="Arial" w:cs="Arial"/>
          <w:sz w:val="20"/>
          <w:szCs w:val="20"/>
        </w:rPr>
        <w:t xml:space="preserve">This document was created by the CAP in support of SHIELD and as a continuation of efforts that were completed in Year 1, which established a strategic design for quality organizations to leverage standardized coding, such as LIDR, enabling </w:t>
      </w:r>
      <w:r w:rsidR="00F50243" w:rsidRPr="00B01F9E">
        <w:rPr>
          <w:rFonts w:ascii="Arial" w:hAnsi="Arial" w:cs="Arial"/>
          <w:sz w:val="20"/>
          <w:szCs w:val="20"/>
        </w:rPr>
        <w:t xml:space="preserve">semantic </w:t>
      </w:r>
      <w:r w:rsidRPr="00B01F9E">
        <w:rPr>
          <w:rFonts w:ascii="Arial" w:hAnsi="Arial" w:cs="Arial"/>
          <w:sz w:val="20"/>
          <w:szCs w:val="20"/>
        </w:rPr>
        <w:t xml:space="preserve">transmission of test results by laboratories. Year 1 outlined a high-level design for a QA program to assess accuracy and </w:t>
      </w:r>
      <w:r w:rsidR="003949D5" w:rsidRPr="00B01F9E">
        <w:rPr>
          <w:rFonts w:ascii="Arial" w:hAnsi="Arial" w:cs="Arial"/>
          <w:sz w:val="20"/>
          <w:szCs w:val="20"/>
        </w:rPr>
        <w:t>completeness</w:t>
      </w:r>
      <w:r w:rsidRPr="00B01F9E">
        <w:rPr>
          <w:rFonts w:ascii="Arial" w:hAnsi="Arial" w:cs="Arial"/>
          <w:sz w:val="20"/>
          <w:szCs w:val="20"/>
        </w:rPr>
        <w:t xml:space="preserve"> of laboratory-encoded data. This document aligns to the FDA research interest in “</w:t>
      </w:r>
      <w:r w:rsidR="00986C80" w:rsidRPr="00B01F9E">
        <w:rPr>
          <w:rFonts w:ascii="Arial" w:hAnsi="Arial" w:cs="Arial"/>
          <w:sz w:val="20"/>
          <w:szCs w:val="20"/>
        </w:rPr>
        <w:t>l</w:t>
      </w:r>
      <w:r w:rsidRPr="00B01F9E">
        <w:rPr>
          <w:rFonts w:ascii="Arial" w:hAnsi="Arial" w:cs="Arial"/>
          <w:sz w:val="20"/>
          <w:szCs w:val="20"/>
        </w:rPr>
        <w:t xml:space="preserve">everaging existing and future data” by developing standards for data quality and data sources that increase the quality, interoperability, and usability of real-world data. There are three primary objectives accomplished through the content below. </w:t>
      </w:r>
    </w:p>
    <w:p w14:paraId="33350973" w14:textId="27403664" w:rsidR="2665EA89" w:rsidRPr="00B01F9E" w:rsidRDefault="0085255F" w:rsidP="5529E761">
      <w:pPr>
        <w:spacing w:after="120"/>
        <w:rPr>
          <w:rFonts w:ascii="Arial" w:eastAsia="Arial" w:hAnsi="Arial" w:cs="Arial"/>
          <w:color w:val="FF0000"/>
          <w:sz w:val="20"/>
          <w:szCs w:val="20"/>
        </w:rPr>
      </w:pPr>
      <w:r w:rsidRPr="00B01F9E">
        <w:rPr>
          <w:rFonts w:ascii="Arial" w:hAnsi="Arial" w:cs="Arial"/>
          <w:sz w:val="20"/>
          <w:szCs w:val="20"/>
        </w:rPr>
        <w:t xml:space="preserve">The first objective was to perform a POC with the selected laboratory, Duke University Health System Clinical Laboratory, to understand if test results could be encoded and transmitted with the LIDR elements and to identify potential gaps with the design. </w:t>
      </w:r>
      <w:r w:rsidR="00AA1AF4" w:rsidRPr="00B01F9E">
        <w:rPr>
          <w:rFonts w:ascii="Arial" w:hAnsi="Arial" w:cs="Arial"/>
          <w:sz w:val="20"/>
          <w:szCs w:val="20"/>
        </w:rPr>
        <w:t xml:space="preserve">As LIDR is </w:t>
      </w:r>
      <w:r w:rsidR="00594D2E" w:rsidRPr="00B01F9E">
        <w:rPr>
          <w:rFonts w:ascii="Arial" w:hAnsi="Arial" w:cs="Arial"/>
          <w:sz w:val="20"/>
          <w:szCs w:val="20"/>
        </w:rPr>
        <w:t>still in the conceptual stage</w:t>
      </w:r>
      <w:r w:rsidR="00AA1AF4" w:rsidRPr="00B01F9E">
        <w:rPr>
          <w:rFonts w:ascii="Arial" w:hAnsi="Arial" w:cs="Arial"/>
          <w:sz w:val="20"/>
          <w:szCs w:val="20"/>
        </w:rPr>
        <w:t xml:space="preserve">, the CAP developed and utilized a simulated LIDR </w:t>
      </w:r>
      <w:r w:rsidR="00594D2E" w:rsidRPr="00B01F9E">
        <w:rPr>
          <w:rFonts w:ascii="Arial" w:hAnsi="Arial" w:cs="Arial"/>
          <w:sz w:val="20"/>
          <w:szCs w:val="20"/>
        </w:rPr>
        <w:t>in the POC.</w:t>
      </w:r>
      <w:r w:rsidR="00AA1AF4" w:rsidRPr="00B01F9E">
        <w:rPr>
          <w:rFonts w:ascii="Arial" w:hAnsi="Arial" w:cs="Arial"/>
          <w:sz w:val="20"/>
          <w:szCs w:val="20"/>
        </w:rPr>
        <w:t xml:space="preserve"> </w:t>
      </w:r>
      <w:r w:rsidRPr="00B01F9E">
        <w:rPr>
          <w:rFonts w:ascii="Arial" w:hAnsi="Arial" w:cs="Arial"/>
          <w:sz w:val="20"/>
          <w:szCs w:val="20"/>
        </w:rPr>
        <w:t>The submitted data w</w:t>
      </w:r>
      <w:r w:rsidR="000F0103" w:rsidRPr="00B01F9E">
        <w:rPr>
          <w:rFonts w:ascii="Arial" w:hAnsi="Arial" w:cs="Arial"/>
          <w:sz w:val="20"/>
          <w:szCs w:val="20"/>
        </w:rPr>
        <w:t>ere</w:t>
      </w:r>
      <w:r w:rsidRPr="00B01F9E">
        <w:rPr>
          <w:rFonts w:ascii="Arial" w:hAnsi="Arial" w:cs="Arial"/>
          <w:sz w:val="20"/>
          <w:szCs w:val="20"/>
        </w:rPr>
        <w:t xml:space="preserve"> consumed and </w:t>
      </w:r>
      <w:r w:rsidR="002D4B52" w:rsidRPr="00B01F9E">
        <w:rPr>
          <w:rFonts w:ascii="Arial" w:hAnsi="Arial" w:cs="Arial"/>
          <w:sz w:val="20"/>
          <w:szCs w:val="20"/>
        </w:rPr>
        <w:t xml:space="preserve">analyzed </w:t>
      </w:r>
      <w:r w:rsidR="0099260E" w:rsidRPr="00B01F9E">
        <w:rPr>
          <w:rFonts w:ascii="Arial" w:hAnsi="Arial" w:cs="Arial"/>
          <w:sz w:val="20"/>
          <w:szCs w:val="20"/>
        </w:rPr>
        <w:t xml:space="preserve">through the CAP quality assurance program POC. </w:t>
      </w:r>
      <w:r w:rsidR="00006EFD" w:rsidRPr="00B01F9E">
        <w:rPr>
          <w:rFonts w:ascii="Arial" w:hAnsi="Arial" w:cs="Arial"/>
          <w:sz w:val="20"/>
          <w:szCs w:val="20"/>
        </w:rPr>
        <w:t>A</w:t>
      </w:r>
      <w:r w:rsidRPr="00B01F9E">
        <w:rPr>
          <w:rFonts w:ascii="Arial" w:hAnsi="Arial" w:cs="Arial"/>
          <w:sz w:val="20"/>
          <w:szCs w:val="20"/>
        </w:rPr>
        <w:t xml:space="preserve">nalysis was performed to ascertain whether the encoded test data </w:t>
      </w:r>
      <w:r w:rsidR="00554B62" w:rsidRPr="00B01F9E">
        <w:rPr>
          <w:rFonts w:ascii="Arial" w:hAnsi="Arial" w:cs="Arial"/>
          <w:sz w:val="20"/>
          <w:szCs w:val="20"/>
        </w:rPr>
        <w:t>conformed to HL7</w:t>
      </w:r>
      <w:r w:rsidR="00376B2A" w:rsidRPr="00B01F9E">
        <w:rPr>
          <w:rFonts w:ascii="Arial" w:hAnsi="Arial" w:cs="Arial"/>
          <w:sz w:val="20"/>
          <w:szCs w:val="20"/>
        </w:rPr>
        <w:t>®</w:t>
      </w:r>
      <w:r w:rsidR="00554B62" w:rsidRPr="00B01F9E">
        <w:rPr>
          <w:rFonts w:ascii="Arial" w:hAnsi="Arial" w:cs="Arial"/>
          <w:sz w:val="20"/>
          <w:szCs w:val="20"/>
        </w:rPr>
        <w:t xml:space="preserve"> messaging standards</w:t>
      </w:r>
      <w:r w:rsidR="00627B36" w:rsidRPr="00B01F9E">
        <w:rPr>
          <w:rFonts w:ascii="Arial" w:hAnsi="Arial" w:cs="Arial"/>
          <w:sz w:val="20"/>
          <w:szCs w:val="20"/>
        </w:rPr>
        <w:t xml:space="preserve">. </w:t>
      </w:r>
      <w:r w:rsidR="2665EA89" w:rsidRPr="00B01F9E">
        <w:rPr>
          <w:rFonts w:ascii="Arial" w:eastAsia="Arial" w:hAnsi="Arial" w:cs="Arial"/>
          <w:sz w:val="20"/>
          <w:szCs w:val="20"/>
        </w:rPr>
        <w:t xml:space="preserve">This objective </w:t>
      </w:r>
      <w:r w:rsidR="00C71314" w:rsidRPr="00B01F9E">
        <w:rPr>
          <w:rFonts w:ascii="Arial" w:eastAsia="Arial" w:hAnsi="Arial" w:cs="Arial"/>
          <w:sz w:val="20"/>
          <w:szCs w:val="20"/>
        </w:rPr>
        <w:t xml:space="preserve">highlighted </w:t>
      </w:r>
      <w:r w:rsidR="2665EA89" w:rsidRPr="00B01F9E">
        <w:rPr>
          <w:rFonts w:ascii="Arial" w:eastAsia="Arial" w:hAnsi="Arial" w:cs="Arial"/>
          <w:sz w:val="20"/>
          <w:szCs w:val="20"/>
        </w:rPr>
        <w:t>challenges and gaps faced by the laboratory when trying to use their systems native capabilities to form a fully encoded laboratory test results message.</w:t>
      </w:r>
    </w:p>
    <w:p w14:paraId="341D7F5E" w14:textId="783C9093" w:rsidR="0085255F" w:rsidRPr="00B01F9E" w:rsidRDefault="0085255F" w:rsidP="0085255F">
      <w:pPr>
        <w:spacing w:after="120"/>
        <w:rPr>
          <w:rFonts w:ascii="Arial" w:hAnsi="Arial" w:cs="Arial"/>
          <w:sz w:val="20"/>
          <w:szCs w:val="20"/>
        </w:rPr>
      </w:pPr>
      <w:r w:rsidRPr="00B01F9E">
        <w:rPr>
          <w:rFonts w:ascii="Arial" w:hAnsi="Arial" w:cs="Arial"/>
          <w:sz w:val="20"/>
          <w:szCs w:val="20"/>
        </w:rPr>
        <w:t xml:space="preserve">The second objective was to develop training and educational materials for the POC. The CAP has been successful in creating and providing tools </w:t>
      </w:r>
      <w:r w:rsidR="00562253" w:rsidRPr="00B01F9E">
        <w:rPr>
          <w:rFonts w:ascii="Arial" w:hAnsi="Arial" w:cs="Arial"/>
          <w:sz w:val="20"/>
          <w:szCs w:val="20"/>
        </w:rPr>
        <w:t>such as</w:t>
      </w:r>
      <w:r w:rsidRPr="00B01F9E">
        <w:rPr>
          <w:rFonts w:ascii="Arial" w:hAnsi="Arial" w:cs="Arial"/>
          <w:sz w:val="20"/>
          <w:szCs w:val="20"/>
        </w:rPr>
        <w:t xml:space="preserve"> for training and educational support, instructional materials, computer-based tutorials, and remote hands-on learning. The CAP developed </w:t>
      </w:r>
      <w:r w:rsidR="009C7D40" w:rsidRPr="00B01F9E">
        <w:rPr>
          <w:rFonts w:ascii="Arial" w:hAnsi="Arial" w:cs="Arial"/>
          <w:sz w:val="20"/>
          <w:szCs w:val="20"/>
        </w:rPr>
        <w:t>proposed</w:t>
      </w:r>
      <w:r w:rsidRPr="00B01F9E">
        <w:rPr>
          <w:rFonts w:ascii="Arial" w:hAnsi="Arial" w:cs="Arial"/>
          <w:sz w:val="20"/>
          <w:szCs w:val="20"/>
        </w:rPr>
        <w:t xml:space="preserve"> training, education, and necessary tools to inform laboratories about system changes required to implement the IVD Test Data Coding Quality Assurance Program (the QA Program) utilizing LIDR. </w:t>
      </w:r>
    </w:p>
    <w:p w14:paraId="6AAC020D" w14:textId="215FF347" w:rsidR="0085255F" w:rsidRPr="00B01F9E" w:rsidRDefault="0085255F" w:rsidP="0085255F">
      <w:pPr>
        <w:spacing w:after="120"/>
        <w:rPr>
          <w:rFonts w:ascii="Arial" w:hAnsi="Arial" w:cs="Arial"/>
          <w:sz w:val="20"/>
          <w:szCs w:val="20"/>
        </w:rPr>
      </w:pPr>
      <w:r w:rsidRPr="00B01F9E">
        <w:rPr>
          <w:rFonts w:ascii="Arial" w:hAnsi="Arial" w:cs="Arial"/>
          <w:sz w:val="20"/>
          <w:szCs w:val="20"/>
        </w:rPr>
        <w:t xml:space="preserve">The final objective was to develop clinical narratives focused on laboratory workflows involving IVD tests to support and enhance Analysis Normal Form (ANF) statement development. This project leveraged the CAP’s extensive expertise in laboratory medicine to further advance the ANF framework by incorporating laboratory use cases. The clinical narratives depicted orders sent to laboratories that necessitate the use of IVD instruments and their resulting outputs. An additional goal was to apply the existing ANF data elements to the clinical narratives and identify any modifications or additions that could enhance the </w:t>
      </w:r>
      <w:r w:rsidRPr="00B01F9E">
        <w:rPr>
          <w:rFonts w:ascii="Arial" w:hAnsi="Arial" w:cs="Arial"/>
          <w:sz w:val="20"/>
          <w:szCs w:val="20"/>
        </w:rPr>
        <w:lastRenderedPageBreak/>
        <w:t>model’s relevance to pathology</w:t>
      </w:r>
      <w:r w:rsidR="000F0145" w:rsidRPr="00B01F9E">
        <w:rPr>
          <w:rFonts w:ascii="Arial" w:hAnsi="Arial" w:cs="Arial"/>
          <w:sz w:val="20"/>
          <w:szCs w:val="20"/>
        </w:rPr>
        <w:t xml:space="preserve"> to help</w:t>
      </w:r>
      <w:r w:rsidRPr="00B01F9E">
        <w:rPr>
          <w:rFonts w:ascii="Arial" w:hAnsi="Arial" w:cs="Arial"/>
          <w:sz w:val="20"/>
          <w:szCs w:val="20"/>
        </w:rPr>
        <w:t xml:space="preserve"> ensur</w:t>
      </w:r>
      <w:r w:rsidR="000F0145" w:rsidRPr="00B01F9E">
        <w:rPr>
          <w:rFonts w:ascii="Arial" w:hAnsi="Arial" w:cs="Arial"/>
          <w:sz w:val="20"/>
          <w:szCs w:val="20"/>
        </w:rPr>
        <w:t>e</w:t>
      </w:r>
      <w:r w:rsidRPr="00B01F9E">
        <w:rPr>
          <w:rFonts w:ascii="Arial" w:hAnsi="Arial" w:cs="Arial"/>
          <w:sz w:val="20"/>
          <w:szCs w:val="20"/>
        </w:rPr>
        <w:t xml:space="preserve"> that ANF </w:t>
      </w:r>
      <w:r w:rsidR="000F0145" w:rsidRPr="00B01F9E">
        <w:rPr>
          <w:rFonts w:ascii="Arial" w:hAnsi="Arial" w:cs="Arial"/>
          <w:sz w:val="20"/>
          <w:szCs w:val="20"/>
        </w:rPr>
        <w:t>is</w:t>
      </w:r>
      <w:r w:rsidRPr="00B01F9E">
        <w:rPr>
          <w:rFonts w:ascii="Arial" w:hAnsi="Arial" w:cs="Arial"/>
          <w:sz w:val="20"/>
          <w:szCs w:val="20"/>
        </w:rPr>
        <w:t xml:space="preserve"> an understandable, reproducible, and useful framework</w:t>
      </w:r>
      <w:r w:rsidR="000F0145" w:rsidRPr="00B01F9E">
        <w:rPr>
          <w:rFonts w:ascii="Arial" w:hAnsi="Arial" w:cs="Arial"/>
          <w:sz w:val="20"/>
          <w:szCs w:val="20"/>
        </w:rPr>
        <w:t xml:space="preserve"> </w:t>
      </w:r>
      <w:r w:rsidR="00E916EF" w:rsidRPr="00B01F9E">
        <w:rPr>
          <w:rFonts w:ascii="Arial" w:hAnsi="Arial" w:cs="Arial"/>
          <w:sz w:val="20"/>
          <w:szCs w:val="20"/>
        </w:rPr>
        <w:t>incorporating</w:t>
      </w:r>
      <w:r w:rsidR="000F0145" w:rsidRPr="00B01F9E">
        <w:rPr>
          <w:rFonts w:ascii="Arial" w:hAnsi="Arial" w:cs="Arial"/>
          <w:sz w:val="20"/>
          <w:szCs w:val="20"/>
        </w:rPr>
        <w:t xml:space="preserve"> these domains</w:t>
      </w:r>
      <w:r w:rsidRPr="00B01F9E">
        <w:rPr>
          <w:rFonts w:ascii="Arial" w:hAnsi="Arial" w:cs="Arial"/>
          <w:sz w:val="20"/>
          <w:szCs w:val="20"/>
        </w:rPr>
        <w:t xml:space="preserve">. </w:t>
      </w:r>
    </w:p>
    <w:p w14:paraId="436ED14C" w14:textId="3306F607" w:rsidR="0085255F" w:rsidRPr="00B01F9E" w:rsidRDefault="0085255F" w:rsidP="0085255F">
      <w:pPr>
        <w:spacing w:after="120"/>
        <w:rPr>
          <w:rFonts w:ascii="Arial" w:hAnsi="Arial" w:cs="Arial"/>
          <w:sz w:val="20"/>
          <w:szCs w:val="20"/>
        </w:rPr>
      </w:pPr>
      <w:r w:rsidRPr="00B01F9E">
        <w:rPr>
          <w:rFonts w:ascii="Arial" w:hAnsi="Arial" w:cs="Arial"/>
          <w:sz w:val="20"/>
          <w:szCs w:val="20"/>
        </w:rPr>
        <w:t xml:space="preserve">The </w:t>
      </w:r>
      <w:r w:rsidR="00EB41BA" w:rsidRPr="00B01F9E">
        <w:rPr>
          <w:rFonts w:ascii="Arial" w:hAnsi="Arial" w:cs="Arial"/>
          <w:sz w:val="20"/>
          <w:szCs w:val="20"/>
        </w:rPr>
        <w:t xml:space="preserve">overarching </w:t>
      </w:r>
      <w:r w:rsidRPr="00B01F9E">
        <w:rPr>
          <w:rFonts w:ascii="Arial" w:hAnsi="Arial" w:cs="Arial"/>
          <w:sz w:val="20"/>
          <w:szCs w:val="20"/>
        </w:rPr>
        <w:t xml:space="preserve">goal of this initiative is to explore and design ongoing quality assessment systems that will be used by quality organizations such as the CAP to evaluate laboratory IVD test result coding. To support efficient and enhanced laboratory interoperability, IVD results should be encoded with the proper standardized terminology. LIDR fulfills the goal to improve data quality, real-world evidence, and patient safety. The contents of this document contain the materials created to accomplish the </w:t>
      </w:r>
      <w:r w:rsidR="00510410" w:rsidRPr="00B01F9E">
        <w:rPr>
          <w:rFonts w:ascii="Arial" w:hAnsi="Arial" w:cs="Arial"/>
          <w:sz w:val="20"/>
          <w:szCs w:val="20"/>
        </w:rPr>
        <w:t>above-mentioned</w:t>
      </w:r>
      <w:r w:rsidRPr="00B01F9E">
        <w:rPr>
          <w:rFonts w:ascii="Arial" w:hAnsi="Arial" w:cs="Arial"/>
          <w:sz w:val="20"/>
          <w:szCs w:val="20"/>
        </w:rPr>
        <w:t xml:space="preserve"> objectives. </w:t>
      </w:r>
    </w:p>
    <w:p w14:paraId="282534D3" w14:textId="3DD1D2A5" w:rsidR="008A08DF" w:rsidRPr="00B01F9E" w:rsidRDefault="008A08DF" w:rsidP="00891EFA">
      <w:pPr>
        <w:spacing w:after="120"/>
        <w:rPr>
          <w:rFonts w:ascii="Arial" w:hAnsi="Arial" w:cs="Arial"/>
          <w:sz w:val="20"/>
          <w:szCs w:val="20"/>
        </w:rPr>
      </w:pPr>
      <w:r w:rsidRPr="00B01F9E">
        <w:rPr>
          <w:rFonts w:ascii="Arial" w:hAnsi="Arial" w:cs="Arial"/>
          <w:sz w:val="20"/>
          <w:szCs w:val="20"/>
        </w:rPr>
        <w:t xml:space="preserve">To gain a comprehensive understanding of the objectives for the Year 2 project, the following section provides an overview of the industry background and historical context as detailed in the Year 1 Final Report. </w:t>
      </w:r>
    </w:p>
    <w:p w14:paraId="5CCBD636" w14:textId="72790798" w:rsidR="007A7C29" w:rsidRPr="00B01F9E" w:rsidRDefault="007A7C29" w:rsidP="00891EFA">
      <w:pPr>
        <w:spacing w:after="120"/>
        <w:rPr>
          <w:rFonts w:ascii="Arial" w:hAnsi="Arial" w:cs="Arial"/>
          <w:sz w:val="20"/>
          <w:szCs w:val="20"/>
        </w:rPr>
      </w:pPr>
      <w:r w:rsidRPr="00B01F9E">
        <w:rPr>
          <w:rFonts w:ascii="Arial" w:hAnsi="Arial" w:cs="Arial"/>
          <w:sz w:val="20"/>
          <w:szCs w:val="20"/>
        </w:rPr>
        <w:t xml:space="preserve">Clinical laboratories generate laboratory test results on thousands of patient samples </w:t>
      </w:r>
      <w:proofErr w:type="gramStart"/>
      <w:r w:rsidRPr="00B01F9E">
        <w:rPr>
          <w:rFonts w:ascii="Arial" w:hAnsi="Arial" w:cs="Arial"/>
          <w:sz w:val="20"/>
          <w:szCs w:val="20"/>
        </w:rPr>
        <w:t>on a daily basis</w:t>
      </w:r>
      <w:proofErr w:type="gramEnd"/>
      <w:r w:rsidRPr="00B01F9E">
        <w:rPr>
          <w:rFonts w:ascii="Arial" w:hAnsi="Arial" w:cs="Arial"/>
          <w:sz w:val="20"/>
          <w:szCs w:val="20"/>
        </w:rPr>
        <w:t>, which are utilized to diagnose, monitor</w:t>
      </w:r>
      <w:r w:rsidR="008B6228" w:rsidRPr="00B01F9E">
        <w:rPr>
          <w:rFonts w:ascii="Arial" w:hAnsi="Arial" w:cs="Arial"/>
          <w:sz w:val="20"/>
          <w:szCs w:val="20"/>
        </w:rPr>
        <w:t>,</w:t>
      </w:r>
      <w:r w:rsidRPr="00B01F9E">
        <w:rPr>
          <w:rFonts w:ascii="Arial" w:hAnsi="Arial" w:cs="Arial"/>
          <w:sz w:val="20"/>
          <w:szCs w:val="20"/>
        </w:rPr>
        <w:t xml:space="preserve"> and indicate treatment for any given illness. Each laboratory determines which tests are offered to ordering providers (clinicians). These are compiled into each individual laboratory test compendium, which may include only a few tests (small laboratories) to a full array of thousands of tests (large institutions and commercial clinical laboratories). The tests typically measure an analyte, such as glucose, white blood cells, presence of a virus or bacteria, presence of a drug or other chemical, among many other analytes. The types of specimens collected (blood, urine, bodily fluids, tissues, etc.) to perform these tests, also var</w:t>
      </w:r>
      <w:r w:rsidR="00A37151" w:rsidRPr="00B01F9E">
        <w:rPr>
          <w:rFonts w:ascii="Arial" w:hAnsi="Arial" w:cs="Arial"/>
          <w:sz w:val="20"/>
          <w:szCs w:val="20"/>
        </w:rPr>
        <w:t>y</w:t>
      </w:r>
      <w:r w:rsidRPr="00B01F9E">
        <w:rPr>
          <w:rFonts w:ascii="Arial" w:hAnsi="Arial" w:cs="Arial"/>
          <w:sz w:val="20"/>
          <w:szCs w:val="20"/>
        </w:rPr>
        <w:t xml:space="preserve"> per test, however there are times when it is clinically indicated to perform the same test on different types of specimens. Understanding which test, which analyte</w:t>
      </w:r>
      <w:r w:rsidR="00A757B5" w:rsidRPr="00B01F9E">
        <w:rPr>
          <w:rFonts w:ascii="Arial" w:hAnsi="Arial" w:cs="Arial"/>
          <w:sz w:val="20"/>
          <w:szCs w:val="20"/>
        </w:rPr>
        <w:t>,</w:t>
      </w:r>
      <w:r w:rsidRPr="00B01F9E">
        <w:rPr>
          <w:rFonts w:ascii="Arial" w:hAnsi="Arial" w:cs="Arial"/>
          <w:sz w:val="20"/>
          <w:szCs w:val="20"/>
        </w:rPr>
        <w:t xml:space="preserve"> and which specimen type the test results are referring to, is critical for correct interpretation by a clinician. In addition, there are multitudes of laboratory instruments, IVD devices, which perform the </w:t>
      </w:r>
      <w:proofErr w:type="gramStart"/>
      <w:r w:rsidRPr="00B01F9E">
        <w:rPr>
          <w:rFonts w:ascii="Arial" w:hAnsi="Arial" w:cs="Arial"/>
          <w:sz w:val="20"/>
          <w:szCs w:val="20"/>
        </w:rPr>
        <w:t>tests</w:t>
      </w:r>
      <w:proofErr w:type="gramEnd"/>
      <w:r w:rsidRPr="00B01F9E">
        <w:rPr>
          <w:rFonts w:ascii="Arial" w:hAnsi="Arial" w:cs="Arial"/>
          <w:sz w:val="20"/>
          <w:szCs w:val="20"/>
        </w:rPr>
        <w:t xml:space="preserve"> and each may have a unique chemical reaction or test method in use that varies between IVD vendors. This information is captured within the electronic health record (EHR) or laboratory information system (LIS) of the specific laboratory that performs the test and presents the test results to the clinician and patient. When results are reviewed within that health system EHR, they can be interpreted safely, knowing the same methods are always in use and the information associated with that test result is accurate.</w:t>
      </w:r>
    </w:p>
    <w:p w14:paraId="55F7E08F" w14:textId="30B206B0" w:rsidR="00C9757D" w:rsidRPr="00B01F9E" w:rsidRDefault="00C9757D" w:rsidP="5F3E67D5">
      <w:pPr>
        <w:spacing w:after="120"/>
        <w:rPr>
          <w:rFonts w:ascii="Arial" w:hAnsi="Arial" w:cs="Arial"/>
          <w:sz w:val="20"/>
          <w:szCs w:val="20"/>
        </w:rPr>
      </w:pPr>
      <w:r w:rsidRPr="00B01F9E">
        <w:rPr>
          <w:rFonts w:ascii="Arial" w:hAnsi="Arial" w:cs="Arial"/>
          <w:sz w:val="20"/>
          <w:szCs w:val="20"/>
        </w:rPr>
        <w:t xml:space="preserve">In today’s electronic world of healthcare, there are </w:t>
      </w:r>
      <w:r w:rsidR="00425C7E" w:rsidRPr="00B01F9E">
        <w:rPr>
          <w:rFonts w:ascii="Arial" w:hAnsi="Arial" w:cs="Arial"/>
          <w:sz w:val="20"/>
          <w:szCs w:val="20"/>
        </w:rPr>
        <w:t xml:space="preserve">a myriad </w:t>
      </w:r>
      <w:r w:rsidRPr="00B01F9E">
        <w:rPr>
          <w:rFonts w:ascii="Arial" w:hAnsi="Arial" w:cs="Arial"/>
          <w:sz w:val="20"/>
          <w:szCs w:val="20"/>
        </w:rPr>
        <w:t xml:space="preserve">of interfaces which share the patient test results with external entities such as physician practice EHRs, departments of public health, as well as Health Information Exchanges (HIE). Often, the test results from one laboratory are integrated with a display of the same test analyte from a different lab, allowing them to trend together. While the names of the analyte may be the same, the type of sample used, the units the result is reported in, and the testing system used may be different. These differences make it very challenging to compare results from one laboratory from a sample taken at a point in time, to another result for the same analyte, performed at a different laboratory from a sample taken at a different point in time. Laboratories need the ability to share and safely aggregate and trend test results with other healthcare organizations. To work toward resolving this issue, IVD vendors have developed a standardized format, known as </w:t>
      </w:r>
      <w:r w:rsidR="00DB20EB" w:rsidRPr="00B01F9E">
        <w:rPr>
          <w:rFonts w:ascii="Arial" w:hAnsi="Arial" w:cs="Arial"/>
          <w:sz w:val="20"/>
          <w:szCs w:val="20"/>
        </w:rPr>
        <w:t xml:space="preserve">the </w:t>
      </w:r>
      <w:r w:rsidRPr="00B01F9E">
        <w:rPr>
          <w:rFonts w:ascii="Arial" w:hAnsi="Arial" w:cs="Arial"/>
          <w:sz w:val="20"/>
          <w:szCs w:val="20"/>
        </w:rPr>
        <w:t>LOINC</w:t>
      </w:r>
      <w:r w:rsidR="00711642" w:rsidRPr="00B01F9E">
        <w:rPr>
          <w:rFonts w:ascii="Arial" w:hAnsi="Arial" w:cs="Arial"/>
          <w:sz w:val="20"/>
          <w:szCs w:val="20"/>
        </w:rPr>
        <w:t>®</w:t>
      </w:r>
      <w:r w:rsidRPr="00B01F9E">
        <w:rPr>
          <w:rFonts w:ascii="Arial" w:hAnsi="Arial" w:cs="Arial"/>
          <w:sz w:val="20"/>
          <w:szCs w:val="20"/>
        </w:rPr>
        <w:t xml:space="preserve"> </w:t>
      </w:r>
      <w:r w:rsidR="00711642" w:rsidRPr="00B01F9E">
        <w:rPr>
          <w:rFonts w:ascii="Arial" w:hAnsi="Arial" w:cs="Arial"/>
          <w:sz w:val="20"/>
          <w:szCs w:val="20"/>
        </w:rPr>
        <w:t>i</w:t>
      </w:r>
      <w:r w:rsidRPr="00B01F9E">
        <w:rPr>
          <w:rFonts w:ascii="Arial" w:hAnsi="Arial" w:cs="Arial"/>
          <w:sz w:val="20"/>
          <w:szCs w:val="20"/>
        </w:rPr>
        <w:t xml:space="preserve">n </w:t>
      </w:r>
      <w:r w:rsidR="00711642" w:rsidRPr="00B01F9E">
        <w:rPr>
          <w:rFonts w:ascii="Arial" w:hAnsi="Arial" w:cs="Arial"/>
          <w:sz w:val="20"/>
          <w:szCs w:val="20"/>
        </w:rPr>
        <w:t>v</w:t>
      </w:r>
      <w:r w:rsidRPr="00B01F9E">
        <w:rPr>
          <w:rFonts w:ascii="Arial" w:hAnsi="Arial" w:cs="Arial"/>
          <w:sz w:val="20"/>
          <w:szCs w:val="20"/>
        </w:rPr>
        <w:t xml:space="preserve">itro </w:t>
      </w:r>
      <w:r w:rsidR="00711642" w:rsidRPr="00B01F9E">
        <w:rPr>
          <w:rFonts w:ascii="Arial" w:hAnsi="Arial" w:cs="Arial"/>
          <w:sz w:val="20"/>
          <w:szCs w:val="20"/>
        </w:rPr>
        <w:t>d</w:t>
      </w:r>
      <w:r w:rsidRPr="00B01F9E">
        <w:rPr>
          <w:rFonts w:ascii="Arial" w:hAnsi="Arial" w:cs="Arial"/>
          <w:sz w:val="20"/>
          <w:szCs w:val="20"/>
        </w:rPr>
        <w:t xml:space="preserve">iagnostic (LIVD) codes, to provide the appropriate standardized codes (LOINC, SNOMED CT®) for their test offerings. These codes are specific to the methods of the IVD vendor. In some </w:t>
      </w:r>
      <w:r w:rsidR="00DB1FC1" w:rsidRPr="00B01F9E">
        <w:rPr>
          <w:rFonts w:ascii="Arial" w:hAnsi="Arial" w:cs="Arial"/>
          <w:sz w:val="20"/>
          <w:szCs w:val="20"/>
        </w:rPr>
        <w:t>instances,</w:t>
      </w:r>
      <w:r w:rsidRPr="00B01F9E">
        <w:rPr>
          <w:rFonts w:ascii="Arial" w:hAnsi="Arial" w:cs="Arial"/>
          <w:sz w:val="20"/>
          <w:szCs w:val="20"/>
        </w:rPr>
        <w:t xml:space="preserve"> the coding is incomplete, inaccurate, or not kept up to date with the most recent versions of LIVD</w:t>
      </w:r>
      <w:r w:rsidR="00002409" w:rsidRPr="00B01F9E">
        <w:rPr>
          <w:rFonts w:ascii="Arial" w:hAnsi="Arial" w:cs="Arial"/>
          <w:sz w:val="20"/>
          <w:szCs w:val="20"/>
        </w:rPr>
        <w:t>.</w:t>
      </w:r>
      <w:r w:rsidRPr="00B01F9E">
        <w:rPr>
          <w:rFonts w:ascii="Arial" w:hAnsi="Arial" w:cs="Arial"/>
          <w:sz w:val="20"/>
          <w:szCs w:val="20"/>
        </w:rPr>
        <w:t xml:space="preserve"> While the LIVD files are a step forward, they lack other data elements (</w:t>
      </w:r>
      <w:r w:rsidR="006E1808" w:rsidRPr="00B01F9E">
        <w:rPr>
          <w:rFonts w:ascii="Arial" w:hAnsi="Arial" w:cs="Arial"/>
          <w:sz w:val="20"/>
          <w:szCs w:val="20"/>
        </w:rPr>
        <w:t>e.g.</w:t>
      </w:r>
      <w:r w:rsidRPr="00B01F9E">
        <w:rPr>
          <w:rFonts w:ascii="Arial" w:hAnsi="Arial" w:cs="Arial"/>
          <w:sz w:val="20"/>
          <w:szCs w:val="20"/>
        </w:rPr>
        <w:t>, specimen source, instrument unique device identifier</w:t>
      </w:r>
      <w:r w:rsidR="00513F7E" w:rsidRPr="00B01F9E">
        <w:rPr>
          <w:rFonts w:ascii="Arial" w:hAnsi="Arial" w:cs="Arial"/>
          <w:sz w:val="20"/>
          <w:szCs w:val="20"/>
        </w:rPr>
        <w:t xml:space="preserve"> </w:t>
      </w:r>
      <w:r w:rsidR="00C67808" w:rsidRPr="00B01F9E">
        <w:rPr>
          <w:rFonts w:ascii="Arial" w:hAnsi="Arial" w:cs="Arial"/>
          <w:sz w:val="20"/>
          <w:szCs w:val="20"/>
        </w:rPr>
        <w:t>[</w:t>
      </w:r>
      <w:r w:rsidR="00513F7E" w:rsidRPr="00B01F9E">
        <w:rPr>
          <w:rFonts w:ascii="Arial" w:hAnsi="Arial" w:cs="Arial"/>
          <w:sz w:val="20"/>
          <w:szCs w:val="20"/>
        </w:rPr>
        <w:t>UDI</w:t>
      </w:r>
      <w:r w:rsidR="00C67808" w:rsidRPr="00B01F9E">
        <w:rPr>
          <w:rFonts w:ascii="Arial" w:hAnsi="Arial" w:cs="Arial"/>
          <w:sz w:val="20"/>
          <w:szCs w:val="20"/>
        </w:rPr>
        <w:t>]</w:t>
      </w:r>
      <w:r w:rsidRPr="00B01F9E">
        <w:rPr>
          <w:rFonts w:ascii="Arial" w:hAnsi="Arial" w:cs="Arial"/>
          <w:sz w:val="20"/>
          <w:szCs w:val="20"/>
        </w:rPr>
        <w:t xml:space="preserve">, test kit </w:t>
      </w:r>
      <w:r w:rsidR="00513F7E" w:rsidRPr="00B01F9E">
        <w:rPr>
          <w:rFonts w:ascii="Arial" w:hAnsi="Arial" w:cs="Arial"/>
          <w:sz w:val="20"/>
          <w:szCs w:val="20"/>
        </w:rPr>
        <w:t>UDI</w:t>
      </w:r>
      <w:r w:rsidRPr="00B01F9E">
        <w:rPr>
          <w:rFonts w:ascii="Arial" w:hAnsi="Arial" w:cs="Arial"/>
          <w:sz w:val="20"/>
          <w:szCs w:val="20"/>
        </w:rPr>
        <w:t xml:space="preserve">) that could potentially define a specific test’s unique “digital fingerprint”, a </w:t>
      </w:r>
      <w:r w:rsidRPr="00B01F9E">
        <w:rPr>
          <w:rFonts w:ascii="Arial" w:hAnsi="Arial" w:cs="Arial"/>
          <w:sz w:val="20"/>
          <w:szCs w:val="20"/>
        </w:rPr>
        <w:lastRenderedPageBreak/>
        <w:t>combination of data elements which define unique attributes of a test that aid in accurate interpretation and comparability determination. The digital fingerprint can be used to represent the test results throughout the healthcare ecosystem. A key challenge is also ensuring the correct codes are easily identified and associated with the indicated test and corresponding result within the LIS of an individual laboratory. LIDR is a proposed repository which will be an accessible database of all the LIVD codes by manufacturer, test, method</w:t>
      </w:r>
      <w:r w:rsidR="00095AAF" w:rsidRPr="00B01F9E">
        <w:rPr>
          <w:rFonts w:ascii="Arial" w:hAnsi="Arial" w:cs="Arial"/>
          <w:sz w:val="20"/>
          <w:szCs w:val="20"/>
        </w:rPr>
        <w:t>,</w:t>
      </w:r>
      <w:r w:rsidRPr="00B01F9E">
        <w:rPr>
          <w:rFonts w:ascii="Arial" w:hAnsi="Arial" w:cs="Arial"/>
          <w:sz w:val="20"/>
          <w:szCs w:val="20"/>
        </w:rPr>
        <w:t xml:space="preserve"> and specimen type that includes other data elements, beyond traditional LIVD elements, to enhance and augment the repository. This readily accessible database will help laboratories define their test compendium and results with codes that would allow for more accurate data sharing.</w:t>
      </w:r>
    </w:p>
    <w:p w14:paraId="4789BED5" w14:textId="5A1390A9" w:rsidR="00812F4D" w:rsidRPr="00B01F9E" w:rsidRDefault="008A08DF" w:rsidP="5F3E67D5">
      <w:pPr>
        <w:pStyle w:val="Heading2"/>
        <w:spacing w:before="0" w:after="120"/>
        <w:rPr>
          <w:rFonts w:ascii="Arial" w:hAnsi="Arial" w:cs="Arial"/>
          <w:b/>
          <w:bCs/>
          <w:color w:val="009BBF"/>
          <w:sz w:val="20"/>
          <w:szCs w:val="20"/>
        </w:rPr>
      </w:pPr>
      <w:bookmarkStart w:id="2" w:name="_Toc177136980"/>
      <w:r w:rsidRPr="00B01F9E">
        <w:rPr>
          <w:rFonts w:ascii="Arial" w:hAnsi="Arial" w:cs="Arial"/>
          <w:b/>
          <w:bCs/>
          <w:color w:val="009BBF"/>
          <w:sz w:val="20"/>
          <w:szCs w:val="20"/>
        </w:rPr>
        <w:t>2</w:t>
      </w:r>
      <w:r w:rsidR="00812F4D" w:rsidRPr="00B01F9E">
        <w:rPr>
          <w:rFonts w:ascii="Arial" w:hAnsi="Arial" w:cs="Arial"/>
          <w:b/>
          <w:bCs/>
          <w:color w:val="009BBF"/>
          <w:sz w:val="20"/>
          <w:szCs w:val="20"/>
        </w:rPr>
        <w:t>.1 Data Accuracy and Transparency in the Laboratory</w:t>
      </w:r>
      <w:bookmarkEnd w:id="2"/>
      <w:r w:rsidR="00812F4D" w:rsidRPr="00B01F9E">
        <w:rPr>
          <w:rFonts w:ascii="Arial" w:hAnsi="Arial" w:cs="Arial"/>
          <w:b/>
          <w:bCs/>
          <w:color w:val="009BBF"/>
          <w:sz w:val="20"/>
          <w:szCs w:val="20"/>
        </w:rPr>
        <w:t xml:space="preserve"> </w:t>
      </w:r>
    </w:p>
    <w:p w14:paraId="45E1B682" w14:textId="68497023" w:rsidR="00C9757D" w:rsidRPr="00B01F9E" w:rsidRDefault="009B0A68" w:rsidP="5F3E67D5">
      <w:pPr>
        <w:spacing w:after="120"/>
        <w:rPr>
          <w:rFonts w:ascii="Arial" w:hAnsi="Arial" w:cs="Arial"/>
          <w:sz w:val="20"/>
          <w:szCs w:val="20"/>
        </w:rPr>
      </w:pPr>
      <w:r w:rsidRPr="00B01F9E">
        <w:rPr>
          <w:rFonts w:ascii="Arial" w:hAnsi="Arial" w:cs="Arial"/>
          <w:sz w:val="20"/>
          <w:szCs w:val="20"/>
        </w:rPr>
        <w:t xml:space="preserve">Until the widespread adoption of the EHR, laboratory test results were communicated by phone, fax, or paper. While clinical laboratories adopted information and automation technologies to deliver test results more efficiently to clinicians beginning in the 1970‘s, the model of patient care remained a single institution-centric model. Most patients could be expected to receive care from a single institution through long periods of their life. Physical copies of laboratory results and notes moved with a patient between facilities if they required care from more than one institution. In the past decade, the electronic transfer of patient history, diagnoses, and laboratory results has never been technologically easier, but this process has been far from seamless and fraught with risk. Individual laboratories develop and select local test codes, tests names, normal range values, and formats of test results and associated units. While the lack of data standardization may work well in a single institution healthcare model and does not impact the daily operations of individual laboratories, it does pose a significant barrier when data are compared or aggregated across institutions and creates inefficiencies and ambiguity for secondary data users.  </w:t>
      </w:r>
    </w:p>
    <w:p w14:paraId="1BC5A82E" w14:textId="13B374DC" w:rsidR="009B0A68" w:rsidRPr="00B01F9E" w:rsidRDefault="009B0A68" w:rsidP="5F3E67D5">
      <w:pPr>
        <w:spacing w:after="120"/>
        <w:rPr>
          <w:rFonts w:ascii="Arial" w:hAnsi="Arial" w:cs="Arial"/>
          <w:sz w:val="20"/>
          <w:szCs w:val="20"/>
        </w:rPr>
      </w:pPr>
      <w:r w:rsidRPr="00B01F9E">
        <w:rPr>
          <w:rFonts w:ascii="Arial" w:hAnsi="Arial" w:cs="Arial"/>
          <w:sz w:val="20"/>
          <w:szCs w:val="20"/>
        </w:rPr>
        <w:t>Accurate mapping of local laboratory codes to standardized terminologies would enable semantic interoperability in data sharing and aggregation across systems for a variety of purposes. In the case of laboratory data, accuracy does not simply mean successfully transmitting the test and result value without error, it also means successfully transmitting the data elements that allow for meaningful interpretation and use of the laboratory result. Laboratory test results require additional data elements besides the result (e</w:t>
      </w:r>
      <w:r w:rsidR="00756810" w:rsidRPr="00B01F9E">
        <w:rPr>
          <w:rFonts w:ascii="Arial" w:hAnsi="Arial" w:cs="Arial"/>
          <w:sz w:val="20"/>
          <w:szCs w:val="20"/>
        </w:rPr>
        <w:t>.</w:t>
      </w:r>
      <w:r w:rsidRPr="00B01F9E">
        <w:rPr>
          <w:rFonts w:ascii="Arial" w:hAnsi="Arial" w:cs="Arial"/>
          <w:sz w:val="20"/>
          <w:szCs w:val="20"/>
        </w:rPr>
        <w:t>g</w:t>
      </w:r>
      <w:r w:rsidR="00756810" w:rsidRPr="00B01F9E">
        <w:rPr>
          <w:rFonts w:ascii="Arial" w:hAnsi="Arial" w:cs="Arial"/>
          <w:sz w:val="20"/>
          <w:szCs w:val="20"/>
        </w:rPr>
        <w:t>.</w:t>
      </w:r>
      <w:r w:rsidRPr="00B01F9E">
        <w:rPr>
          <w:rFonts w:ascii="Arial" w:hAnsi="Arial" w:cs="Arial"/>
          <w:sz w:val="20"/>
          <w:szCs w:val="20"/>
        </w:rPr>
        <w:t>, units of measure, reference range values, specimen type, methodology) to be correctly interpreted and to meet interoperability standards and requirements. The analytical techniques, reagents, and equipment calibration of IVD vendor products vary between IVD platforms and testing kits. These methodological differences can produce significant variation in results for similar laboratory tests across different IVD vendor platforms. Data necessary (e</w:t>
      </w:r>
      <w:r w:rsidR="00756810" w:rsidRPr="00B01F9E">
        <w:rPr>
          <w:rFonts w:ascii="Arial" w:hAnsi="Arial" w:cs="Arial"/>
          <w:sz w:val="20"/>
          <w:szCs w:val="20"/>
        </w:rPr>
        <w:t>.</w:t>
      </w:r>
      <w:r w:rsidRPr="00B01F9E">
        <w:rPr>
          <w:rFonts w:ascii="Arial" w:hAnsi="Arial" w:cs="Arial"/>
          <w:sz w:val="20"/>
          <w:szCs w:val="20"/>
        </w:rPr>
        <w:t>g</w:t>
      </w:r>
      <w:r w:rsidR="00756810" w:rsidRPr="00B01F9E">
        <w:rPr>
          <w:rFonts w:ascii="Arial" w:hAnsi="Arial" w:cs="Arial"/>
          <w:sz w:val="20"/>
          <w:szCs w:val="20"/>
        </w:rPr>
        <w:t>.</w:t>
      </w:r>
      <w:r w:rsidRPr="00B01F9E">
        <w:rPr>
          <w:rFonts w:ascii="Arial" w:hAnsi="Arial" w:cs="Arial"/>
          <w:sz w:val="20"/>
          <w:szCs w:val="20"/>
        </w:rPr>
        <w:t xml:space="preserve">, instrument and test kit information) to determine equivalence and interpret results originating from differing locations or performed on differing IVD platforms are currently not communicated to and/or are suppressed in the EHRs which can impact patient care and safety.  </w:t>
      </w:r>
    </w:p>
    <w:p w14:paraId="297E1E3E" w14:textId="587C9E9B" w:rsidR="009B0A68" w:rsidRPr="00B01F9E" w:rsidRDefault="009B0A68" w:rsidP="5F3E67D5">
      <w:pPr>
        <w:spacing w:after="120"/>
        <w:rPr>
          <w:rFonts w:ascii="Arial" w:hAnsi="Arial" w:cs="Arial"/>
          <w:sz w:val="20"/>
          <w:szCs w:val="20"/>
        </w:rPr>
      </w:pPr>
      <w:r w:rsidRPr="00B01F9E">
        <w:rPr>
          <w:rFonts w:ascii="Arial" w:hAnsi="Arial" w:cs="Arial"/>
          <w:sz w:val="20"/>
          <w:szCs w:val="20"/>
        </w:rPr>
        <w:t xml:space="preserve">Figure 1 below illustrates the touch points outside of the laboratory that produce risk for data quality degradation. Accurate interpretation and equivalence determination of tests and a shared understanding of the laboratory data as </w:t>
      </w:r>
      <w:r w:rsidR="00AA2DA9" w:rsidRPr="00B01F9E">
        <w:rPr>
          <w:rFonts w:ascii="Arial" w:hAnsi="Arial" w:cs="Arial"/>
          <w:sz w:val="20"/>
          <w:szCs w:val="20"/>
        </w:rPr>
        <w:t>they</w:t>
      </w:r>
      <w:r w:rsidRPr="00B01F9E">
        <w:rPr>
          <w:rFonts w:ascii="Arial" w:hAnsi="Arial" w:cs="Arial"/>
          <w:sz w:val="20"/>
          <w:szCs w:val="20"/>
        </w:rPr>
        <w:t xml:space="preserve"> move across the healthcare ecosystem require a standardized digital representation of laboratory tests. Enhanced laboratory data accuracy hold</w:t>
      </w:r>
      <w:r w:rsidR="00CB6E44" w:rsidRPr="00B01F9E">
        <w:rPr>
          <w:rFonts w:ascii="Arial" w:hAnsi="Arial" w:cs="Arial"/>
          <w:sz w:val="20"/>
          <w:szCs w:val="20"/>
        </w:rPr>
        <w:t>s</w:t>
      </w:r>
      <w:r w:rsidRPr="00B01F9E">
        <w:rPr>
          <w:rFonts w:ascii="Arial" w:hAnsi="Arial" w:cs="Arial"/>
          <w:sz w:val="20"/>
          <w:szCs w:val="20"/>
        </w:rPr>
        <w:t xml:space="preserve"> the potential to improve patient care transfers, reduce redundant laboratory testing, implement automated clinical decision support, aid in the monitoring of infectious disease outbreaks, and accelerate translational research based on real-world evidence. To realize the full potential of interoperable laboratory data, we must </w:t>
      </w:r>
      <w:r w:rsidRPr="00B01F9E">
        <w:rPr>
          <w:rFonts w:ascii="Arial" w:hAnsi="Arial" w:cs="Arial"/>
          <w:sz w:val="20"/>
          <w:szCs w:val="20"/>
        </w:rPr>
        <w:lastRenderedPageBreak/>
        <w:t xml:space="preserve">abandon the single institution model of healthcare and evaluate laboratory data in </w:t>
      </w:r>
      <w:r w:rsidR="00D15677" w:rsidRPr="00B01F9E">
        <w:rPr>
          <w:rFonts w:ascii="Arial" w:hAnsi="Arial" w:cs="Arial"/>
          <w:sz w:val="20"/>
          <w:szCs w:val="20"/>
        </w:rPr>
        <w:t xml:space="preserve">their </w:t>
      </w:r>
      <w:r w:rsidRPr="00B01F9E">
        <w:rPr>
          <w:rFonts w:ascii="Arial" w:hAnsi="Arial" w:cs="Arial"/>
          <w:sz w:val="20"/>
          <w:szCs w:val="20"/>
        </w:rPr>
        <w:t>role in the healthcare ecosystem through the lens of systems safety.</w:t>
      </w:r>
    </w:p>
    <w:p w14:paraId="67FA7341" w14:textId="65F7A5B6" w:rsidR="009B0A68" w:rsidRPr="00B01F9E" w:rsidRDefault="00B71C3B" w:rsidP="5F3E67D5">
      <w:pPr>
        <w:spacing w:after="0"/>
        <w:rPr>
          <w:rFonts w:ascii="Arial" w:hAnsi="Arial" w:cs="Arial"/>
          <w:b/>
          <w:bCs/>
          <w:color w:val="009ABF"/>
          <w:sz w:val="20"/>
          <w:szCs w:val="20"/>
        </w:rPr>
      </w:pPr>
      <w:bookmarkStart w:id="3" w:name="Figure_1"/>
      <w:r w:rsidRPr="00B01F9E">
        <w:rPr>
          <w:rFonts w:ascii="Arial" w:hAnsi="Arial" w:cs="Arial"/>
          <w:b/>
          <w:color w:val="009ABF" w:themeColor="text1"/>
          <w:sz w:val="20"/>
          <w:szCs w:val="20"/>
        </w:rPr>
        <w:t>Figure 1: Current Laboratory Data Ecosystem and Workflow</w:t>
      </w:r>
    </w:p>
    <w:bookmarkEnd w:id="3"/>
    <w:p w14:paraId="3BB4EE2D" w14:textId="5DE15691" w:rsidR="00ED6B21" w:rsidRPr="00B01F9E" w:rsidRDefault="009101B1" w:rsidP="008B4C15">
      <w:pPr>
        <w:ind w:left="-288"/>
        <w:rPr>
          <w:rFonts w:ascii="Arial" w:hAnsi="Arial" w:cs="Arial"/>
          <w:sz w:val="20"/>
          <w:szCs w:val="20"/>
        </w:rPr>
      </w:pPr>
      <w:r w:rsidRPr="00B01F9E">
        <w:rPr>
          <w:rFonts w:ascii="Arial" w:hAnsi="Arial" w:cs="Arial"/>
          <w:noProof/>
          <w:sz w:val="20"/>
          <w:szCs w:val="20"/>
        </w:rPr>
        <w:drawing>
          <wp:inline distT="0" distB="0" distL="0" distR="0" wp14:anchorId="40F13A0C" wp14:editId="0CFEBF41">
            <wp:extent cx="6224570" cy="4091049"/>
            <wp:effectExtent l="0" t="0" r="5080" b="5080"/>
            <wp:docPr id="10790513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051361" name="Graphic 1079051361"/>
                    <pic:cNvPicPr/>
                  </pic:nvPicPr>
                  <pic:blipFill rotWithShape="1">
                    <a:blip r:embed="rId13">
                      <a:extLst>
                        <a:ext uri="{96DAC541-7B7A-43D3-8B79-37D633B846F1}">
                          <asvg:svgBlip xmlns:asvg="http://schemas.microsoft.com/office/drawing/2016/SVG/main" r:embed="rId14"/>
                        </a:ext>
                      </a:extLst>
                    </a:blip>
                    <a:srcRect l="16691"/>
                    <a:stretch/>
                  </pic:blipFill>
                  <pic:spPr bwMode="auto">
                    <a:xfrm>
                      <a:off x="0" y="0"/>
                      <a:ext cx="6243833" cy="4103709"/>
                    </a:xfrm>
                    <a:prstGeom prst="rect">
                      <a:avLst/>
                    </a:prstGeom>
                    <a:ln>
                      <a:noFill/>
                    </a:ln>
                    <a:extLst>
                      <a:ext uri="{53640926-AAD7-44D8-BBD7-CCE9431645EC}">
                        <a14:shadowObscured xmlns:a14="http://schemas.microsoft.com/office/drawing/2010/main"/>
                      </a:ext>
                    </a:extLst>
                  </pic:spPr>
                </pic:pic>
              </a:graphicData>
            </a:graphic>
          </wp:inline>
        </w:drawing>
      </w:r>
    </w:p>
    <w:p w14:paraId="7CC1E59A" w14:textId="77777777" w:rsidR="00D44AA3" w:rsidRPr="00B01F9E" w:rsidRDefault="00D44AA3">
      <w:pPr>
        <w:rPr>
          <w:rFonts w:ascii="Arial" w:hAnsi="Arial" w:cs="Arial"/>
          <w:b/>
          <w:color w:val="009BBF"/>
          <w:sz w:val="20"/>
          <w:szCs w:val="20"/>
        </w:rPr>
      </w:pPr>
      <w:r w:rsidRPr="00B01F9E">
        <w:rPr>
          <w:rFonts w:ascii="Arial" w:hAnsi="Arial" w:cs="Arial"/>
          <w:color w:val="009BBF"/>
          <w:sz w:val="20"/>
          <w:szCs w:val="20"/>
        </w:rPr>
        <w:br w:type="page"/>
      </w:r>
    </w:p>
    <w:p w14:paraId="23F17F02" w14:textId="1338953C" w:rsidR="00812F4D" w:rsidRPr="00B01F9E" w:rsidRDefault="00B84570" w:rsidP="5F3E67D5">
      <w:pPr>
        <w:pStyle w:val="Heading1"/>
        <w:spacing w:after="120"/>
        <w:rPr>
          <w:color w:val="009BBF"/>
          <w:sz w:val="20"/>
          <w:szCs w:val="20"/>
        </w:rPr>
      </w:pPr>
      <w:bookmarkStart w:id="4" w:name="_3._IN_VITRO"/>
      <w:bookmarkStart w:id="5" w:name="_Toc177136981"/>
      <w:bookmarkEnd w:id="4"/>
      <w:r w:rsidRPr="00B01F9E">
        <w:rPr>
          <w:color w:val="009BBF"/>
          <w:sz w:val="20"/>
          <w:szCs w:val="20"/>
        </w:rPr>
        <w:lastRenderedPageBreak/>
        <w:t>3</w:t>
      </w:r>
      <w:r w:rsidR="00C0123E" w:rsidRPr="00B01F9E">
        <w:rPr>
          <w:color w:val="009BBF"/>
          <w:sz w:val="20"/>
          <w:szCs w:val="20"/>
        </w:rPr>
        <w:t>. IN VITRO DIAGNOSTIC (IVD) TEST DATA CODING QUALITY ASSURANCE PROGRAM PROOF OF CONCEPT</w:t>
      </w:r>
      <w:r w:rsidR="00CD5CF3" w:rsidRPr="00B01F9E">
        <w:rPr>
          <w:color w:val="009BBF"/>
          <w:sz w:val="20"/>
          <w:szCs w:val="20"/>
        </w:rPr>
        <w:t xml:space="preserve"> (POC)</w:t>
      </w:r>
      <w:bookmarkEnd w:id="5"/>
    </w:p>
    <w:p w14:paraId="516E108D" w14:textId="02BE156B" w:rsidR="00812F4D" w:rsidRPr="00B01F9E" w:rsidRDefault="00B84570" w:rsidP="1763E38E">
      <w:pPr>
        <w:pStyle w:val="Heading2"/>
        <w:spacing w:before="0" w:after="120"/>
        <w:rPr>
          <w:rFonts w:ascii="Arial" w:hAnsi="Arial" w:cs="Arial"/>
          <w:b/>
          <w:bCs/>
          <w:color w:val="009BBF"/>
          <w:sz w:val="20"/>
          <w:szCs w:val="20"/>
        </w:rPr>
      </w:pPr>
      <w:bookmarkStart w:id="6" w:name="_Toc177136982"/>
      <w:r w:rsidRPr="00B01F9E">
        <w:rPr>
          <w:rFonts w:ascii="Arial" w:hAnsi="Arial" w:cs="Arial"/>
          <w:b/>
          <w:bCs/>
          <w:color w:val="009BBF"/>
          <w:sz w:val="20"/>
          <w:szCs w:val="20"/>
        </w:rPr>
        <w:t>3</w:t>
      </w:r>
      <w:r w:rsidR="00812F4D" w:rsidRPr="00B01F9E">
        <w:rPr>
          <w:rFonts w:ascii="Arial" w:hAnsi="Arial" w:cs="Arial"/>
          <w:b/>
          <w:bCs/>
          <w:color w:val="009BBF"/>
          <w:sz w:val="20"/>
          <w:szCs w:val="20"/>
        </w:rPr>
        <w:t>.1 Background and Overview</w:t>
      </w:r>
      <w:bookmarkEnd w:id="6"/>
      <w:r w:rsidR="00812F4D" w:rsidRPr="00B01F9E">
        <w:rPr>
          <w:rFonts w:ascii="Arial" w:hAnsi="Arial" w:cs="Arial"/>
          <w:b/>
          <w:bCs/>
          <w:color w:val="009BBF"/>
          <w:sz w:val="20"/>
          <w:szCs w:val="20"/>
        </w:rPr>
        <w:t xml:space="preserve"> </w:t>
      </w:r>
    </w:p>
    <w:p w14:paraId="06A0C8C2" w14:textId="256D3A17" w:rsidR="00360B15" w:rsidRPr="00B01F9E" w:rsidRDefault="00A30D4C" w:rsidP="00144FC2">
      <w:pPr>
        <w:pStyle w:val="paragraph"/>
        <w:spacing w:before="0" w:beforeAutospacing="0" w:after="120" w:afterAutospacing="0"/>
        <w:textAlignment w:val="baseline"/>
        <w:rPr>
          <w:rFonts w:ascii="Arial" w:hAnsi="Arial" w:cs="Arial"/>
          <w:sz w:val="20"/>
          <w:szCs w:val="20"/>
        </w:rPr>
      </w:pPr>
      <w:r w:rsidRPr="00B01F9E">
        <w:rPr>
          <w:rFonts w:ascii="Arial" w:hAnsi="Arial" w:cs="Arial"/>
          <w:sz w:val="20"/>
          <w:szCs w:val="20"/>
        </w:rPr>
        <w:t xml:space="preserve">The CAP’s proposed </w:t>
      </w:r>
      <w:r w:rsidR="008005D5" w:rsidRPr="00B01F9E">
        <w:rPr>
          <w:rFonts w:ascii="Arial" w:hAnsi="Arial" w:cs="Arial"/>
          <w:sz w:val="20"/>
          <w:szCs w:val="20"/>
        </w:rPr>
        <w:t xml:space="preserve">IVD Test Data Coding </w:t>
      </w:r>
      <w:r w:rsidR="004E2A6B" w:rsidRPr="00B01F9E">
        <w:rPr>
          <w:rFonts w:ascii="Arial" w:hAnsi="Arial" w:cs="Arial"/>
          <w:sz w:val="20"/>
          <w:szCs w:val="20"/>
        </w:rPr>
        <w:t>QA</w:t>
      </w:r>
      <w:r w:rsidR="004012E1" w:rsidRPr="00B01F9E">
        <w:rPr>
          <w:rFonts w:ascii="Arial" w:hAnsi="Arial" w:cs="Arial"/>
          <w:sz w:val="20"/>
          <w:szCs w:val="20"/>
        </w:rPr>
        <w:t xml:space="preserve"> </w:t>
      </w:r>
      <w:r w:rsidR="008005D5" w:rsidRPr="00B01F9E">
        <w:rPr>
          <w:rFonts w:ascii="Arial" w:hAnsi="Arial" w:cs="Arial"/>
          <w:sz w:val="20"/>
          <w:szCs w:val="20"/>
        </w:rPr>
        <w:t>P</w:t>
      </w:r>
      <w:r w:rsidRPr="00B01F9E">
        <w:rPr>
          <w:rFonts w:ascii="Arial" w:hAnsi="Arial" w:cs="Arial"/>
          <w:sz w:val="20"/>
          <w:szCs w:val="20"/>
        </w:rPr>
        <w:t>rogram</w:t>
      </w:r>
      <w:r w:rsidR="008005D5" w:rsidRPr="00B01F9E">
        <w:rPr>
          <w:rFonts w:ascii="Arial" w:hAnsi="Arial" w:cs="Arial"/>
          <w:sz w:val="20"/>
          <w:szCs w:val="20"/>
        </w:rPr>
        <w:t xml:space="preserve"> (the QA Program) </w:t>
      </w:r>
      <w:r w:rsidR="00E948BD" w:rsidRPr="00B01F9E">
        <w:rPr>
          <w:rFonts w:ascii="Arial" w:hAnsi="Arial" w:cs="Arial"/>
          <w:sz w:val="20"/>
          <w:szCs w:val="20"/>
        </w:rPr>
        <w:t xml:space="preserve">was designed to </w:t>
      </w:r>
      <w:r w:rsidRPr="00B01F9E">
        <w:rPr>
          <w:rFonts w:ascii="Arial" w:hAnsi="Arial" w:cs="Arial"/>
          <w:sz w:val="20"/>
          <w:szCs w:val="20"/>
        </w:rPr>
        <w:t xml:space="preserve">monitor the appropriate coding of laboratory test results </w:t>
      </w:r>
      <w:r w:rsidR="545CC2BE" w:rsidRPr="00B01F9E">
        <w:rPr>
          <w:rFonts w:ascii="Arial" w:hAnsi="Arial" w:cs="Arial"/>
          <w:sz w:val="20"/>
          <w:szCs w:val="20"/>
        </w:rPr>
        <w:t>compared to</w:t>
      </w:r>
      <w:r w:rsidRPr="00B01F9E">
        <w:rPr>
          <w:rFonts w:ascii="Arial" w:hAnsi="Arial" w:cs="Arial"/>
          <w:sz w:val="20"/>
          <w:szCs w:val="20"/>
        </w:rPr>
        <w:t xml:space="preserve"> LIDR</w:t>
      </w:r>
      <w:r w:rsidR="00D478FA" w:rsidRPr="00B01F9E">
        <w:rPr>
          <w:rFonts w:ascii="Arial" w:hAnsi="Arial" w:cs="Arial"/>
          <w:sz w:val="20"/>
          <w:szCs w:val="20"/>
        </w:rPr>
        <w:t xml:space="preserve">. </w:t>
      </w:r>
      <w:r w:rsidR="645DDF0F" w:rsidRPr="00B01F9E">
        <w:rPr>
          <w:rFonts w:ascii="Arial" w:hAnsi="Arial" w:cs="Arial"/>
          <w:sz w:val="20"/>
          <w:szCs w:val="20"/>
        </w:rPr>
        <w:t>The ful</w:t>
      </w:r>
      <w:r w:rsidR="04CF507F" w:rsidRPr="00B01F9E">
        <w:rPr>
          <w:rFonts w:ascii="Arial" w:hAnsi="Arial" w:cs="Arial"/>
          <w:sz w:val="20"/>
          <w:szCs w:val="20"/>
        </w:rPr>
        <w:t>l</w:t>
      </w:r>
      <w:r w:rsidR="645DDF0F" w:rsidRPr="00B01F9E">
        <w:rPr>
          <w:rFonts w:ascii="Arial" w:hAnsi="Arial" w:cs="Arial"/>
          <w:sz w:val="20"/>
          <w:szCs w:val="20"/>
        </w:rPr>
        <w:t xml:space="preserve"> LIDR </w:t>
      </w:r>
      <w:r w:rsidR="00046992" w:rsidRPr="00B01F9E">
        <w:rPr>
          <w:rFonts w:ascii="Arial" w:hAnsi="Arial" w:cs="Arial"/>
          <w:sz w:val="20"/>
          <w:szCs w:val="20"/>
        </w:rPr>
        <w:t>design and specifications are</w:t>
      </w:r>
      <w:r w:rsidR="42E68728" w:rsidRPr="00B01F9E">
        <w:rPr>
          <w:rFonts w:ascii="Arial" w:hAnsi="Arial" w:cs="Arial"/>
          <w:sz w:val="20"/>
          <w:szCs w:val="20"/>
        </w:rPr>
        <w:t xml:space="preserve"> still</w:t>
      </w:r>
      <w:r w:rsidR="00EF6096" w:rsidRPr="00B01F9E">
        <w:rPr>
          <w:rFonts w:ascii="Arial" w:hAnsi="Arial" w:cs="Arial"/>
          <w:sz w:val="20"/>
          <w:szCs w:val="20"/>
        </w:rPr>
        <w:t xml:space="preserve"> </w:t>
      </w:r>
      <w:r w:rsidR="00FF51D6" w:rsidRPr="00B01F9E">
        <w:rPr>
          <w:rFonts w:ascii="Arial" w:hAnsi="Arial" w:cs="Arial"/>
          <w:sz w:val="20"/>
          <w:szCs w:val="20"/>
        </w:rPr>
        <w:t xml:space="preserve">under development as part of the </w:t>
      </w:r>
      <w:r w:rsidR="00631CB7" w:rsidRPr="00B01F9E">
        <w:rPr>
          <w:rFonts w:ascii="Arial" w:hAnsi="Arial" w:cs="Arial"/>
          <w:sz w:val="20"/>
          <w:szCs w:val="20"/>
        </w:rPr>
        <w:t>government supported SHIELD initiative</w:t>
      </w:r>
      <w:r w:rsidRPr="00B01F9E">
        <w:rPr>
          <w:rFonts w:ascii="Arial" w:hAnsi="Arial" w:cs="Arial"/>
          <w:sz w:val="20"/>
          <w:szCs w:val="20"/>
        </w:rPr>
        <w:t>.</w:t>
      </w:r>
      <w:r w:rsidR="00631CB7" w:rsidRPr="00B01F9E">
        <w:rPr>
          <w:rFonts w:ascii="Arial" w:hAnsi="Arial" w:cs="Arial"/>
          <w:sz w:val="20"/>
          <w:szCs w:val="20"/>
        </w:rPr>
        <w:t xml:space="preserve"> </w:t>
      </w:r>
      <w:r w:rsidR="00991BE9" w:rsidRPr="00B01F9E">
        <w:rPr>
          <w:rFonts w:ascii="Arial" w:hAnsi="Arial" w:cs="Arial"/>
          <w:sz w:val="20"/>
          <w:szCs w:val="20"/>
        </w:rPr>
        <w:t xml:space="preserve">The QA Program workflow </w:t>
      </w:r>
      <w:r w:rsidR="00AC5676" w:rsidRPr="00B01F9E">
        <w:rPr>
          <w:rFonts w:ascii="Arial" w:hAnsi="Arial" w:cs="Arial"/>
          <w:sz w:val="20"/>
          <w:szCs w:val="20"/>
        </w:rPr>
        <w:t xml:space="preserve">is </w:t>
      </w:r>
      <w:r w:rsidR="00FB637D" w:rsidRPr="00B01F9E">
        <w:rPr>
          <w:rFonts w:ascii="Arial" w:hAnsi="Arial" w:cs="Arial"/>
          <w:sz w:val="20"/>
          <w:szCs w:val="20"/>
        </w:rPr>
        <w:t>intended to</w:t>
      </w:r>
      <w:r w:rsidR="002A5352" w:rsidRPr="00B01F9E">
        <w:rPr>
          <w:rFonts w:ascii="Arial" w:hAnsi="Arial" w:cs="Arial"/>
          <w:sz w:val="20"/>
          <w:szCs w:val="20"/>
        </w:rPr>
        <w:t xml:space="preserve"> </w:t>
      </w:r>
      <w:r w:rsidR="00991BE9" w:rsidRPr="00B01F9E">
        <w:rPr>
          <w:rFonts w:ascii="Arial" w:hAnsi="Arial" w:cs="Arial"/>
          <w:sz w:val="20"/>
          <w:szCs w:val="20"/>
        </w:rPr>
        <w:t>u</w:t>
      </w:r>
      <w:r w:rsidR="306E7D1E" w:rsidRPr="00B01F9E">
        <w:rPr>
          <w:rFonts w:ascii="Arial" w:hAnsi="Arial" w:cs="Arial"/>
          <w:sz w:val="20"/>
          <w:szCs w:val="20"/>
        </w:rPr>
        <w:t>tiliz</w:t>
      </w:r>
      <w:r w:rsidR="00991BE9" w:rsidRPr="00B01F9E">
        <w:rPr>
          <w:rFonts w:ascii="Arial" w:hAnsi="Arial" w:cs="Arial"/>
          <w:sz w:val="20"/>
          <w:szCs w:val="20"/>
        </w:rPr>
        <w:t>e</w:t>
      </w:r>
      <w:r w:rsidR="306E7D1E" w:rsidRPr="00B01F9E">
        <w:rPr>
          <w:rFonts w:ascii="Arial" w:hAnsi="Arial" w:cs="Arial"/>
          <w:sz w:val="20"/>
          <w:szCs w:val="20"/>
        </w:rPr>
        <w:t xml:space="preserve"> test result transmissions and test compendium reports</w:t>
      </w:r>
      <w:r w:rsidR="005A1F87" w:rsidRPr="00B01F9E">
        <w:rPr>
          <w:rFonts w:ascii="Arial" w:hAnsi="Arial" w:cs="Arial"/>
          <w:sz w:val="20"/>
          <w:szCs w:val="20"/>
        </w:rPr>
        <w:t xml:space="preserve"> to evaluate</w:t>
      </w:r>
      <w:r w:rsidR="71A96D3E" w:rsidRPr="00B01F9E">
        <w:rPr>
          <w:rFonts w:ascii="Arial" w:hAnsi="Arial" w:cs="Arial"/>
          <w:sz w:val="20"/>
          <w:szCs w:val="20"/>
        </w:rPr>
        <w:t xml:space="preserve"> the quality of </w:t>
      </w:r>
      <w:r w:rsidR="68586A1E" w:rsidRPr="00B01F9E">
        <w:rPr>
          <w:rFonts w:ascii="Arial" w:hAnsi="Arial" w:cs="Arial"/>
          <w:sz w:val="20"/>
          <w:szCs w:val="20"/>
        </w:rPr>
        <w:t>the</w:t>
      </w:r>
      <w:r w:rsidR="71A96D3E" w:rsidRPr="00B01F9E">
        <w:rPr>
          <w:rFonts w:ascii="Arial" w:hAnsi="Arial" w:cs="Arial"/>
          <w:sz w:val="20"/>
          <w:szCs w:val="20"/>
        </w:rPr>
        <w:t xml:space="preserve"> encoded laboratory test</w:t>
      </w:r>
      <w:r w:rsidR="6BE5ACCD" w:rsidRPr="00B01F9E">
        <w:rPr>
          <w:rFonts w:ascii="Arial" w:hAnsi="Arial" w:cs="Arial"/>
          <w:sz w:val="20"/>
          <w:szCs w:val="20"/>
        </w:rPr>
        <w:t>s</w:t>
      </w:r>
      <w:r w:rsidR="005A1F87" w:rsidRPr="00B01F9E">
        <w:rPr>
          <w:rFonts w:ascii="Arial" w:hAnsi="Arial" w:cs="Arial"/>
          <w:sz w:val="20"/>
          <w:szCs w:val="20"/>
        </w:rPr>
        <w:t>,</w:t>
      </w:r>
      <w:r w:rsidR="71A96D3E" w:rsidRPr="00B01F9E">
        <w:rPr>
          <w:rFonts w:ascii="Arial" w:hAnsi="Arial" w:cs="Arial"/>
          <w:sz w:val="20"/>
          <w:szCs w:val="20"/>
        </w:rPr>
        <w:t xml:space="preserve"> </w:t>
      </w:r>
      <w:r w:rsidR="44C4C4A0" w:rsidRPr="00B01F9E">
        <w:rPr>
          <w:rFonts w:ascii="Arial" w:hAnsi="Arial" w:cs="Arial"/>
          <w:sz w:val="20"/>
          <w:szCs w:val="20"/>
        </w:rPr>
        <w:t>validate correct coding</w:t>
      </w:r>
      <w:r w:rsidR="005A1F87" w:rsidRPr="00B01F9E">
        <w:rPr>
          <w:rFonts w:ascii="Arial" w:hAnsi="Arial" w:cs="Arial"/>
          <w:sz w:val="20"/>
          <w:szCs w:val="20"/>
        </w:rPr>
        <w:t>,</w:t>
      </w:r>
      <w:r w:rsidR="44C4C4A0" w:rsidRPr="00B01F9E">
        <w:rPr>
          <w:rFonts w:ascii="Arial" w:hAnsi="Arial" w:cs="Arial"/>
          <w:sz w:val="20"/>
          <w:szCs w:val="20"/>
        </w:rPr>
        <w:t xml:space="preserve"> and </w:t>
      </w:r>
      <w:r w:rsidR="00B7756E" w:rsidRPr="00B01F9E">
        <w:rPr>
          <w:rFonts w:ascii="Arial" w:hAnsi="Arial" w:cs="Arial"/>
          <w:sz w:val="20"/>
          <w:szCs w:val="20"/>
        </w:rPr>
        <w:t>identify</w:t>
      </w:r>
      <w:r w:rsidR="44C4C4A0" w:rsidRPr="00B01F9E">
        <w:rPr>
          <w:rFonts w:ascii="Arial" w:hAnsi="Arial" w:cs="Arial"/>
          <w:sz w:val="20"/>
          <w:szCs w:val="20"/>
        </w:rPr>
        <w:t xml:space="preserve"> any </w:t>
      </w:r>
      <w:r w:rsidR="224EE542" w:rsidRPr="00B01F9E">
        <w:rPr>
          <w:rFonts w:ascii="Arial" w:hAnsi="Arial" w:cs="Arial"/>
          <w:sz w:val="20"/>
          <w:szCs w:val="20"/>
        </w:rPr>
        <w:t>ga</w:t>
      </w:r>
      <w:r w:rsidR="0EDBC23E" w:rsidRPr="00B01F9E">
        <w:rPr>
          <w:rFonts w:ascii="Arial" w:hAnsi="Arial" w:cs="Arial"/>
          <w:sz w:val="20"/>
          <w:szCs w:val="20"/>
        </w:rPr>
        <w:t>ps in the design</w:t>
      </w:r>
      <w:r w:rsidR="591C8BE9" w:rsidRPr="00B01F9E">
        <w:rPr>
          <w:rFonts w:ascii="Arial" w:hAnsi="Arial" w:cs="Arial"/>
          <w:sz w:val="20"/>
          <w:szCs w:val="20"/>
        </w:rPr>
        <w:t xml:space="preserve">. </w:t>
      </w:r>
    </w:p>
    <w:p w14:paraId="05E0683F" w14:textId="03A1F90B" w:rsidR="001B1CB7" w:rsidRPr="00B01F9E" w:rsidRDefault="001B1CB7" w:rsidP="00A30583">
      <w:pPr>
        <w:rPr>
          <w:rStyle w:val="eop"/>
          <w:rFonts w:ascii="Arial" w:hAnsi="Arial" w:cs="Arial"/>
          <w:sz w:val="20"/>
          <w:szCs w:val="20"/>
        </w:rPr>
      </w:pPr>
      <w:r w:rsidRPr="00B01F9E">
        <w:rPr>
          <w:rStyle w:val="normaltextrun"/>
          <w:rFonts w:ascii="Arial" w:hAnsi="Arial" w:cs="Arial"/>
          <w:sz w:val="20"/>
          <w:szCs w:val="20"/>
        </w:rPr>
        <w:t>The</w:t>
      </w:r>
      <w:r w:rsidR="002A5352" w:rsidRPr="00B01F9E">
        <w:rPr>
          <w:rStyle w:val="normaltextrun"/>
          <w:rFonts w:ascii="Arial" w:hAnsi="Arial" w:cs="Arial"/>
          <w:sz w:val="20"/>
          <w:szCs w:val="20"/>
        </w:rPr>
        <w:t xml:space="preserve"> envisioned</w:t>
      </w:r>
      <w:r w:rsidRPr="00B01F9E">
        <w:rPr>
          <w:rStyle w:val="normaltextrun"/>
          <w:rFonts w:ascii="Arial" w:hAnsi="Arial" w:cs="Arial"/>
          <w:sz w:val="20"/>
          <w:szCs w:val="20"/>
        </w:rPr>
        <w:t xml:space="preserve"> data flow </w:t>
      </w:r>
      <w:r w:rsidR="00F97646" w:rsidRPr="00B01F9E">
        <w:rPr>
          <w:rStyle w:val="normaltextrun"/>
          <w:rFonts w:ascii="Arial" w:hAnsi="Arial" w:cs="Arial"/>
          <w:sz w:val="20"/>
          <w:szCs w:val="20"/>
        </w:rPr>
        <w:t>for</w:t>
      </w:r>
      <w:r w:rsidRPr="00B01F9E">
        <w:rPr>
          <w:rStyle w:val="normaltextrun"/>
          <w:rFonts w:ascii="Arial" w:hAnsi="Arial" w:cs="Arial"/>
          <w:sz w:val="20"/>
          <w:szCs w:val="20"/>
        </w:rPr>
        <w:t xml:space="preserve"> the QA Program </w:t>
      </w:r>
      <w:r w:rsidR="002A5352" w:rsidRPr="00B01F9E">
        <w:rPr>
          <w:rStyle w:val="normaltextrun"/>
          <w:rFonts w:ascii="Arial" w:hAnsi="Arial" w:cs="Arial"/>
          <w:sz w:val="20"/>
          <w:szCs w:val="20"/>
        </w:rPr>
        <w:t xml:space="preserve">would be expected to follow </w:t>
      </w:r>
      <w:r w:rsidRPr="00B01F9E">
        <w:rPr>
          <w:rStyle w:val="normaltextrun"/>
          <w:rFonts w:ascii="Arial" w:hAnsi="Arial" w:cs="Arial"/>
          <w:sz w:val="20"/>
          <w:szCs w:val="20"/>
        </w:rPr>
        <w:t xml:space="preserve">these </w:t>
      </w:r>
      <w:r w:rsidR="002B6974" w:rsidRPr="00B01F9E">
        <w:rPr>
          <w:rStyle w:val="normaltextrun"/>
          <w:rFonts w:ascii="Arial" w:hAnsi="Arial" w:cs="Arial"/>
          <w:sz w:val="20"/>
          <w:szCs w:val="20"/>
        </w:rPr>
        <w:t>important</w:t>
      </w:r>
      <w:r w:rsidR="005526DF" w:rsidRPr="00B01F9E">
        <w:rPr>
          <w:rStyle w:val="normaltextrun"/>
          <w:rFonts w:ascii="Arial" w:hAnsi="Arial" w:cs="Arial"/>
          <w:sz w:val="20"/>
          <w:szCs w:val="20"/>
        </w:rPr>
        <w:t xml:space="preserve"> </w:t>
      </w:r>
      <w:r w:rsidRPr="00B01F9E">
        <w:rPr>
          <w:rStyle w:val="normaltextrun"/>
          <w:rFonts w:ascii="Arial" w:hAnsi="Arial" w:cs="Arial"/>
          <w:sz w:val="20"/>
          <w:szCs w:val="20"/>
        </w:rPr>
        <w:t>steps:</w:t>
      </w:r>
      <w:r w:rsidRPr="00B01F9E">
        <w:rPr>
          <w:rStyle w:val="eop"/>
          <w:rFonts w:ascii="Arial" w:hAnsi="Arial" w:cs="Arial"/>
          <w:sz w:val="20"/>
          <w:szCs w:val="20"/>
        </w:rPr>
        <w:t> </w:t>
      </w:r>
    </w:p>
    <w:p w14:paraId="1AE25B34" w14:textId="52A26937" w:rsidR="001B1CB7" w:rsidRPr="00B01F9E" w:rsidRDefault="001B1CB7" w:rsidP="00A30583">
      <w:pPr>
        <w:pStyle w:val="ListParagraph"/>
        <w:numPr>
          <w:ilvl w:val="0"/>
          <w:numId w:val="43"/>
        </w:numPr>
        <w:rPr>
          <w:rStyle w:val="eop"/>
          <w:rFonts w:ascii="Arial" w:hAnsi="Arial" w:cs="Arial"/>
          <w:sz w:val="20"/>
          <w:szCs w:val="20"/>
        </w:rPr>
      </w:pPr>
      <w:r w:rsidRPr="00B01F9E">
        <w:rPr>
          <w:rStyle w:val="normaltextrun"/>
          <w:rFonts w:ascii="Arial" w:hAnsi="Arial" w:cs="Arial"/>
          <w:b/>
          <w:bCs/>
          <w:sz w:val="20"/>
          <w:szCs w:val="20"/>
        </w:rPr>
        <w:t>IVD vendor provides test coding</w:t>
      </w:r>
      <w:r w:rsidR="00F42555" w:rsidRPr="00B01F9E">
        <w:rPr>
          <w:rStyle w:val="normaltextrun"/>
          <w:rFonts w:ascii="Arial" w:hAnsi="Arial" w:cs="Arial"/>
          <w:b/>
          <w:bCs/>
          <w:sz w:val="20"/>
          <w:szCs w:val="20"/>
        </w:rPr>
        <w:t>:</w:t>
      </w:r>
      <w:r w:rsidRPr="00B01F9E">
        <w:rPr>
          <w:rStyle w:val="normaltextrun"/>
          <w:rFonts w:ascii="Arial" w:hAnsi="Arial" w:cs="Arial"/>
          <w:b/>
          <w:bCs/>
          <w:sz w:val="20"/>
          <w:szCs w:val="20"/>
        </w:rPr>
        <w:t xml:space="preserve"> </w:t>
      </w:r>
      <w:r w:rsidRPr="00B01F9E">
        <w:rPr>
          <w:rStyle w:val="normaltextrun"/>
          <w:rFonts w:ascii="Arial" w:hAnsi="Arial" w:cs="Arial"/>
          <w:sz w:val="20"/>
          <w:szCs w:val="20"/>
        </w:rPr>
        <w:t xml:space="preserve">The IVD vendors provide specific and unique coding for any test being performed in a clinical laboratory to the LIDR </w:t>
      </w:r>
      <w:r w:rsidR="007C206E" w:rsidRPr="00B01F9E">
        <w:rPr>
          <w:rStyle w:val="normaltextrun"/>
          <w:rFonts w:ascii="Arial" w:hAnsi="Arial" w:cs="Arial"/>
          <w:sz w:val="20"/>
          <w:szCs w:val="20"/>
        </w:rPr>
        <w:t>A</w:t>
      </w:r>
      <w:r w:rsidRPr="00B01F9E">
        <w:rPr>
          <w:rStyle w:val="normaltextrun"/>
          <w:rFonts w:ascii="Arial" w:hAnsi="Arial" w:cs="Arial"/>
          <w:sz w:val="20"/>
          <w:szCs w:val="20"/>
        </w:rPr>
        <w:t>dministrator. LIDR is curated and serves as a resource, storing the data elements for all clinical laboratory tests. It is based on the input from the IVD manufacturers who are experts on their tests and methods. </w:t>
      </w:r>
      <w:r w:rsidRPr="00B01F9E">
        <w:rPr>
          <w:rStyle w:val="eop"/>
          <w:rFonts w:ascii="Arial" w:hAnsi="Arial" w:cs="Arial"/>
          <w:sz w:val="20"/>
          <w:szCs w:val="20"/>
        </w:rPr>
        <w:t> </w:t>
      </w:r>
    </w:p>
    <w:p w14:paraId="1E2872C8" w14:textId="43EA88A2" w:rsidR="001B1CB7" w:rsidRPr="00B01F9E" w:rsidRDefault="001B1CB7" w:rsidP="004D4DFB">
      <w:pPr>
        <w:pStyle w:val="ListParagraph"/>
        <w:numPr>
          <w:ilvl w:val="0"/>
          <w:numId w:val="43"/>
        </w:numPr>
        <w:rPr>
          <w:rStyle w:val="eop"/>
          <w:rFonts w:ascii="Arial" w:hAnsi="Arial" w:cs="Arial"/>
          <w:sz w:val="20"/>
          <w:szCs w:val="20"/>
        </w:rPr>
      </w:pPr>
      <w:r w:rsidRPr="00B01F9E">
        <w:rPr>
          <w:rStyle w:val="normaltextrun"/>
          <w:rFonts w:ascii="Arial" w:hAnsi="Arial" w:cs="Arial"/>
          <w:b/>
          <w:bCs/>
          <w:sz w:val="20"/>
          <w:szCs w:val="20"/>
        </w:rPr>
        <w:t>Laboratory encodes LIDR data elements</w:t>
      </w:r>
      <w:r w:rsidR="00F42555" w:rsidRPr="00B01F9E">
        <w:rPr>
          <w:rStyle w:val="normaltextrun"/>
          <w:rFonts w:ascii="Arial" w:hAnsi="Arial" w:cs="Arial"/>
          <w:b/>
          <w:bCs/>
          <w:sz w:val="20"/>
          <w:szCs w:val="20"/>
        </w:rPr>
        <w:t>:</w:t>
      </w:r>
      <w:r w:rsidRPr="00B01F9E">
        <w:rPr>
          <w:rStyle w:val="normaltextrun"/>
          <w:rFonts w:ascii="Arial" w:hAnsi="Arial" w:cs="Arial"/>
          <w:b/>
          <w:bCs/>
          <w:sz w:val="20"/>
          <w:szCs w:val="20"/>
        </w:rPr>
        <w:t xml:space="preserve"> </w:t>
      </w:r>
      <w:r w:rsidRPr="00B01F9E">
        <w:rPr>
          <w:rStyle w:val="normaltextrun"/>
          <w:rFonts w:ascii="Arial" w:hAnsi="Arial" w:cs="Arial"/>
          <w:sz w:val="20"/>
          <w:szCs w:val="20"/>
        </w:rPr>
        <w:t>The laboratory applies LIDR data element coding to the LIS so when any test results are entered into the LIS</w:t>
      </w:r>
      <w:r w:rsidR="009D0B7B" w:rsidRPr="00B01F9E">
        <w:rPr>
          <w:rStyle w:val="normaltextrun"/>
          <w:rFonts w:ascii="Arial" w:hAnsi="Arial" w:cs="Arial"/>
          <w:sz w:val="20"/>
          <w:szCs w:val="20"/>
        </w:rPr>
        <w:t xml:space="preserve"> and</w:t>
      </w:r>
      <w:r w:rsidR="009346D6" w:rsidRPr="00B01F9E">
        <w:rPr>
          <w:rStyle w:val="normaltextrun"/>
          <w:rFonts w:ascii="Arial" w:hAnsi="Arial" w:cs="Arial"/>
          <w:sz w:val="20"/>
          <w:szCs w:val="20"/>
        </w:rPr>
        <w:t xml:space="preserve"> </w:t>
      </w:r>
      <w:r w:rsidR="00DD44B2" w:rsidRPr="00B01F9E">
        <w:rPr>
          <w:rStyle w:val="normaltextrun"/>
          <w:rFonts w:ascii="Arial" w:hAnsi="Arial" w:cs="Arial"/>
          <w:sz w:val="20"/>
          <w:szCs w:val="20"/>
        </w:rPr>
        <w:t>are electronically transferred to an outside system</w:t>
      </w:r>
      <w:r w:rsidRPr="00B01F9E">
        <w:rPr>
          <w:rStyle w:val="normaltextrun"/>
          <w:rFonts w:ascii="Arial" w:hAnsi="Arial" w:cs="Arial"/>
          <w:sz w:val="20"/>
          <w:szCs w:val="20"/>
        </w:rPr>
        <w:t xml:space="preserve">, unique data elements exist </w:t>
      </w:r>
      <w:r w:rsidR="00DD44B2" w:rsidRPr="00B01F9E">
        <w:rPr>
          <w:rStyle w:val="normaltextrun"/>
          <w:rFonts w:ascii="Arial" w:hAnsi="Arial" w:cs="Arial"/>
          <w:sz w:val="20"/>
          <w:szCs w:val="20"/>
        </w:rPr>
        <w:t xml:space="preserve">and are present within the HL7 message. </w:t>
      </w:r>
    </w:p>
    <w:p w14:paraId="21DDA7FE" w14:textId="0BE36A6E" w:rsidR="008D15D6" w:rsidRPr="00B01F9E" w:rsidRDefault="00F51381" w:rsidP="004D4DFB">
      <w:pPr>
        <w:pStyle w:val="ListParagraph"/>
        <w:numPr>
          <w:ilvl w:val="0"/>
          <w:numId w:val="43"/>
        </w:numPr>
        <w:rPr>
          <w:rFonts w:ascii="Arial" w:hAnsi="Arial" w:cs="Arial"/>
          <w:sz w:val="20"/>
          <w:szCs w:val="20"/>
        </w:rPr>
      </w:pPr>
      <w:r w:rsidRPr="00B01F9E">
        <w:rPr>
          <w:rStyle w:val="eop"/>
          <w:rFonts w:ascii="Arial" w:hAnsi="Arial" w:cs="Arial"/>
          <w:b/>
          <w:bCs/>
          <w:sz w:val="20"/>
          <w:szCs w:val="20"/>
        </w:rPr>
        <w:t xml:space="preserve">Laboratory performs the </w:t>
      </w:r>
      <w:r w:rsidR="00D50D62" w:rsidRPr="00B01F9E">
        <w:rPr>
          <w:rStyle w:val="eop"/>
          <w:rFonts w:ascii="Arial" w:hAnsi="Arial" w:cs="Arial"/>
          <w:b/>
          <w:bCs/>
          <w:sz w:val="20"/>
          <w:szCs w:val="20"/>
        </w:rPr>
        <w:t xml:space="preserve">LIDR </w:t>
      </w:r>
      <w:r w:rsidRPr="00B01F9E">
        <w:rPr>
          <w:rStyle w:val="eop"/>
          <w:rFonts w:ascii="Arial" w:hAnsi="Arial" w:cs="Arial"/>
          <w:b/>
          <w:bCs/>
          <w:sz w:val="20"/>
          <w:szCs w:val="20"/>
        </w:rPr>
        <w:t xml:space="preserve">Test Compendium Error Check </w:t>
      </w:r>
      <w:r w:rsidR="002B463C" w:rsidRPr="00B01F9E">
        <w:rPr>
          <w:rStyle w:val="eop"/>
          <w:rFonts w:ascii="Arial" w:hAnsi="Arial" w:cs="Arial"/>
          <w:b/>
          <w:bCs/>
          <w:sz w:val="20"/>
          <w:szCs w:val="20"/>
        </w:rPr>
        <w:t>p</w:t>
      </w:r>
      <w:r w:rsidRPr="00B01F9E">
        <w:rPr>
          <w:rStyle w:val="eop"/>
          <w:rFonts w:ascii="Arial" w:hAnsi="Arial" w:cs="Arial"/>
          <w:b/>
          <w:bCs/>
          <w:sz w:val="20"/>
          <w:szCs w:val="20"/>
        </w:rPr>
        <w:t>rocess:</w:t>
      </w:r>
      <w:r w:rsidRPr="00B01F9E">
        <w:rPr>
          <w:rStyle w:val="eop"/>
          <w:rFonts w:ascii="Arial" w:hAnsi="Arial" w:cs="Arial"/>
          <w:sz w:val="20"/>
          <w:szCs w:val="20"/>
        </w:rPr>
        <w:t xml:space="preserve"> </w:t>
      </w:r>
      <w:r w:rsidR="008D15D6" w:rsidRPr="00B01F9E">
        <w:rPr>
          <w:rStyle w:val="eop"/>
          <w:rFonts w:ascii="Arial" w:hAnsi="Arial" w:cs="Arial"/>
          <w:sz w:val="20"/>
          <w:szCs w:val="20"/>
        </w:rPr>
        <w:t>The laboratory must compile a report from their LIS that includes all LIDR data elements for every test performed</w:t>
      </w:r>
      <w:r w:rsidR="002F007D" w:rsidRPr="00B01F9E">
        <w:rPr>
          <w:rStyle w:val="eop"/>
          <w:rFonts w:ascii="Arial" w:hAnsi="Arial" w:cs="Arial"/>
          <w:sz w:val="20"/>
          <w:szCs w:val="20"/>
        </w:rPr>
        <w:t xml:space="preserve"> and </w:t>
      </w:r>
      <w:r w:rsidR="00742C5B" w:rsidRPr="00B01F9E">
        <w:rPr>
          <w:rStyle w:val="eop"/>
          <w:rFonts w:ascii="Arial" w:hAnsi="Arial" w:cs="Arial"/>
          <w:sz w:val="20"/>
          <w:szCs w:val="20"/>
        </w:rPr>
        <w:t>conduct</w:t>
      </w:r>
      <w:r w:rsidR="002F007D" w:rsidRPr="00B01F9E">
        <w:rPr>
          <w:rStyle w:val="eop"/>
          <w:rFonts w:ascii="Arial" w:hAnsi="Arial" w:cs="Arial"/>
          <w:sz w:val="20"/>
          <w:szCs w:val="20"/>
        </w:rPr>
        <w:t xml:space="preserve"> a self</w:t>
      </w:r>
      <w:r w:rsidR="00231655" w:rsidRPr="00B01F9E">
        <w:rPr>
          <w:rStyle w:val="eop"/>
          <w:rFonts w:ascii="Arial" w:hAnsi="Arial" w:cs="Arial"/>
          <w:sz w:val="20"/>
          <w:szCs w:val="20"/>
        </w:rPr>
        <w:t>-</w:t>
      </w:r>
      <w:r w:rsidR="002F007D" w:rsidRPr="00B01F9E">
        <w:rPr>
          <w:rStyle w:val="eop"/>
          <w:rFonts w:ascii="Arial" w:hAnsi="Arial" w:cs="Arial"/>
          <w:sz w:val="20"/>
          <w:szCs w:val="20"/>
        </w:rPr>
        <w:t>assessment, ensuring the encoding is correct for each test on the report</w:t>
      </w:r>
      <w:r w:rsidR="008D15D6" w:rsidRPr="00B01F9E">
        <w:rPr>
          <w:rStyle w:val="eop"/>
          <w:rFonts w:ascii="Arial" w:hAnsi="Arial" w:cs="Arial"/>
          <w:sz w:val="20"/>
          <w:szCs w:val="20"/>
        </w:rPr>
        <w:t xml:space="preserve">. This report is then submitted to the CAP for </w:t>
      </w:r>
      <w:r w:rsidR="005C4A9D" w:rsidRPr="00B01F9E">
        <w:rPr>
          <w:rStyle w:val="eop"/>
          <w:rFonts w:ascii="Arial" w:hAnsi="Arial" w:cs="Arial"/>
          <w:sz w:val="20"/>
          <w:szCs w:val="20"/>
        </w:rPr>
        <w:t xml:space="preserve">external </w:t>
      </w:r>
      <w:r w:rsidR="008D15D6" w:rsidRPr="00B01F9E">
        <w:rPr>
          <w:rStyle w:val="eop"/>
          <w:rFonts w:ascii="Arial" w:hAnsi="Arial" w:cs="Arial"/>
          <w:sz w:val="20"/>
          <w:szCs w:val="20"/>
        </w:rPr>
        <w:t xml:space="preserve">evaluation and comparison to the LIDR records for those tests and methods. </w:t>
      </w:r>
    </w:p>
    <w:p w14:paraId="5241DD95" w14:textId="56550CBA" w:rsidR="001B1CB7" w:rsidRPr="00B01F9E" w:rsidRDefault="001B1CB7" w:rsidP="004D4DFB">
      <w:pPr>
        <w:pStyle w:val="ListParagraph"/>
        <w:numPr>
          <w:ilvl w:val="0"/>
          <w:numId w:val="43"/>
        </w:numPr>
        <w:rPr>
          <w:rFonts w:ascii="Arial" w:hAnsi="Arial" w:cs="Arial"/>
          <w:sz w:val="20"/>
          <w:szCs w:val="20"/>
        </w:rPr>
      </w:pPr>
      <w:r w:rsidRPr="00B01F9E">
        <w:rPr>
          <w:rStyle w:val="normaltextrun"/>
          <w:rFonts w:ascii="Arial" w:hAnsi="Arial" w:cs="Arial"/>
          <w:b/>
          <w:bCs/>
          <w:sz w:val="20"/>
          <w:szCs w:val="20"/>
        </w:rPr>
        <w:t xml:space="preserve">Laboratory </w:t>
      </w:r>
      <w:r w:rsidR="009179FC" w:rsidRPr="00B01F9E">
        <w:rPr>
          <w:rStyle w:val="normaltextrun"/>
          <w:rFonts w:ascii="Arial" w:hAnsi="Arial" w:cs="Arial"/>
          <w:b/>
          <w:bCs/>
          <w:sz w:val="20"/>
          <w:szCs w:val="20"/>
        </w:rPr>
        <w:t>p</w:t>
      </w:r>
      <w:r w:rsidRPr="00B01F9E">
        <w:rPr>
          <w:rStyle w:val="normaltextrun"/>
          <w:rFonts w:ascii="Arial" w:hAnsi="Arial" w:cs="Arial"/>
          <w:b/>
          <w:bCs/>
          <w:sz w:val="20"/>
          <w:szCs w:val="20"/>
        </w:rPr>
        <w:t xml:space="preserve">erforms the Instance </w:t>
      </w:r>
      <w:r w:rsidR="002B463C" w:rsidRPr="00B01F9E">
        <w:rPr>
          <w:rStyle w:val="normaltextrun"/>
          <w:rFonts w:ascii="Arial" w:hAnsi="Arial" w:cs="Arial"/>
          <w:b/>
          <w:bCs/>
          <w:sz w:val="20"/>
          <w:szCs w:val="20"/>
        </w:rPr>
        <w:t>Error</w:t>
      </w:r>
      <w:r w:rsidRPr="00B01F9E">
        <w:rPr>
          <w:rStyle w:val="normaltextrun"/>
          <w:rFonts w:ascii="Arial" w:hAnsi="Arial" w:cs="Arial"/>
          <w:b/>
          <w:bCs/>
          <w:sz w:val="20"/>
          <w:szCs w:val="20"/>
        </w:rPr>
        <w:t xml:space="preserve"> Check</w:t>
      </w:r>
      <w:r w:rsidR="00F42555" w:rsidRPr="00B01F9E">
        <w:rPr>
          <w:rStyle w:val="normaltextrun"/>
          <w:rFonts w:ascii="Arial" w:hAnsi="Arial" w:cs="Arial"/>
          <w:b/>
          <w:bCs/>
          <w:sz w:val="20"/>
          <w:szCs w:val="20"/>
        </w:rPr>
        <w:t>:</w:t>
      </w:r>
      <w:r w:rsidRPr="00B01F9E">
        <w:rPr>
          <w:rStyle w:val="normaltextrun"/>
          <w:rFonts w:ascii="Arial" w:hAnsi="Arial" w:cs="Arial"/>
          <w:b/>
          <w:bCs/>
          <w:sz w:val="20"/>
          <w:szCs w:val="20"/>
        </w:rPr>
        <w:t xml:space="preserve"> </w:t>
      </w:r>
      <w:r w:rsidRPr="00B01F9E">
        <w:rPr>
          <w:rStyle w:val="normaltextrun"/>
          <w:rFonts w:ascii="Arial" w:hAnsi="Arial" w:cs="Arial"/>
          <w:sz w:val="20"/>
          <w:szCs w:val="20"/>
        </w:rPr>
        <w:t xml:space="preserve">Working in the test environment of </w:t>
      </w:r>
      <w:r w:rsidR="00D478FA" w:rsidRPr="00B01F9E">
        <w:rPr>
          <w:rStyle w:val="normaltextrun"/>
          <w:rFonts w:ascii="Arial" w:hAnsi="Arial" w:cs="Arial"/>
          <w:sz w:val="20"/>
          <w:szCs w:val="20"/>
        </w:rPr>
        <w:t>the LIS</w:t>
      </w:r>
      <w:r w:rsidRPr="00B01F9E">
        <w:rPr>
          <w:rStyle w:val="normaltextrun"/>
          <w:rFonts w:ascii="Arial" w:hAnsi="Arial" w:cs="Arial"/>
          <w:sz w:val="20"/>
          <w:szCs w:val="20"/>
        </w:rPr>
        <w:t>, the lab</w:t>
      </w:r>
      <w:r w:rsidR="0019686A" w:rsidRPr="00B01F9E">
        <w:rPr>
          <w:rStyle w:val="normaltextrun"/>
          <w:rFonts w:ascii="Arial" w:hAnsi="Arial" w:cs="Arial"/>
          <w:sz w:val="20"/>
          <w:szCs w:val="20"/>
        </w:rPr>
        <w:t>oratory</w:t>
      </w:r>
      <w:r w:rsidRPr="00B01F9E">
        <w:rPr>
          <w:rStyle w:val="normaltextrun"/>
          <w:rFonts w:ascii="Arial" w:hAnsi="Arial" w:cs="Arial"/>
          <w:sz w:val="20"/>
          <w:szCs w:val="20"/>
        </w:rPr>
        <w:t xml:space="preserve"> orders and results a test simulating a proficiency test</w:t>
      </w:r>
      <w:r w:rsidR="00954B36" w:rsidRPr="00B01F9E">
        <w:rPr>
          <w:rStyle w:val="normaltextrun"/>
          <w:rFonts w:ascii="Arial" w:hAnsi="Arial" w:cs="Arial"/>
          <w:sz w:val="20"/>
          <w:szCs w:val="20"/>
        </w:rPr>
        <w:t xml:space="preserve"> (PT)</w:t>
      </w:r>
      <w:r w:rsidRPr="00B01F9E">
        <w:rPr>
          <w:rStyle w:val="normaltextrun"/>
          <w:rFonts w:ascii="Arial" w:hAnsi="Arial" w:cs="Arial"/>
          <w:sz w:val="20"/>
          <w:szCs w:val="20"/>
        </w:rPr>
        <w:t xml:space="preserve"> sample. Once the result is entered in the LIS, the </w:t>
      </w:r>
      <w:r w:rsidR="00634802" w:rsidRPr="00B01F9E">
        <w:rPr>
          <w:rStyle w:val="normaltextrun"/>
          <w:rFonts w:ascii="Arial" w:hAnsi="Arial" w:cs="Arial"/>
          <w:sz w:val="20"/>
          <w:szCs w:val="20"/>
        </w:rPr>
        <w:t xml:space="preserve">encoded </w:t>
      </w:r>
      <w:r w:rsidRPr="00B01F9E">
        <w:rPr>
          <w:rStyle w:val="normaltextrun"/>
          <w:rFonts w:ascii="Arial" w:hAnsi="Arial" w:cs="Arial"/>
          <w:sz w:val="20"/>
          <w:szCs w:val="20"/>
        </w:rPr>
        <w:t>results are sent from the LIS to the laboratory transmit interface.</w:t>
      </w:r>
      <w:r w:rsidRPr="00B01F9E">
        <w:rPr>
          <w:rStyle w:val="eop"/>
          <w:rFonts w:ascii="Arial" w:hAnsi="Arial" w:cs="Arial"/>
          <w:sz w:val="20"/>
          <w:szCs w:val="20"/>
        </w:rPr>
        <w:t> </w:t>
      </w:r>
    </w:p>
    <w:p w14:paraId="43DE8834" w14:textId="5D4ED319" w:rsidR="001B1CB7" w:rsidRPr="00B01F9E" w:rsidRDefault="001B1CB7" w:rsidP="004D4DFB">
      <w:pPr>
        <w:pStyle w:val="ListParagraph"/>
        <w:numPr>
          <w:ilvl w:val="0"/>
          <w:numId w:val="43"/>
        </w:numPr>
        <w:rPr>
          <w:rStyle w:val="eop"/>
          <w:rFonts w:ascii="Arial" w:hAnsi="Arial" w:cs="Arial"/>
          <w:sz w:val="20"/>
          <w:szCs w:val="20"/>
        </w:rPr>
      </w:pPr>
      <w:r w:rsidRPr="00B01F9E">
        <w:rPr>
          <w:rStyle w:val="normaltextrun"/>
          <w:rFonts w:ascii="Arial" w:hAnsi="Arial" w:cs="Arial"/>
          <w:b/>
          <w:bCs/>
          <w:sz w:val="20"/>
          <w:szCs w:val="20"/>
        </w:rPr>
        <w:t>Laboratory transports results to quality organization</w:t>
      </w:r>
      <w:r w:rsidR="00F42555" w:rsidRPr="00B01F9E">
        <w:rPr>
          <w:rStyle w:val="normaltextrun"/>
          <w:rFonts w:ascii="Arial" w:hAnsi="Arial" w:cs="Arial"/>
          <w:b/>
          <w:bCs/>
          <w:sz w:val="20"/>
          <w:szCs w:val="20"/>
        </w:rPr>
        <w:t>:</w:t>
      </w:r>
      <w:r w:rsidRPr="00B01F9E">
        <w:rPr>
          <w:rStyle w:val="normaltextrun"/>
          <w:rFonts w:ascii="Arial" w:hAnsi="Arial" w:cs="Arial"/>
          <w:b/>
          <w:bCs/>
          <w:sz w:val="20"/>
          <w:szCs w:val="20"/>
        </w:rPr>
        <w:t xml:space="preserve"> </w:t>
      </w:r>
      <w:r w:rsidRPr="00B01F9E">
        <w:rPr>
          <w:rStyle w:val="normaltextrun"/>
          <w:rFonts w:ascii="Arial" w:hAnsi="Arial" w:cs="Arial"/>
          <w:sz w:val="20"/>
          <w:szCs w:val="20"/>
        </w:rPr>
        <w:t xml:space="preserve">The laboratory interface engine transmits the </w:t>
      </w:r>
      <w:r w:rsidR="00494758" w:rsidRPr="00B01F9E">
        <w:rPr>
          <w:rStyle w:val="normaltextrun"/>
          <w:rFonts w:ascii="Arial" w:hAnsi="Arial" w:cs="Arial"/>
          <w:sz w:val="20"/>
          <w:szCs w:val="20"/>
        </w:rPr>
        <w:t xml:space="preserve">encoded </w:t>
      </w:r>
      <w:r w:rsidRPr="00B01F9E">
        <w:rPr>
          <w:rStyle w:val="normaltextrun"/>
          <w:rFonts w:ascii="Arial" w:hAnsi="Arial" w:cs="Arial"/>
          <w:sz w:val="20"/>
          <w:szCs w:val="20"/>
        </w:rPr>
        <w:t>results to the quality organization interface engine.</w:t>
      </w:r>
    </w:p>
    <w:p w14:paraId="0BA03073" w14:textId="5F0B2BE9" w:rsidR="001B1CB7" w:rsidRPr="00B01F9E" w:rsidRDefault="001B1CB7" w:rsidP="004D4DFB">
      <w:pPr>
        <w:pStyle w:val="ListParagraph"/>
        <w:numPr>
          <w:ilvl w:val="0"/>
          <w:numId w:val="43"/>
        </w:numPr>
        <w:rPr>
          <w:rFonts w:ascii="Arial" w:hAnsi="Arial" w:cs="Arial"/>
          <w:sz w:val="20"/>
          <w:szCs w:val="20"/>
        </w:rPr>
      </w:pPr>
      <w:r w:rsidRPr="00B01F9E">
        <w:rPr>
          <w:rStyle w:val="normaltextrun"/>
          <w:rFonts w:ascii="Arial" w:hAnsi="Arial" w:cs="Arial"/>
          <w:b/>
          <w:bCs/>
          <w:sz w:val="20"/>
          <w:szCs w:val="20"/>
        </w:rPr>
        <w:t>Quality organization checks encoding accuracy</w:t>
      </w:r>
      <w:r w:rsidR="00F42555" w:rsidRPr="00B01F9E">
        <w:rPr>
          <w:rStyle w:val="normaltextrun"/>
          <w:rFonts w:ascii="Arial" w:hAnsi="Arial" w:cs="Arial"/>
          <w:b/>
          <w:bCs/>
          <w:sz w:val="20"/>
          <w:szCs w:val="20"/>
        </w:rPr>
        <w:t>:</w:t>
      </w:r>
      <w:r w:rsidRPr="00B01F9E">
        <w:rPr>
          <w:rStyle w:val="normaltextrun"/>
          <w:rFonts w:ascii="Arial" w:hAnsi="Arial" w:cs="Arial"/>
          <w:b/>
          <w:bCs/>
          <w:sz w:val="20"/>
          <w:szCs w:val="20"/>
        </w:rPr>
        <w:t xml:space="preserve"> </w:t>
      </w:r>
      <w:r w:rsidRPr="00B01F9E">
        <w:rPr>
          <w:rStyle w:val="normaltextrun"/>
          <w:rFonts w:ascii="Arial" w:hAnsi="Arial" w:cs="Arial"/>
          <w:sz w:val="20"/>
          <w:szCs w:val="20"/>
        </w:rPr>
        <w:t xml:space="preserve">The quality organization checks the accurate encoding of tests by receiving HL7 messages and test compendium reports </w:t>
      </w:r>
      <w:r w:rsidR="00D478FA" w:rsidRPr="00B01F9E">
        <w:rPr>
          <w:rStyle w:val="normaltextrun"/>
          <w:rFonts w:ascii="Arial" w:hAnsi="Arial" w:cs="Arial"/>
          <w:sz w:val="20"/>
          <w:szCs w:val="20"/>
        </w:rPr>
        <w:t>from the</w:t>
      </w:r>
      <w:r w:rsidR="00F57C32" w:rsidRPr="00B01F9E">
        <w:rPr>
          <w:rStyle w:val="normaltextrun"/>
          <w:rFonts w:ascii="Arial" w:hAnsi="Arial" w:cs="Arial"/>
          <w:sz w:val="20"/>
          <w:szCs w:val="20"/>
        </w:rPr>
        <w:t xml:space="preserve"> </w:t>
      </w:r>
      <w:r w:rsidRPr="00B01F9E">
        <w:rPr>
          <w:rStyle w:val="normaltextrun"/>
          <w:rFonts w:ascii="Arial" w:hAnsi="Arial" w:cs="Arial"/>
          <w:sz w:val="20"/>
          <w:szCs w:val="20"/>
        </w:rPr>
        <w:t>laborator</w:t>
      </w:r>
      <w:r w:rsidR="00F57C32" w:rsidRPr="00B01F9E">
        <w:rPr>
          <w:rStyle w:val="normaltextrun"/>
          <w:rFonts w:ascii="Arial" w:hAnsi="Arial" w:cs="Arial"/>
          <w:sz w:val="20"/>
          <w:szCs w:val="20"/>
        </w:rPr>
        <w:t>y</w:t>
      </w:r>
      <w:r w:rsidRPr="00B01F9E">
        <w:rPr>
          <w:rStyle w:val="normaltextrun"/>
          <w:rFonts w:ascii="Arial" w:hAnsi="Arial" w:cs="Arial"/>
          <w:sz w:val="20"/>
          <w:szCs w:val="20"/>
        </w:rPr>
        <w:t>, which are validated for accuracy by comparison to LIDR. Validation will identify any issues and return an error to the performing laboratory that will include any of the elements that do not match what is expected.</w:t>
      </w:r>
      <w:r w:rsidRPr="00B01F9E">
        <w:rPr>
          <w:rStyle w:val="eop"/>
          <w:rFonts w:ascii="Arial" w:hAnsi="Arial" w:cs="Arial"/>
          <w:sz w:val="20"/>
          <w:szCs w:val="20"/>
        </w:rPr>
        <w:t> </w:t>
      </w:r>
    </w:p>
    <w:p w14:paraId="4A4F021A" w14:textId="77777777" w:rsidR="002B6054" w:rsidRPr="00B01F9E" w:rsidRDefault="008005D5" w:rsidP="5F3E67D5">
      <w:pPr>
        <w:spacing w:before="120" w:after="120" w:line="240" w:lineRule="auto"/>
        <w:rPr>
          <w:rFonts w:ascii="Arial" w:eastAsia="Times New Roman" w:hAnsi="Arial" w:cs="Arial"/>
          <w:sz w:val="20"/>
          <w:szCs w:val="20"/>
        </w:rPr>
        <w:sectPr w:rsidR="002B6054" w:rsidRPr="00B01F9E" w:rsidSect="004043EB">
          <w:headerReference w:type="default" r:id="rId15"/>
          <w:footerReference w:type="default" r:id="rId16"/>
          <w:pgSz w:w="12240" w:h="15840"/>
          <w:pgMar w:top="1440" w:right="1440" w:bottom="1440" w:left="1440" w:header="0" w:footer="720" w:gutter="0"/>
          <w:cols w:space="720"/>
          <w:docGrid w:linePitch="360"/>
        </w:sectPr>
      </w:pPr>
      <w:r w:rsidRPr="00B01F9E">
        <w:rPr>
          <w:rFonts w:ascii="Arial" w:eastAsia="Times New Roman" w:hAnsi="Arial" w:cs="Arial"/>
          <w:sz w:val="20"/>
          <w:szCs w:val="20"/>
        </w:rPr>
        <w:t xml:space="preserve">The QA </w:t>
      </w:r>
      <w:r w:rsidR="00354751" w:rsidRPr="00B01F9E">
        <w:rPr>
          <w:rFonts w:ascii="Arial" w:eastAsia="Times New Roman" w:hAnsi="Arial" w:cs="Arial"/>
          <w:sz w:val="20"/>
          <w:szCs w:val="20"/>
        </w:rPr>
        <w:t>P</w:t>
      </w:r>
      <w:r w:rsidRPr="00B01F9E">
        <w:rPr>
          <w:rFonts w:ascii="Arial" w:eastAsia="Times New Roman" w:hAnsi="Arial" w:cs="Arial"/>
          <w:sz w:val="20"/>
          <w:szCs w:val="20"/>
        </w:rPr>
        <w:t xml:space="preserve">rogram design (Figure </w:t>
      </w:r>
      <w:r w:rsidR="005E7A9F" w:rsidRPr="00B01F9E">
        <w:rPr>
          <w:rFonts w:ascii="Arial" w:eastAsia="Times New Roman" w:hAnsi="Arial" w:cs="Arial"/>
          <w:sz w:val="20"/>
          <w:szCs w:val="20"/>
        </w:rPr>
        <w:t>2</w:t>
      </w:r>
      <w:r w:rsidRPr="00B01F9E">
        <w:rPr>
          <w:rFonts w:ascii="Arial" w:eastAsia="Times New Roman" w:hAnsi="Arial" w:cs="Arial"/>
          <w:sz w:val="20"/>
          <w:szCs w:val="20"/>
        </w:rPr>
        <w:t xml:space="preserve">) </w:t>
      </w:r>
      <w:r w:rsidR="000B2416" w:rsidRPr="00B01F9E">
        <w:rPr>
          <w:rFonts w:ascii="Arial" w:eastAsia="Times New Roman" w:hAnsi="Arial" w:cs="Arial"/>
          <w:sz w:val="20"/>
          <w:szCs w:val="20"/>
        </w:rPr>
        <w:t>demonstrates how laboratory results encoded with LIDR will flow through the QA Program.</w:t>
      </w:r>
      <w:r w:rsidRPr="00B01F9E">
        <w:rPr>
          <w:rFonts w:ascii="Arial" w:eastAsia="Times New Roman" w:hAnsi="Arial" w:cs="Arial"/>
          <w:sz w:val="20"/>
          <w:szCs w:val="20"/>
        </w:rPr>
        <w:t xml:space="preserve"> This ensures that with each </w:t>
      </w:r>
      <w:r w:rsidR="000B2416" w:rsidRPr="00B01F9E">
        <w:rPr>
          <w:rFonts w:ascii="Arial" w:eastAsia="Times New Roman" w:hAnsi="Arial" w:cs="Arial"/>
          <w:sz w:val="20"/>
          <w:szCs w:val="20"/>
        </w:rPr>
        <w:t xml:space="preserve">test </w:t>
      </w:r>
      <w:r w:rsidRPr="00B01F9E">
        <w:rPr>
          <w:rFonts w:ascii="Arial" w:eastAsia="Times New Roman" w:hAnsi="Arial" w:cs="Arial"/>
          <w:sz w:val="20"/>
          <w:szCs w:val="20"/>
        </w:rPr>
        <w:t>result transmission, whether it be for proficiency or actual patient results, the same data elements are present in the transmitted HL7 message and can be received by an external entity in a meaningful and comparable manner.</w:t>
      </w:r>
    </w:p>
    <w:p w14:paraId="56E888DE" w14:textId="75BF56F3" w:rsidR="001B5DED" w:rsidRPr="00B01F9E" w:rsidRDefault="008005D5" w:rsidP="00460D3E">
      <w:pPr>
        <w:spacing w:after="0" w:line="240" w:lineRule="auto"/>
        <w:rPr>
          <w:rFonts w:ascii="Arial" w:eastAsia="Times New Roman" w:hAnsi="Arial" w:cs="Arial"/>
          <w:b/>
          <w:bCs/>
          <w:color w:val="009BBF"/>
          <w:sz w:val="20"/>
          <w:szCs w:val="20"/>
        </w:rPr>
      </w:pPr>
      <w:r w:rsidRPr="00B01F9E">
        <w:rPr>
          <w:rFonts w:ascii="Arial" w:eastAsia="Times New Roman" w:hAnsi="Arial" w:cs="Arial"/>
          <w:b/>
          <w:bCs/>
          <w:color w:val="009BBF"/>
          <w:sz w:val="20"/>
          <w:szCs w:val="20"/>
        </w:rPr>
        <w:lastRenderedPageBreak/>
        <w:t xml:space="preserve">Figure </w:t>
      </w:r>
      <w:r w:rsidR="005E7A9F" w:rsidRPr="00B01F9E">
        <w:rPr>
          <w:rFonts w:ascii="Arial" w:eastAsia="Times New Roman" w:hAnsi="Arial" w:cs="Arial"/>
          <w:b/>
          <w:bCs/>
          <w:color w:val="009BBF"/>
          <w:sz w:val="20"/>
          <w:szCs w:val="20"/>
        </w:rPr>
        <w:t xml:space="preserve">2: </w:t>
      </w:r>
      <w:r w:rsidRPr="00B01F9E">
        <w:rPr>
          <w:rFonts w:ascii="Arial" w:eastAsia="Times New Roman" w:hAnsi="Arial" w:cs="Arial"/>
          <w:b/>
          <w:bCs/>
          <w:color w:val="009BBF"/>
          <w:sz w:val="20"/>
          <w:szCs w:val="20"/>
        </w:rPr>
        <w:t xml:space="preserve">Quality Assurance Program </w:t>
      </w:r>
      <w:r w:rsidR="00F86954" w:rsidRPr="00B01F9E">
        <w:rPr>
          <w:rFonts w:ascii="Arial" w:eastAsia="Times New Roman" w:hAnsi="Arial" w:cs="Arial"/>
          <w:b/>
          <w:bCs/>
          <w:color w:val="009BBF"/>
          <w:sz w:val="20"/>
          <w:szCs w:val="20"/>
        </w:rPr>
        <w:t>Design</w:t>
      </w:r>
      <w:r w:rsidRPr="00B01F9E">
        <w:rPr>
          <w:rFonts w:ascii="Arial" w:eastAsia="Times New Roman" w:hAnsi="Arial" w:cs="Arial"/>
          <w:b/>
          <w:bCs/>
          <w:color w:val="009BBF"/>
          <w:sz w:val="20"/>
          <w:szCs w:val="20"/>
        </w:rPr>
        <w:t xml:space="preserve"> </w:t>
      </w:r>
    </w:p>
    <w:p w14:paraId="71DF243D" w14:textId="2ED56434" w:rsidR="00E0010A" w:rsidRPr="00B01F9E" w:rsidRDefault="001E1A56" w:rsidP="00460D3E">
      <w:pPr>
        <w:spacing w:after="0" w:line="240" w:lineRule="auto"/>
        <w:rPr>
          <w:rFonts w:ascii="Arial" w:eastAsia="Times New Roman" w:hAnsi="Arial" w:cs="Arial"/>
          <w:b/>
          <w:bCs/>
          <w:color w:val="009BBF"/>
          <w:sz w:val="20"/>
          <w:szCs w:val="20"/>
        </w:rPr>
      </w:pPr>
      <w:r>
        <w:rPr>
          <w:rFonts w:ascii="Arial" w:eastAsia="Times New Roman" w:hAnsi="Arial" w:cs="Arial"/>
          <w:b/>
          <w:bCs/>
          <w:noProof/>
          <w:color w:val="009BBF"/>
          <w:sz w:val="20"/>
          <w:szCs w:val="20"/>
        </w:rPr>
        <w:drawing>
          <wp:inline distT="0" distB="0" distL="0" distR="0" wp14:anchorId="4B71F56F" wp14:editId="0EBC6669">
            <wp:extent cx="5943600" cy="3488690"/>
            <wp:effectExtent l="0" t="0" r="0" b="0"/>
            <wp:docPr id="1542305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0539" name="Graphic 154230539"/>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3488690"/>
                    </a:xfrm>
                    <a:prstGeom prst="rect">
                      <a:avLst/>
                    </a:prstGeom>
                  </pic:spPr>
                </pic:pic>
              </a:graphicData>
            </a:graphic>
          </wp:inline>
        </w:drawing>
      </w:r>
    </w:p>
    <w:p w14:paraId="73B10711" w14:textId="1DB1F2BE" w:rsidR="00207755" w:rsidRPr="00B01F9E" w:rsidRDefault="00207755" w:rsidP="00B16BB8">
      <w:pPr>
        <w:spacing w:after="0" w:line="240" w:lineRule="auto"/>
        <w:rPr>
          <w:rFonts w:ascii="Arial" w:eastAsia="Times New Roman" w:hAnsi="Arial" w:cs="Arial"/>
          <w:color w:val="009BBF"/>
          <w:sz w:val="20"/>
          <w:szCs w:val="20"/>
        </w:rPr>
      </w:pPr>
    </w:p>
    <w:p w14:paraId="137F0665" w14:textId="446120F0" w:rsidR="00A80671" w:rsidRPr="00B01F9E" w:rsidRDefault="00B72D64" w:rsidP="5F3E67D5">
      <w:pPr>
        <w:spacing w:after="120" w:line="240" w:lineRule="auto"/>
        <w:rPr>
          <w:rFonts w:ascii="Arial" w:eastAsia="Times New Roman" w:hAnsi="Arial" w:cs="Arial"/>
          <w:sz w:val="20"/>
          <w:szCs w:val="20"/>
        </w:rPr>
      </w:pPr>
      <w:r w:rsidRPr="00B01F9E">
        <w:rPr>
          <w:rFonts w:ascii="Arial" w:eastAsia="Times New Roman" w:hAnsi="Arial" w:cs="Arial"/>
          <w:sz w:val="20"/>
          <w:szCs w:val="20"/>
        </w:rPr>
        <w:t xml:space="preserve">The QA Program </w:t>
      </w:r>
      <w:r w:rsidR="00F630EB" w:rsidRPr="00B01F9E">
        <w:rPr>
          <w:rFonts w:ascii="Arial" w:eastAsia="Times New Roman" w:hAnsi="Arial" w:cs="Arial"/>
          <w:sz w:val="20"/>
          <w:szCs w:val="20"/>
        </w:rPr>
        <w:t>is envisioned to</w:t>
      </w:r>
      <w:r w:rsidRPr="00B01F9E">
        <w:rPr>
          <w:rFonts w:ascii="Arial" w:eastAsia="Times New Roman" w:hAnsi="Arial" w:cs="Arial"/>
          <w:sz w:val="20"/>
          <w:szCs w:val="20"/>
        </w:rPr>
        <w:t xml:space="preserve"> use an HL7 interface </w:t>
      </w:r>
      <w:r w:rsidR="0092026F" w:rsidRPr="00B01F9E">
        <w:rPr>
          <w:rFonts w:ascii="Arial" w:eastAsia="Times New Roman" w:hAnsi="Arial" w:cs="Arial"/>
          <w:sz w:val="20"/>
          <w:szCs w:val="20"/>
        </w:rPr>
        <w:t xml:space="preserve">to </w:t>
      </w:r>
      <w:r w:rsidRPr="00B01F9E">
        <w:rPr>
          <w:rFonts w:ascii="Arial" w:eastAsia="Times New Roman" w:hAnsi="Arial" w:cs="Arial"/>
          <w:sz w:val="20"/>
          <w:szCs w:val="20"/>
        </w:rPr>
        <w:t xml:space="preserve">connect the </w:t>
      </w:r>
      <w:r w:rsidR="00254EB4" w:rsidRPr="00B01F9E">
        <w:rPr>
          <w:rFonts w:ascii="Arial" w:eastAsia="Times New Roman" w:hAnsi="Arial" w:cs="Arial"/>
          <w:sz w:val="20"/>
          <w:szCs w:val="20"/>
        </w:rPr>
        <w:t xml:space="preserve">LIS </w:t>
      </w:r>
      <w:r w:rsidRPr="00B01F9E">
        <w:rPr>
          <w:rFonts w:ascii="Arial" w:eastAsia="Times New Roman" w:hAnsi="Arial" w:cs="Arial"/>
          <w:sz w:val="20"/>
          <w:szCs w:val="20"/>
        </w:rPr>
        <w:t xml:space="preserve">to the CAP. To create </w:t>
      </w:r>
      <w:r w:rsidR="00C13E9B" w:rsidRPr="00B01F9E">
        <w:rPr>
          <w:rFonts w:ascii="Arial" w:eastAsia="Times New Roman" w:hAnsi="Arial" w:cs="Arial"/>
          <w:sz w:val="20"/>
          <w:szCs w:val="20"/>
        </w:rPr>
        <w:t>a</w:t>
      </w:r>
      <w:r w:rsidRPr="00B01F9E">
        <w:rPr>
          <w:rFonts w:ascii="Arial" w:eastAsia="Times New Roman" w:hAnsi="Arial" w:cs="Arial"/>
          <w:sz w:val="20"/>
          <w:szCs w:val="20"/>
        </w:rPr>
        <w:t xml:space="preserve"> </w:t>
      </w:r>
      <w:r w:rsidR="00271B64" w:rsidRPr="00B01F9E">
        <w:rPr>
          <w:rFonts w:ascii="Arial" w:eastAsia="Times New Roman" w:hAnsi="Arial" w:cs="Arial"/>
          <w:sz w:val="20"/>
          <w:szCs w:val="20"/>
        </w:rPr>
        <w:t>POC</w:t>
      </w:r>
      <w:r w:rsidRPr="00B01F9E">
        <w:rPr>
          <w:rFonts w:ascii="Arial" w:eastAsia="Times New Roman" w:hAnsi="Arial" w:cs="Arial"/>
          <w:sz w:val="20"/>
          <w:szCs w:val="20"/>
        </w:rPr>
        <w:t xml:space="preserve"> for the QA Program</w:t>
      </w:r>
      <w:r w:rsidR="00C13E9B" w:rsidRPr="00B01F9E">
        <w:rPr>
          <w:rFonts w:ascii="Arial" w:eastAsia="Times New Roman" w:hAnsi="Arial" w:cs="Arial"/>
          <w:sz w:val="20"/>
          <w:szCs w:val="20"/>
        </w:rPr>
        <w:t xml:space="preserve"> described above</w:t>
      </w:r>
      <w:r w:rsidRPr="00B01F9E">
        <w:rPr>
          <w:rFonts w:ascii="Arial" w:eastAsia="Times New Roman" w:hAnsi="Arial" w:cs="Arial"/>
          <w:sz w:val="20"/>
          <w:szCs w:val="20"/>
        </w:rPr>
        <w:t xml:space="preserve">, the CAP partnered with a representative laboratory, Duke University Health System Clinical Laboratory. Duke was selected because of its existing proficiency testing enrollment and history of assisting the CAP with research and development projects. </w:t>
      </w:r>
    </w:p>
    <w:p w14:paraId="45A3A701" w14:textId="5E2108CD" w:rsidR="000308B6" w:rsidRPr="00B01F9E" w:rsidRDefault="00B84570" w:rsidP="00CD620B">
      <w:pPr>
        <w:pStyle w:val="Heading2"/>
        <w:spacing w:before="0" w:after="120"/>
        <w:rPr>
          <w:rFonts w:ascii="Arial" w:hAnsi="Arial" w:cs="Arial"/>
          <w:b/>
          <w:bCs/>
          <w:color w:val="009BBF"/>
          <w:sz w:val="20"/>
          <w:szCs w:val="20"/>
        </w:rPr>
      </w:pPr>
      <w:bookmarkStart w:id="7" w:name="_3.2_Environment_Development"/>
      <w:bookmarkStart w:id="8" w:name="_Toc177136983"/>
      <w:bookmarkEnd w:id="7"/>
      <w:r w:rsidRPr="00B01F9E">
        <w:rPr>
          <w:rFonts w:ascii="Arial" w:hAnsi="Arial" w:cs="Arial"/>
          <w:b/>
          <w:bCs/>
          <w:color w:val="009BBF"/>
          <w:sz w:val="20"/>
          <w:szCs w:val="20"/>
        </w:rPr>
        <w:t>3</w:t>
      </w:r>
      <w:r w:rsidR="000308B6" w:rsidRPr="00B01F9E">
        <w:rPr>
          <w:rFonts w:ascii="Arial" w:hAnsi="Arial" w:cs="Arial"/>
          <w:b/>
          <w:bCs/>
          <w:color w:val="009BBF"/>
          <w:sz w:val="20"/>
          <w:szCs w:val="20"/>
        </w:rPr>
        <w:t xml:space="preserve">.2 Environment </w:t>
      </w:r>
      <w:r w:rsidR="0010630D" w:rsidRPr="00B01F9E">
        <w:rPr>
          <w:rFonts w:ascii="Arial" w:hAnsi="Arial" w:cs="Arial"/>
          <w:b/>
          <w:bCs/>
          <w:color w:val="009BBF"/>
          <w:sz w:val="20"/>
          <w:szCs w:val="20"/>
        </w:rPr>
        <w:t>Development</w:t>
      </w:r>
      <w:bookmarkEnd w:id="8"/>
      <w:r w:rsidR="0010630D" w:rsidRPr="00B01F9E">
        <w:rPr>
          <w:rFonts w:ascii="Arial" w:hAnsi="Arial" w:cs="Arial"/>
          <w:b/>
          <w:bCs/>
          <w:color w:val="009BBF"/>
          <w:sz w:val="20"/>
          <w:szCs w:val="20"/>
        </w:rPr>
        <w:t xml:space="preserve"> </w:t>
      </w:r>
      <w:r w:rsidR="000308B6" w:rsidRPr="00B01F9E">
        <w:rPr>
          <w:rFonts w:ascii="Arial" w:hAnsi="Arial" w:cs="Arial"/>
          <w:b/>
          <w:bCs/>
          <w:color w:val="009BBF"/>
          <w:sz w:val="20"/>
          <w:szCs w:val="20"/>
        </w:rPr>
        <w:t xml:space="preserve"> </w:t>
      </w:r>
    </w:p>
    <w:p w14:paraId="76C9F615" w14:textId="3F7D40F7" w:rsidR="00153EBC" w:rsidRPr="00B01F9E" w:rsidRDefault="00566ADA" w:rsidP="5F3E67D5">
      <w:pPr>
        <w:spacing w:after="120" w:line="240" w:lineRule="auto"/>
        <w:rPr>
          <w:rFonts w:ascii="Arial" w:eastAsia="Times New Roman" w:hAnsi="Arial" w:cs="Arial"/>
          <w:sz w:val="20"/>
          <w:szCs w:val="20"/>
        </w:rPr>
      </w:pPr>
      <w:r w:rsidRPr="00B01F9E">
        <w:rPr>
          <w:rFonts w:ascii="Arial" w:eastAsia="Times New Roman" w:hAnsi="Arial" w:cs="Arial"/>
          <w:sz w:val="20"/>
          <w:szCs w:val="20"/>
        </w:rPr>
        <w:t>In the context of the POC</w:t>
      </w:r>
      <w:r w:rsidR="00D31964" w:rsidRPr="00B01F9E">
        <w:rPr>
          <w:rFonts w:ascii="Arial" w:eastAsia="Times New Roman" w:hAnsi="Arial" w:cs="Arial"/>
          <w:sz w:val="20"/>
          <w:szCs w:val="20"/>
        </w:rPr>
        <w:t xml:space="preserve"> with Duke</w:t>
      </w:r>
      <w:r w:rsidR="008C51CB" w:rsidRPr="00B01F9E">
        <w:rPr>
          <w:rFonts w:ascii="Arial" w:eastAsia="Times New Roman" w:hAnsi="Arial" w:cs="Arial"/>
          <w:sz w:val="20"/>
          <w:szCs w:val="20"/>
        </w:rPr>
        <w:t xml:space="preserve">, </w:t>
      </w:r>
      <w:r w:rsidR="008425A3" w:rsidRPr="00B01F9E">
        <w:rPr>
          <w:rFonts w:ascii="Arial" w:eastAsia="Times New Roman" w:hAnsi="Arial" w:cs="Arial"/>
          <w:sz w:val="20"/>
          <w:szCs w:val="20"/>
        </w:rPr>
        <w:t>the</w:t>
      </w:r>
      <w:r w:rsidR="008C51CB" w:rsidRPr="00B01F9E">
        <w:rPr>
          <w:rFonts w:ascii="Arial" w:eastAsia="Times New Roman" w:hAnsi="Arial" w:cs="Arial"/>
          <w:sz w:val="20"/>
          <w:szCs w:val="20"/>
        </w:rPr>
        <w:t xml:space="preserve"> environment refers to the technical and operational </w:t>
      </w:r>
      <w:r w:rsidR="008425A3" w:rsidRPr="00B01F9E">
        <w:rPr>
          <w:rFonts w:ascii="Arial" w:eastAsia="Times New Roman" w:hAnsi="Arial" w:cs="Arial"/>
          <w:sz w:val="20"/>
          <w:szCs w:val="20"/>
        </w:rPr>
        <w:t>components</w:t>
      </w:r>
      <w:r w:rsidR="008C51CB" w:rsidRPr="00B01F9E">
        <w:rPr>
          <w:rFonts w:ascii="Arial" w:eastAsia="Times New Roman" w:hAnsi="Arial" w:cs="Arial"/>
          <w:sz w:val="20"/>
          <w:szCs w:val="20"/>
        </w:rPr>
        <w:t xml:space="preserve"> required to facilitate the transmission and processing of laboratory test </w:t>
      </w:r>
      <w:r w:rsidR="004857AD" w:rsidRPr="00B01F9E">
        <w:rPr>
          <w:rFonts w:ascii="Arial" w:eastAsia="Times New Roman" w:hAnsi="Arial" w:cs="Arial"/>
          <w:sz w:val="20"/>
          <w:szCs w:val="20"/>
        </w:rPr>
        <w:t xml:space="preserve">result </w:t>
      </w:r>
      <w:r w:rsidR="008C51CB" w:rsidRPr="00B01F9E">
        <w:rPr>
          <w:rFonts w:ascii="Arial" w:eastAsia="Times New Roman" w:hAnsi="Arial" w:cs="Arial"/>
          <w:sz w:val="20"/>
          <w:szCs w:val="20"/>
        </w:rPr>
        <w:t xml:space="preserve">data. </w:t>
      </w:r>
      <w:r w:rsidR="007E0A6A" w:rsidRPr="00B01F9E">
        <w:rPr>
          <w:rFonts w:ascii="Arial" w:eastAsia="Times New Roman" w:hAnsi="Arial" w:cs="Arial"/>
          <w:sz w:val="20"/>
          <w:szCs w:val="20"/>
        </w:rPr>
        <w:t>This includes hardware, software, network configurations, and other infrastructure</w:t>
      </w:r>
      <w:r w:rsidR="00D31964" w:rsidRPr="00B01F9E">
        <w:rPr>
          <w:rFonts w:ascii="Arial" w:eastAsia="Times New Roman" w:hAnsi="Arial" w:cs="Arial"/>
          <w:sz w:val="20"/>
          <w:szCs w:val="20"/>
        </w:rPr>
        <w:t>. E</w:t>
      </w:r>
      <w:r w:rsidR="00C27C3A" w:rsidRPr="00B01F9E">
        <w:rPr>
          <w:rFonts w:ascii="Arial" w:eastAsia="Times New Roman" w:hAnsi="Arial" w:cs="Arial"/>
          <w:sz w:val="20"/>
          <w:szCs w:val="20"/>
        </w:rPr>
        <w:t xml:space="preserve">nvironment development is necessary for the sending laboratory, the receiving entity, and any intermediary interface engines between the two. </w:t>
      </w:r>
      <w:r w:rsidR="00EC58B0" w:rsidRPr="00B01F9E">
        <w:rPr>
          <w:rFonts w:ascii="Arial" w:eastAsia="Times New Roman" w:hAnsi="Arial" w:cs="Arial"/>
          <w:sz w:val="20"/>
          <w:szCs w:val="20"/>
        </w:rPr>
        <w:t>Table 1 demonstra</w:t>
      </w:r>
      <w:r w:rsidR="004318DA" w:rsidRPr="00B01F9E">
        <w:rPr>
          <w:rFonts w:ascii="Arial" w:eastAsia="Times New Roman" w:hAnsi="Arial" w:cs="Arial"/>
          <w:sz w:val="20"/>
          <w:szCs w:val="20"/>
        </w:rPr>
        <w:t xml:space="preserve">tes the components necessary for environment development, as well as the </w:t>
      </w:r>
      <w:r w:rsidR="00220AF6" w:rsidRPr="00B01F9E">
        <w:rPr>
          <w:rFonts w:ascii="Arial" w:eastAsia="Times New Roman" w:hAnsi="Arial" w:cs="Arial"/>
          <w:sz w:val="20"/>
          <w:szCs w:val="20"/>
        </w:rPr>
        <w:t>specific vendor</w:t>
      </w:r>
      <w:r w:rsidR="00282DC9" w:rsidRPr="00B01F9E">
        <w:rPr>
          <w:rFonts w:ascii="Arial" w:eastAsia="Times New Roman" w:hAnsi="Arial" w:cs="Arial"/>
          <w:sz w:val="20"/>
          <w:szCs w:val="20"/>
        </w:rPr>
        <w:t xml:space="preserve"> or </w:t>
      </w:r>
      <w:r w:rsidR="00220AF6" w:rsidRPr="00B01F9E">
        <w:rPr>
          <w:rFonts w:ascii="Arial" w:eastAsia="Times New Roman" w:hAnsi="Arial" w:cs="Arial"/>
          <w:sz w:val="20"/>
          <w:szCs w:val="20"/>
        </w:rPr>
        <w:t>tool used in the POC.</w:t>
      </w:r>
      <w:r w:rsidR="002A10B0" w:rsidRPr="00B01F9E">
        <w:rPr>
          <w:rFonts w:ascii="Arial" w:eastAsia="Times New Roman" w:hAnsi="Arial" w:cs="Arial"/>
          <w:sz w:val="20"/>
          <w:szCs w:val="20"/>
        </w:rPr>
        <w:t xml:space="preserve"> </w:t>
      </w:r>
      <w:r w:rsidR="003674F7" w:rsidRPr="00B01F9E">
        <w:rPr>
          <w:rFonts w:ascii="Arial" w:eastAsia="Times New Roman" w:hAnsi="Arial" w:cs="Arial"/>
          <w:sz w:val="20"/>
          <w:szCs w:val="20"/>
        </w:rPr>
        <w:t>O</w:t>
      </w:r>
      <w:r w:rsidR="00D74804" w:rsidRPr="00B01F9E">
        <w:rPr>
          <w:rFonts w:ascii="Arial" w:eastAsia="Times New Roman" w:hAnsi="Arial" w:cs="Arial"/>
          <w:sz w:val="20"/>
          <w:szCs w:val="20"/>
        </w:rPr>
        <w:t xml:space="preserve">ther vendors and tools may be utilized dependent on </w:t>
      </w:r>
      <w:r w:rsidR="003674F7" w:rsidRPr="00B01F9E">
        <w:rPr>
          <w:rFonts w:ascii="Arial" w:eastAsia="Times New Roman" w:hAnsi="Arial" w:cs="Arial"/>
          <w:sz w:val="20"/>
          <w:szCs w:val="20"/>
        </w:rPr>
        <w:t>the QA Program</w:t>
      </w:r>
      <w:r w:rsidR="00D74804" w:rsidRPr="00B01F9E">
        <w:rPr>
          <w:rFonts w:ascii="Arial" w:eastAsia="Times New Roman" w:hAnsi="Arial" w:cs="Arial"/>
          <w:sz w:val="20"/>
          <w:szCs w:val="20"/>
        </w:rPr>
        <w:t xml:space="preserve"> needs</w:t>
      </w:r>
      <w:r w:rsidR="00E23727" w:rsidRPr="00B01F9E">
        <w:rPr>
          <w:rFonts w:ascii="Arial" w:eastAsia="Times New Roman" w:hAnsi="Arial" w:cs="Arial"/>
          <w:sz w:val="20"/>
          <w:szCs w:val="20"/>
        </w:rPr>
        <w:t xml:space="preserve"> for a given site and quality organization</w:t>
      </w:r>
      <w:r w:rsidR="00D74804" w:rsidRPr="00B01F9E">
        <w:rPr>
          <w:rFonts w:ascii="Arial" w:eastAsia="Times New Roman" w:hAnsi="Arial" w:cs="Arial"/>
          <w:sz w:val="20"/>
          <w:szCs w:val="20"/>
        </w:rPr>
        <w:t xml:space="preserve">. </w:t>
      </w:r>
    </w:p>
    <w:p w14:paraId="37BB496C" w14:textId="77777777" w:rsidR="0062354F" w:rsidRPr="00B01F9E" w:rsidRDefault="0062354F">
      <w:pPr>
        <w:rPr>
          <w:rFonts w:ascii="Arial" w:hAnsi="Arial" w:cs="Arial"/>
          <w:b/>
          <w:bCs/>
          <w:color w:val="009BBF"/>
          <w:sz w:val="20"/>
          <w:szCs w:val="20"/>
        </w:rPr>
      </w:pPr>
      <w:r w:rsidRPr="00B01F9E">
        <w:rPr>
          <w:rFonts w:ascii="Arial" w:hAnsi="Arial" w:cs="Arial"/>
          <w:b/>
          <w:bCs/>
          <w:color w:val="009BBF"/>
          <w:sz w:val="20"/>
          <w:szCs w:val="20"/>
        </w:rPr>
        <w:br w:type="page"/>
      </w:r>
    </w:p>
    <w:p w14:paraId="685DF34C" w14:textId="618B4AA3" w:rsidR="00EF0DE3" w:rsidRPr="00B01F9E" w:rsidRDefault="00EF0DE3" w:rsidP="5F3E67D5">
      <w:pPr>
        <w:spacing w:after="0"/>
        <w:rPr>
          <w:rFonts w:ascii="Arial" w:hAnsi="Arial" w:cs="Arial"/>
          <w:b/>
          <w:bCs/>
          <w:color w:val="009BBF"/>
          <w:sz w:val="20"/>
          <w:szCs w:val="20"/>
        </w:rPr>
      </w:pPr>
      <w:r w:rsidRPr="00B01F9E">
        <w:rPr>
          <w:rFonts w:ascii="Arial" w:hAnsi="Arial" w:cs="Arial"/>
          <w:b/>
          <w:bCs/>
          <w:color w:val="009BBF"/>
          <w:sz w:val="20"/>
          <w:szCs w:val="20"/>
        </w:rPr>
        <w:lastRenderedPageBreak/>
        <w:t xml:space="preserve">Table </w:t>
      </w:r>
      <w:r w:rsidR="00D478FA" w:rsidRPr="00B01F9E">
        <w:rPr>
          <w:rFonts w:ascii="Arial" w:hAnsi="Arial" w:cs="Arial"/>
          <w:b/>
          <w:bCs/>
          <w:color w:val="009BBF"/>
          <w:sz w:val="20"/>
          <w:szCs w:val="20"/>
        </w:rPr>
        <w:t>1</w:t>
      </w:r>
      <w:r w:rsidRPr="00B01F9E">
        <w:rPr>
          <w:rFonts w:ascii="Arial" w:hAnsi="Arial" w:cs="Arial"/>
          <w:b/>
          <w:bCs/>
          <w:color w:val="009BBF"/>
          <w:sz w:val="20"/>
          <w:szCs w:val="20"/>
        </w:rPr>
        <w:t xml:space="preserve">: POC Technical Components Requiring Environment </w:t>
      </w:r>
      <w:r w:rsidR="0010630D" w:rsidRPr="00B01F9E">
        <w:rPr>
          <w:rFonts w:ascii="Arial" w:hAnsi="Arial" w:cs="Arial"/>
          <w:b/>
          <w:bCs/>
          <w:color w:val="009BBF"/>
          <w:sz w:val="20"/>
          <w:szCs w:val="20"/>
        </w:rPr>
        <w:t>Development</w:t>
      </w:r>
    </w:p>
    <w:tbl>
      <w:tblPr>
        <w:tblStyle w:val="TableGrid1"/>
        <w:tblW w:w="5000" w:type="pct"/>
        <w:tblLook w:val="04A0" w:firstRow="1" w:lastRow="0" w:firstColumn="1" w:lastColumn="0" w:noHBand="0" w:noVBand="1"/>
      </w:tblPr>
      <w:tblGrid>
        <w:gridCol w:w="1899"/>
        <w:gridCol w:w="1461"/>
        <w:gridCol w:w="1705"/>
        <w:gridCol w:w="4285"/>
      </w:tblGrid>
      <w:tr w:rsidR="00622BAB" w:rsidRPr="00B01F9E" w14:paraId="700C9520" w14:textId="77777777" w:rsidTr="00AA6865">
        <w:tc>
          <w:tcPr>
            <w:tcW w:w="1053" w:type="pct"/>
          </w:tcPr>
          <w:p w14:paraId="520BCE9C" w14:textId="77777777" w:rsidR="00622BAB" w:rsidRPr="00B01F9E" w:rsidRDefault="00622BAB" w:rsidP="00AA6865">
            <w:pPr>
              <w:rPr>
                <w:rFonts w:ascii="Arial" w:eastAsia="Calibri" w:hAnsi="Arial" w:cs="Arial"/>
                <w:b/>
                <w:bCs/>
                <w:sz w:val="20"/>
                <w:szCs w:val="20"/>
              </w:rPr>
            </w:pPr>
            <w:r w:rsidRPr="00B01F9E">
              <w:rPr>
                <w:rFonts w:ascii="Arial" w:eastAsia="Calibri" w:hAnsi="Arial" w:cs="Arial"/>
                <w:b/>
                <w:bCs/>
                <w:sz w:val="20"/>
                <w:szCs w:val="20"/>
              </w:rPr>
              <w:t>System Component</w:t>
            </w:r>
          </w:p>
        </w:tc>
        <w:tc>
          <w:tcPr>
            <w:tcW w:w="669" w:type="pct"/>
          </w:tcPr>
          <w:p w14:paraId="2A020A38" w14:textId="77777777" w:rsidR="00622BAB" w:rsidRPr="00B01F9E" w:rsidRDefault="00622BAB" w:rsidP="00AA6865">
            <w:pPr>
              <w:rPr>
                <w:rFonts w:ascii="Arial" w:eastAsia="Calibri" w:hAnsi="Arial" w:cs="Arial"/>
                <w:b/>
                <w:bCs/>
                <w:sz w:val="20"/>
                <w:szCs w:val="20"/>
              </w:rPr>
            </w:pPr>
            <w:r w:rsidRPr="00B01F9E">
              <w:rPr>
                <w:rFonts w:ascii="Arial" w:eastAsia="Calibri" w:hAnsi="Arial" w:cs="Arial"/>
                <w:b/>
                <w:bCs/>
                <w:sz w:val="20"/>
                <w:szCs w:val="20"/>
              </w:rPr>
              <w:t>Ownership</w:t>
            </w:r>
          </w:p>
        </w:tc>
        <w:tc>
          <w:tcPr>
            <w:tcW w:w="949" w:type="pct"/>
          </w:tcPr>
          <w:p w14:paraId="2B4ECE20" w14:textId="56B27CB4" w:rsidR="00622BAB" w:rsidRPr="00B01F9E" w:rsidRDefault="00220AF6" w:rsidP="00AA6865">
            <w:pPr>
              <w:rPr>
                <w:rFonts w:ascii="Arial" w:eastAsia="Calibri" w:hAnsi="Arial" w:cs="Arial"/>
                <w:b/>
                <w:bCs/>
                <w:sz w:val="20"/>
                <w:szCs w:val="20"/>
              </w:rPr>
            </w:pPr>
            <w:r w:rsidRPr="00B01F9E">
              <w:rPr>
                <w:rFonts w:ascii="Arial" w:eastAsia="Calibri" w:hAnsi="Arial" w:cs="Arial"/>
                <w:b/>
                <w:bCs/>
                <w:sz w:val="20"/>
                <w:szCs w:val="20"/>
              </w:rPr>
              <w:t>Vendor</w:t>
            </w:r>
          </w:p>
        </w:tc>
        <w:tc>
          <w:tcPr>
            <w:tcW w:w="2329" w:type="pct"/>
          </w:tcPr>
          <w:p w14:paraId="09467BEB" w14:textId="77777777" w:rsidR="00622BAB" w:rsidRPr="00B01F9E" w:rsidRDefault="00622BAB" w:rsidP="00AA6865">
            <w:pPr>
              <w:rPr>
                <w:rFonts w:ascii="Arial" w:eastAsia="Calibri" w:hAnsi="Arial" w:cs="Arial"/>
                <w:b/>
                <w:bCs/>
                <w:sz w:val="20"/>
                <w:szCs w:val="20"/>
              </w:rPr>
            </w:pPr>
            <w:r w:rsidRPr="00B01F9E">
              <w:rPr>
                <w:rFonts w:ascii="Arial" w:eastAsia="Calibri" w:hAnsi="Arial" w:cs="Arial"/>
                <w:b/>
                <w:bCs/>
                <w:sz w:val="20"/>
                <w:szCs w:val="20"/>
              </w:rPr>
              <w:t>Role in Data Transmission</w:t>
            </w:r>
          </w:p>
        </w:tc>
      </w:tr>
      <w:tr w:rsidR="00622BAB" w:rsidRPr="00B01F9E" w14:paraId="721BD81A" w14:textId="77777777" w:rsidTr="00AA6865">
        <w:tc>
          <w:tcPr>
            <w:tcW w:w="1053" w:type="pct"/>
          </w:tcPr>
          <w:p w14:paraId="2DC1D3A7" w14:textId="3B90400F" w:rsidR="00622BAB" w:rsidRPr="00B01F9E" w:rsidRDefault="00622BAB"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LIS</w:t>
            </w:r>
          </w:p>
        </w:tc>
        <w:tc>
          <w:tcPr>
            <w:tcW w:w="669" w:type="pct"/>
          </w:tcPr>
          <w:p w14:paraId="7FE17E36"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Duke</w:t>
            </w:r>
          </w:p>
        </w:tc>
        <w:tc>
          <w:tcPr>
            <w:tcW w:w="949" w:type="pct"/>
          </w:tcPr>
          <w:p w14:paraId="08B3E7F0"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Epic/Beaker®</w:t>
            </w:r>
          </w:p>
        </w:tc>
        <w:tc>
          <w:tcPr>
            <w:tcW w:w="2329" w:type="pct"/>
          </w:tcPr>
          <w:p w14:paraId="78D5A1A6" w14:textId="77777777" w:rsidR="00622BAB" w:rsidRPr="00B01F9E" w:rsidRDefault="00622BAB" w:rsidP="00AA6865">
            <w:pPr>
              <w:numPr>
                <w:ilvl w:val="0"/>
                <w:numId w:val="3"/>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Encoding of LIDR data elements into the test compendium of the laboratory </w:t>
            </w:r>
          </w:p>
          <w:p w14:paraId="36A757BD" w14:textId="77777777" w:rsidR="00622BAB" w:rsidRPr="00B01F9E" w:rsidRDefault="00622BAB" w:rsidP="00AA6865">
            <w:pPr>
              <w:numPr>
                <w:ilvl w:val="0"/>
                <w:numId w:val="3"/>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Test ordering and resulting system </w:t>
            </w:r>
          </w:p>
          <w:p w14:paraId="4CDDC002" w14:textId="77777777" w:rsidR="00622BAB" w:rsidRPr="00B01F9E" w:rsidRDefault="00622BAB" w:rsidP="00AA6865">
            <w:pPr>
              <w:numPr>
                <w:ilvl w:val="0"/>
                <w:numId w:val="3"/>
              </w:numPr>
              <w:spacing w:before="60" w:after="60"/>
              <w:contextualSpacing/>
              <w:rPr>
                <w:rFonts w:ascii="Arial" w:eastAsia="Calibri" w:hAnsi="Arial" w:cs="Arial"/>
                <w:sz w:val="20"/>
                <w:szCs w:val="20"/>
              </w:rPr>
            </w:pPr>
            <w:r w:rsidRPr="00B01F9E">
              <w:rPr>
                <w:rFonts w:ascii="Arial" w:eastAsia="Calibri" w:hAnsi="Arial" w:cs="Arial"/>
                <w:sz w:val="20"/>
                <w:szCs w:val="20"/>
              </w:rPr>
              <w:t>Updates the result interface for outbound test results with the ability to send the encoded test results in standard HL7 messaging format with the expected LIDR elements present</w:t>
            </w:r>
          </w:p>
        </w:tc>
      </w:tr>
      <w:tr w:rsidR="00622BAB" w:rsidRPr="00B01F9E" w14:paraId="7444C480" w14:textId="77777777" w:rsidTr="00AA6865">
        <w:tc>
          <w:tcPr>
            <w:tcW w:w="1053" w:type="pct"/>
          </w:tcPr>
          <w:p w14:paraId="313E534F" w14:textId="321F6E4C" w:rsidR="00622BAB" w:rsidRPr="00B01F9E" w:rsidRDefault="00622BAB"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Interface Engine</w:t>
            </w:r>
          </w:p>
        </w:tc>
        <w:tc>
          <w:tcPr>
            <w:tcW w:w="669" w:type="pct"/>
          </w:tcPr>
          <w:p w14:paraId="3F0ECCE6"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Duke</w:t>
            </w:r>
          </w:p>
        </w:tc>
        <w:tc>
          <w:tcPr>
            <w:tcW w:w="949" w:type="pct"/>
          </w:tcPr>
          <w:p w14:paraId="35D76D2B" w14:textId="77777777" w:rsidR="00622BAB" w:rsidRPr="00B01F9E" w:rsidRDefault="00622BAB" w:rsidP="00AA6865">
            <w:pPr>
              <w:rPr>
                <w:rFonts w:ascii="Arial" w:eastAsia="Calibri" w:hAnsi="Arial" w:cs="Arial"/>
                <w:sz w:val="20"/>
                <w:szCs w:val="20"/>
              </w:rPr>
            </w:pPr>
            <w:proofErr w:type="spellStart"/>
            <w:r w:rsidRPr="00B01F9E">
              <w:rPr>
                <w:rFonts w:ascii="Arial" w:eastAsia="Calibri" w:hAnsi="Arial" w:cs="Arial"/>
                <w:sz w:val="20"/>
                <w:szCs w:val="20"/>
              </w:rPr>
              <w:t>InterSystems</w:t>
            </w:r>
            <w:proofErr w:type="spellEnd"/>
            <w:r w:rsidRPr="00B01F9E">
              <w:rPr>
                <w:rFonts w:ascii="Arial" w:eastAsia="Calibri" w:hAnsi="Arial" w:cs="Arial"/>
                <w:sz w:val="20"/>
                <w:szCs w:val="20"/>
              </w:rPr>
              <w:t xml:space="preserve"> </w:t>
            </w:r>
            <w:proofErr w:type="spellStart"/>
            <w:r w:rsidRPr="00B01F9E">
              <w:rPr>
                <w:rFonts w:ascii="Arial" w:eastAsia="Calibri" w:hAnsi="Arial" w:cs="Arial"/>
                <w:sz w:val="20"/>
                <w:szCs w:val="20"/>
              </w:rPr>
              <w:t>HealthShare</w:t>
            </w:r>
            <w:proofErr w:type="spellEnd"/>
            <w:r w:rsidRPr="00B01F9E">
              <w:rPr>
                <w:rFonts w:ascii="Arial" w:eastAsia="Calibri" w:hAnsi="Arial" w:cs="Arial"/>
                <w:sz w:val="20"/>
                <w:szCs w:val="20"/>
              </w:rPr>
              <w:t>®</w:t>
            </w:r>
          </w:p>
        </w:tc>
        <w:tc>
          <w:tcPr>
            <w:tcW w:w="2329" w:type="pct"/>
          </w:tcPr>
          <w:p w14:paraId="2483EDC1" w14:textId="77777777" w:rsidR="00622BAB" w:rsidRPr="00B01F9E" w:rsidRDefault="00622BAB" w:rsidP="00AA6865">
            <w:pPr>
              <w:numPr>
                <w:ilvl w:val="0"/>
                <w:numId w:val="4"/>
              </w:numPr>
              <w:spacing w:before="60" w:after="60"/>
              <w:contextualSpacing/>
              <w:rPr>
                <w:rFonts w:ascii="Arial" w:eastAsia="Calibri" w:hAnsi="Arial" w:cs="Arial"/>
                <w:sz w:val="20"/>
                <w:szCs w:val="20"/>
              </w:rPr>
            </w:pPr>
            <w:r w:rsidRPr="00B01F9E">
              <w:rPr>
                <w:rFonts w:ascii="Arial" w:eastAsia="Calibri" w:hAnsi="Arial" w:cs="Arial"/>
                <w:sz w:val="20"/>
                <w:szCs w:val="20"/>
              </w:rPr>
              <w:t>Connects the LIS interface to external systems often allowing for additional modifications to match the required HL7 structure specified by the interface specifications</w:t>
            </w:r>
          </w:p>
        </w:tc>
      </w:tr>
      <w:tr w:rsidR="00622BAB" w:rsidRPr="00B01F9E" w14:paraId="40FB9B20" w14:textId="77777777" w:rsidTr="00AA6865">
        <w:tc>
          <w:tcPr>
            <w:tcW w:w="1053" w:type="pct"/>
          </w:tcPr>
          <w:p w14:paraId="0D3355F8" w14:textId="28E9C1F9" w:rsidR="00622BAB" w:rsidRPr="00B01F9E" w:rsidRDefault="00622BAB"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Interface Engine</w:t>
            </w:r>
          </w:p>
        </w:tc>
        <w:tc>
          <w:tcPr>
            <w:tcW w:w="669" w:type="pct"/>
          </w:tcPr>
          <w:p w14:paraId="0575BB20" w14:textId="230DADC1" w:rsidR="00622BAB" w:rsidRPr="00B01F9E" w:rsidRDefault="00657176" w:rsidP="00AA6865">
            <w:pPr>
              <w:rPr>
                <w:rFonts w:ascii="Arial" w:eastAsia="Calibri" w:hAnsi="Arial" w:cs="Arial"/>
                <w:sz w:val="20"/>
                <w:szCs w:val="20"/>
              </w:rPr>
            </w:pPr>
            <w:r w:rsidRPr="00B01F9E">
              <w:rPr>
                <w:rFonts w:ascii="Arial" w:eastAsia="Calibri" w:hAnsi="Arial" w:cs="Arial"/>
                <w:sz w:val="20"/>
                <w:szCs w:val="20"/>
              </w:rPr>
              <w:t>ELLKAY</w:t>
            </w:r>
          </w:p>
        </w:tc>
        <w:tc>
          <w:tcPr>
            <w:tcW w:w="949" w:type="pct"/>
          </w:tcPr>
          <w:p w14:paraId="10987EAA" w14:textId="77777777" w:rsidR="00622BAB" w:rsidRPr="00B01F9E" w:rsidRDefault="00622BAB" w:rsidP="00AA6865">
            <w:pPr>
              <w:rPr>
                <w:rFonts w:ascii="Arial" w:eastAsia="Calibri" w:hAnsi="Arial" w:cs="Arial"/>
                <w:sz w:val="20"/>
                <w:szCs w:val="20"/>
              </w:rPr>
            </w:pPr>
            <w:proofErr w:type="spellStart"/>
            <w:r w:rsidRPr="00B01F9E">
              <w:rPr>
                <w:rFonts w:ascii="Arial" w:eastAsia="Calibri" w:hAnsi="Arial" w:cs="Arial"/>
                <w:sz w:val="20"/>
                <w:szCs w:val="20"/>
              </w:rPr>
              <w:t>LKOrbit</w:t>
            </w:r>
            <w:proofErr w:type="spellEnd"/>
            <w:r w:rsidRPr="00B01F9E">
              <w:rPr>
                <w:rFonts w:ascii="Arial" w:eastAsia="Calibri" w:hAnsi="Arial" w:cs="Arial"/>
                <w:sz w:val="20"/>
                <w:szCs w:val="20"/>
              </w:rPr>
              <w:t>®</w:t>
            </w:r>
          </w:p>
        </w:tc>
        <w:tc>
          <w:tcPr>
            <w:tcW w:w="2329" w:type="pct"/>
          </w:tcPr>
          <w:p w14:paraId="453FF089" w14:textId="0BC8BD03" w:rsidR="00622BAB" w:rsidRPr="00B01F9E" w:rsidRDefault="00622BAB" w:rsidP="00AA6865">
            <w:pPr>
              <w:numPr>
                <w:ilvl w:val="0"/>
                <w:numId w:val="4"/>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Intake interface for the CAP utilized to </w:t>
            </w:r>
            <w:r w:rsidR="00860A26" w:rsidRPr="00B01F9E">
              <w:rPr>
                <w:rFonts w:ascii="Arial" w:eastAsia="Calibri" w:hAnsi="Arial" w:cs="Arial"/>
                <w:sz w:val="20"/>
                <w:szCs w:val="20"/>
              </w:rPr>
              <w:t>transmit</w:t>
            </w:r>
            <w:r w:rsidR="000235E1" w:rsidRPr="00B01F9E">
              <w:rPr>
                <w:rFonts w:ascii="Arial" w:eastAsia="Calibri" w:hAnsi="Arial" w:cs="Arial"/>
                <w:sz w:val="20"/>
                <w:szCs w:val="20"/>
              </w:rPr>
              <w:t xml:space="preserve"> </w:t>
            </w:r>
            <w:r w:rsidRPr="00B01F9E">
              <w:rPr>
                <w:rFonts w:ascii="Arial" w:eastAsia="Calibri" w:hAnsi="Arial" w:cs="Arial"/>
                <w:sz w:val="20"/>
                <w:szCs w:val="20"/>
              </w:rPr>
              <w:t xml:space="preserve">data received </w:t>
            </w:r>
          </w:p>
        </w:tc>
      </w:tr>
      <w:tr w:rsidR="00261F1B" w:rsidRPr="00B01F9E" w14:paraId="430B51AE" w14:textId="77777777" w:rsidTr="00AA6865">
        <w:tc>
          <w:tcPr>
            <w:tcW w:w="1053" w:type="pct"/>
          </w:tcPr>
          <w:p w14:paraId="1A1B9F96" w14:textId="605EC94A" w:rsidR="00261F1B" w:rsidRPr="00B01F9E" w:rsidRDefault="00854475"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 xml:space="preserve">VPN </w:t>
            </w:r>
            <w:r w:rsidR="00261F1B" w:rsidRPr="00B01F9E">
              <w:rPr>
                <w:rFonts w:ascii="Arial" w:eastAsia="Calibri" w:hAnsi="Arial" w:cs="Arial"/>
                <w:color w:val="000000" w:themeColor="text2"/>
                <w:sz w:val="20"/>
                <w:szCs w:val="20"/>
              </w:rPr>
              <w:t xml:space="preserve">Port Connection </w:t>
            </w:r>
          </w:p>
        </w:tc>
        <w:tc>
          <w:tcPr>
            <w:tcW w:w="669" w:type="pct"/>
          </w:tcPr>
          <w:p w14:paraId="30C5F757" w14:textId="52770A4C" w:rsidR="00261F1B" w:rsidRPr="00B01F9E" w:rsidRDefault="00261F1B" w:rsidP="00AA6865">
            <w:pPr>
              <w:rPr>
                <w:rFonts w:ascii="Arial" w:eastAsia="Calibri" w:hAnsi="Arial" w:cs="Arial"/>
                <w:sz w:val="20"/>
                <w:szCs w:val="20"/>
              </w:rPr>
            </w:pPr>
            <w:r w:rsidRPr="00B01F9E">
              <w:rPr>
                <w:rFonts w:ascii="Arial" w:eastAsia="Calibri" w:hAnsi="Arial" w:cs="Arial"/>
                <w:sz w:val="20"/>
                <w:szCs w:val="20"/>
              </w:rPr>
              <w:t>E</w:t>
            </w:r>
            <w:r w:rsidR="00657176" w:rsidRPr="00B01F9E">
              <w:rPr>
                <w:rFonts w:ascii="Arial" w:eastAsia="Calibri" w:hAnsi="Arial" w:cs="Arial"/>
                <w:sz w:val="20"/>
                <w:szCs w:val="20"/>
              </w:rPr>
              <w:t>LLKAY</w:t>
            </w:r>
          </w:p>
        </w:tc>
        <w:tc>
          <w:tcPr>
            <w:tcW w:w="949" w:type="pct"/>
          </w:tcPr>
          <w:p w14:paraId="35AE80C6" w14:textId="0F481100" w:rsidR="00261F1B" w:rsidRPr="00B01F9E" w:rsidRDefault="003B01DE" w:rsidP="00AA6865">
            <w:pPr>
              <w:rPr>
                <w:rFonts w:ascii="Arial" w:eastAsia="Calibri" w:hAnsi="Arial" w:cs="Arial"/>
                <w:sz w:val="20"/>
                <w:szCs w:val="20"/>
              </w:rPr>
            </w:pPr>
            <w:r w:rsidRPr="00B01F9E">
              <w:rPr>
                <w:rFonts w:ascii="Arial" w:eastAsia="Calibri" w:hAnsi="Arial" w:cs="Arial"/>
                <w:sz w:val="20"/>
                <w:szCs w:val="20"/>
              </w:rPr>
              <w:t xml:space="preserve">VPN Tunnel </w:t>
            </w:r>
          </w:p>
        </w:tc>
        <w:tc>
          <w:tcPr>
            <w:tcW w:w="2329" w:type="pct"/>
          </w:tcPr>
          <w:p w14:paraId="5476CCCF" w14:textId="16594733" w:rsidR="00261F1B" w:rsidRPr="00B01F9E" w:rsidRDefault="00D502D5" w:rsidP="00AA6865">
            <w:pPr>
              <w:numPr>
                <w:ilvl w:val="0"/>
                <w:numId w:val="4"/>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Specific endpoint in a network where data </w:t>
            </w:r>
            <w:r w:rsidR="00D171FC" w:rsidRPr="00B01F9E">
              <w:rPr>
                <w:rFonts w:ascii="Arial" w:eastAsia="Calibri" w:hAnsi="Arial" w:cs="Arial"/>
                <w:sz w:val="20"/>
                <w:szCs w:val="20"/>
              </w:rPr>
              <w:t>are</w:t>
            </w:r>
            <w:r w:rsidRPr="00B01F9E">
              <w:rPr>
                <w:rFonts w:ascii="Arial" w:eastAsia="Calibri" w:hAnsi="Arial" w:cs="Arial"/>
                <w:sz w:val="20"/>
                <w:szCs w:val="20"/>
              </w:rPr>
              <w:t xml:space="preserve"> sent and received</w:t>
            </w:r>
          </w:p>
          <w:p w14:paraId="028F004E" w14:textId="66C2D39E" w:rsidR="00885A3A" w:rsidRPr="00B01F9E" w:rsidRDefault="00885A3A" w:rsidP="00AA6865">
            <w:pPr>
              <w:numPr>
                <w:ilvl w:val="0"/>
                <w:numId w:val="4"/>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In the POC, the port connection already existed between Duke and </w:t>
            </w:r>
            <w:r w:rsidR="00657176" w:rsidRPr="00B01F9E">
              <w:rPr>
                <w:rFonts w:ascii="Arial" w:eastAsia="Calibri" w:hAnsi="Arial" w:cs="Arial"/>
                <w:sz w:val="20"/>
                <w:szCs w:val="20"/>
              </w:rPr>
              <w:t xml:space="preserve">ELLKAY </w:t>
            </w:r>
            <w:r w:rsidRPr="00B01F9E">
              <w:rPr>
                <w:rFonts w:ascii="Arial" w:eastAsia="Calibri" w:hAnsi="Arial" w:cs="Arial"/>
                <w:sz w:val="20"/>
                <w:szCs w:val="20"/>
              </w:rPr>
              <w:t>from a previous initiative</w:t>
            </w:r>
          </w:p>
        </w:tc>
      </w:tr>
      <w:tr w:rsidR="00622BAB" w:rsidRPr="00B01F9E" w14:paraId="5E50BDFC" w14:textId="77777777" w:rsidTr="00AA6865">
        <w:tc>
          <w:tcPr>
            <w:tcW w:w="1053" w:type="pct"/>
          </w:tcPr>
          <w:p w14:paraId="0F7AEEEC" w14:textId="7E9A1D57" w:rsidR="00622BAB" w:rsidRPr="00B01F9E" w:rsidRDefault="00FD4189" w:rsidP="00AA6865">
            <w:pPr>
              <w:rPr>
                <w:rFonts w:ascii="Arial" w:eastAsia="Calibri" w:hAnsi="Arial" w:cs="Arial"/>
                <w:sz w:val="20"/>
                <w:szCs w:val="20"/>
              </w:rPr>
            </w:pPr>
            <w:r w:rsidRPr="00B01F9E">
              <w:rPr>
                <w:rFonts w:ascii="Arial" w:eastAsia="Calibri" w:hAnsi="Arial" w:cs="Arial"/>
                <w:sz w:val="20"/>
                <w:szCs w:val="20"/>
              </w:rPr>
              <w:t xml:space="preserve">Simulated </w:t>
            </w:r>
            <w:r w:rsidR="00622BAB" w:rsidRPr="00B01F9E">
              <w:rPr>
                <w:rFonts w:ascii="Arial" w:eastAsia="Calibri" w:hAnsi="Arial" w:cs="Arial"/>
                <w:sz w:val="20"/>
                <w:szCs w:val="20"/>
              </w:rPr>
              <w:t>LIDR</w:t>
            </w:r>
          </w:p>
        </w:tc>
        <w:tc>
          <w:tcPr>
            <w:tcW w:w="669" w:type="pct"/>
          </w:tcPr>
          <w:p w14:paraId="7A2C9478" w14:textId="016B9AB9" w:rsidR="00622BAB" w:rsidRPr="00B01F9E" w:rsidRDefault="00DC3E55" w:rsidP="00AA6865">
            <w:pPr>
              <w:rPr>
                <w:rFonts w:ascii="Arial" w:eastAsia="Calibri" w:hAnsi="Arial" w:cs="Arial"/>
                <w:sz w:val="20"/>
                <w:szCs w:val="20"/>
              </w:rPr>
            </w:pPr>
            <w:r w:rsidRPr="00B01F9E">
              <w:rPr>
                <w:rFonts w:ascii="Arial" w:eastAsia="Calibri" w:hAnsi="Arial" w:cs="Arial"/>
                <w:sz w:val="20"/>
                <w:szCs w:val="20"/>
              </w:rPr>
              <w:t>CAP (</w:t>
            </w:r>
            <w:r w:rsidR="008F4ED4" w:rsidRPr="00B01F9E">
              <w:rPr>
                <w:rFonts w:ascii="Arial" w:eastAsia="Calibri" w:hAnsi="Arial" w:cs="Arial"/>
                <w:sz w:val="20"/>
                <w:szCs w:val="20"/>
              </w:rPr>
              <w:t xml:space="preserve">Future </w:t>
            </w:r>
            <w:r w:rsidR="00BE7BDA" w:rsidRPr="00B01F9E">
              <w:rPr>
                <w:rFonts w:ascii="Arial" w:eastAsia="Calibri" w:hAnsi="Arial" w:cs="Arial"/>
                <w:sz w:val="20"/>
                <w:szCs w:val="20"/>
              </w:rPr>
              <w:t>s</w:t>
            </w:r>
            <w:r w:rsidR="008F4ED4" w:rsidRPr="00B01F9E">
              <w:rPr>
                <w:rFonts w:ascii="Arial" w:eastAsia="Calibri" w:hAnsi="Arial" w:cs="Arial"/>
                <w:sz w:val="20"/>
                <w:szCs w:val="20"/>
              </w:rPr>
              <w:t xml:space="preserve">tate </w:t>
            </w:r>
            <w:r w:rsidR="00BE7BDA" w:rsidRPr="00B01F9E">
              <w:rPr>
                <w:rFonts w:ascii="Arial" w:eastAsia="Calibri" w:hAnsi="Arial" w:cs="Arial"/>
                <w:sz w:val="20"/>
                <w:szCs w:val="20"/>
              </w:rPr>
              <w:t xml:space="preserve">will be </w:t>
            </w:r>
            <w:r w:rsidR="00622BAB" w:rsidRPr="00B01F9E">
              <w:rPr>
                <w:rFonts w:ascii="Arial" w:eastAsia="Calibri" w:hAnsi="Arial" w:cs="Arial"/>
                <w:sz w:val="20"/>
                <w:szCs w:val="20"/>
              </w:rPr>
              <w:t>LIDR Administrator</w:t>
            </w:r>
            <w:r w:rsidR="00BE7BDA" w:rsidRPr="00B01F9E">
              <w:rPr>
                <w:rFonts w:ascii="Arial" w:eastAsia="Calibri" w:hAnsi="Arial" w:cs="Arial"/>
                <w:sz w:val="20"/>
                <w:szCs w:val="20"/>
              </w:rPr>
              <w:t>)</w:t>
            </w:r>
            <w:r w:rsidR="00622BAB" w:rsidRPr="00B01F9E">
              <w:rPr>
                <w:rFonts w:ascii="Arial" w:eastAsia="Calibri" w:hAnsi="Arial" w:cs="Arial"/>
                <w:sz w:val="20"/>
                <w:szCs w:val="20"/>
              </w:rPr>
              <w:t xml:space="preserve"> </w:t>
            </w:r>
          </w:p>
        </w:tc>
        <w:tc>
          <w:tcPr>
            <w:tcW w:w="949" w:type="pct"/>
          </w:tcPr>
          <w:p w14:paraId="1B48BD67" w14:textId="02CC9E71"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 xml:space="preserve">Data Warehouse </w:t>
            </w:r>
          </w:p>
        </w:tc>
        <w:tc>
          <w:tcPr>
            <w:tcW w:w="2329" w:type="pct"/>
          </w:tcPr>
          <w:p w14:paraId="43F6636A" w14:textId="63B01897" w:rsidR="00622BAB" w:rsidRPr="00B01F9E" w:rsidRDefault="00FB1A75" w:rsidP="00AA6865">
            <w:pPr>
              <w:numPr>
                <w:ilvl w:val="0"/>
                <w:numId w:val="4"/>
              </w:numPr>
              <w:spacing w:before="60" w:after="60"/>
              <w:contextualSpacing/>
              <w:rPr>
                <w:rFonts w:ascii="Arial" w:eastAsia="Calibri" w:hAnsi="Arial" w:cs="Arial"/>
                <w:sz w:val="20"/>
                <w:szCs w:val="20"/>
              </w:rPr>
            </w:pPr>
            <w:r w:rsidRPr="00B01F9E">
              <w:rPr>
                <w:rFonts w:ascii="Arial" w:eastAsia="Calibri" w:hAnsi="Arial" w:cs="Arial"/>
                <w:sz w:val="20"/>
                <w:szCs w:val="20"/>
              </w:rPr>
              <w:t>The</w:t>
            </w:r>
            <w:r w:rsidR="00622BAB" w:rsidRPr="00B01F9E">
              <w:rPr>
                <w:rFonts w:ascii="Arial" w:eastAsia="Calibri" w:hAnsi="Arial" w:cs="Arial"/>
                <w:sz w:val="20"/>
                <w:szCs w:val="20"/>
              </w:rPr>
              <w:t xml:space="preserve"> POC</w:t>
            </w:r>
            <w:r w:rsidRPr="00B01F9E">
              <w:rPr>
                <w:rFonts w:ascii="Arial" w:eastAsia="Calibri" w:hAnsi="Arial" w:cs="Arial"/>
                <w:sz w:val="20"/>
                <w:szCs w:val="20"/>
              </w:rPr>
              <w:t xml:space="preserve"> used a</w:t>
            </w:r>
            <w:r w:rsidR="00622BAB" w:rsidRPr="00B01F9E">
              <w:rPr>
                <w:rFonts w:ascii="Arial" w:eastAsia="Calibri" w:hAnsi="Arial" w:cs="Arial"/>
                <w:sz w:val="20"/>
                <w:szCs w:val="20"/>
              </w:rPr>
              <w:t xml:space="preserve"> subset of tests (</w:t>
            </w:r>
            <w:hyperlink w:anchor="Table_2" w:history="1">
              <w:r w:rsidR="00622BAB" w:rsidRPr="00B01F9E">
                <w:rPr>
                  <w:rStyle w:val="Hyperlink"/>
                  <w:rFonts w:ascii="Arial" w:eastAsia="Calibri" w:hAnsi="Arial" w:cs="Arial"/>
                  <w:kern w:val="0"/>
                  <w:sz w:val="20"/>
                  <w:szCs w:val="20"/>
                  <w14:ligatures w14:val="none"/>
                </w:rPr>
                <w:t>Table 2</w:t>
              </w:r>
            </w:hyperlink>
            <w:r w:rsidR="00622BAB" w:rsidRPr="00B01F9E">
              <w:rPr>
                <w:rFonts w:ascii="Arial" w:eastAsia="Calibri" w:hAnsi="Arial" w:cs="Arial"/>
                <w:sz w:val="20"/>
                <w:szCs w:val="20"/>
              </w:rPr>
              <w:t xml:space="preserve">) </w:t>
            </w:r>
            <w:r w:rsidRPr="00B01F9E">
              <w:rPr>
                <w:rFonts w:ascii="Arial" w:eastAsia="Calibri" w:hAnsi="Arial" w:cs="Arial"/>
                <w:sz w:val="20"/>
                <w:szCs w:val="20"/>
              </w:rPr>
              <w:t>with curated</w:t>
            </w:r>
            <w:r w:rsidR="00622BAB" w:rsidRPr="00B01F9E">
              <w:rPr>
                <w:rFonts w:ascii="Arial" w:eastAsia="Calibri" w:hAnsi="Arial" w:cs="Arial"/>
                <w:sz w:val="20"/>
                <w:szCs w:val="20"/>
              </w:rPr>
              <w:t xml:space="preserve"> LIDR elements accessible in the CAP environment</w:t>
            </w:r>
          </w:p>
        </w:tc>
      </w:tr>
      <w:tr w:rsidR="00622BAB" w:rsidRPr="00B01F9E" w14:paraId="7A971EAF" w14:textId="77777777" w:rsidTr="00AA6865">
        <w:tc>
          <w:tcPr>
            <w:tcW w:w="1053" w:type="pct"/>
          </w:tcPr>
          <w:p w14:paraId="5A955CA3" w14:textId="4585ABCF" w:rsidR="00622BAB" w:rsidRPr="00B01F9E" w:rsidRDefault="00622BAB"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Intake Interface</w:t>
            </w:r>
          </w:p>
        </w:tc>
        <w:tc>
          <w:tcPr>
            <w:tcW w:w="669" w:type="pct"/>
          </w:tcPr>
          <w:p w14:paraId="2F0FCF3A"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CAP</w:t>
            </w:r>
          </w:p>
        </w:tc>
        <w:tc>
          <w:tcPr>
            <w:tcW w:w="949" w:type="pct"/>
          </w:tcPr>
          <w:p w14:paraId="0C8DC122"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 xml:space="preserve">Application </w:t>
            </w:r>
          </w:p>
          <w:p w14:paraId="3536FFC2"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 xml:space="preserve">Programming </w:t>
            </w:r>
          </w:p>
          <w:p w14:paraId="19FE771E"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Interface (API)</w:t>
            </w:r>
          </w:p>
        </w:tc>
        <w:tc>
          <w:tcPr>
            <w:tcW w:w="2329" w:type="pct"/>
          </w:tcPr>
          <w:p w14:paraId="522C71DE" w14:textId="72763AFD" w:rsidR="00622BAB" w:rsidRPr="00B01F9E" w:rsidRDefault="00622BAB" w:rsidP="00AA6865">
            <w:pPr>
              <w:numPr>
                <w:ilvl w:val="0"/>
                <w:numId w:val="5"/>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Receiving system for the CAP for </w:t>
            </w:r>
            <w:r w:rsidR="004C5242" w:rsidRPr="00B01F9E">
              <w:rPr>
                <w:rFonts w:ascii="Arial" w:eastAsia="Calibri" w:hAnsi="Arial" w:cs="Arial"/>
                <w:sz w:val="20"/>
                <w:szCs w:val="20"/>
              </w:rPr>
              <w:t xml:space="preserve">POC </w:t>
            </w:r>
            <w:r w:rsidR="00000063" w:rsidRPr="00B01F9E">
              <w:rPr>
                <w:rFonts w:ascii="Arial" w:eastAsia="Calibri" w:hAnsi="Arial" w:cs="Arial"/>
                <w:sz w:val="20"/>
                <w:szCs w:val="20"/>
              </w:rPr>
              <w:t xml:space="preserve">test result </w:t>
            </w:r>
            <w:r w:rsidRPr="00B01F9E">
              <w:rPr>
                <w:rFonts w:ascii="Arial" w:eastAsia="Calibri" w:hAnsi="Arial" w:cs="Arial"/>
                <w:sz w:val="20"/>
                <w:szCs w:val="20"/>
              </w:rPr>
              <w:t xml:space="preserve">submissions </w:t>
            </w:r>
          </w:p>
          <w:p w14:paraId="0E1945CA" w14:textId="4EBA258F" w:rsidR="00622BAB" w:rsidRPr="00B01F9E" w:rsidRDefault="00E40D8D" w:rsidP="00AA6865">
            <w:pPr>
              <w:numPr>
                <w:ilvl w:val="0"/>
                <w:numId w:val="5"/>
              </w:numPr>
              <w:spacing w:before="60" w:after="60"/>
              <w:contextualSpacing/>
              <w:rPr>
                <w:rFonts w:ascii="Arial" w:eastAsia="Calibri" w:hAnsi="Arial" w:cs="Arial"/>
                <w:sz w:val="20"/>
                <w:szCs w:val="20"/>
              </w:rPr>
            </w:pPr>
            <w:r w:rsidRPr="00B01F9E">
              <w:rPr>
                <w:rFonts w:ascii="Arial" w:eastAsia="Calibri" w:hAnsi="Arial" w:cs="Arial"/>
                <w:sz w:val="20"/>
                <w:szCs w:val="20"/>
              </w:rPr>
              <w:t>E</w:t>
            </w:r>
            <w:r w:rsidR="00622BAB" w:rsidRPr="00B01F9E">
              <w:rPr>
                <w:rFonts w:ascii="Arial" w:eastAsia="Calibri" w:hAnsi="Arial" w:cs="Arial"/>
                <w:sz w:val="20"/>
                <w:szCs w:val="20"/>
              </w:rPr>
              <w:t>valuate</w:t>
            </w:r>
            <w:r w:rsidR="00E0010A" w:rsidRPr="00B01F9E">
              <w:rPr>
                <w:rFonts w:ascii="Arial" w:eastAsia="Calibri" w:hAnsi="Arial" w:cs="Arial"/>
                <w:sz w:val="20"/>
                <w:szCs w:val="20"/>
              </w:rPr>
              <w:t>s</w:t>
            </w:r>
            <w:r w:rsidR="00622BAB" w:rsidRPr="00B01F9E">
              <w:rPr>
                <w:rFonts w:ascii="Arial" w:eastAsia="Calibri" w:hAnsi="Arial" w:cs="Arial"/>
                <w:sz w:val="20"/>
                <w:szCs w:val="20"/>
              </w:rPr>
              <w:t xml:space="preserve"> the submission for structural validation of the HL7 result message </w:t>
            </w:r>
          </w:p>
        </w:tc>
      </w:tr>
      <w:tr w:rsidR="00622BAB" w:rsidRPr="00B01F9E" w14:paraId="75025C0D" w14:textId="77777777" w:rsidTr="00AA6865">
        <w:tc>
          <w:tcPr>
            <w:tcW w:w="1053" w:type="pct"/>
          </w:tcPr>
          <w:p w14:paraId="12812AA5" w14:textId="5636A3B8" w:rsidR="00622BAB" w:rsidRPr="00B01F9E" w:rsidRDefault="00622BAB"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Data Storage</w:t>
            </w:r>
          </w:p>
        </w:tc>
        <w:tc>
          <w:tcPr>
            <w:tcW w:w="669" w:type="pct"/>
          </w:tcPr>
          <w:p w14:paraId="004DB437"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CAP</w:t>
            </w:r>
          </w:p>
        </w:tc>
        <w:tc>
          <w:tcPr>
            <w:tcW w:w="949" w:type="pct"/>
          </w:tcPr>
          <w:p w14:paraId="40076544"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Postgres-SQL</w:t>
            </w:r>
          </w:p>
        </w:tc>
        <w:tc>
          <w:tcPr>
            <w:tcW w:w="2329" w:type="pct"/>
          </w:tcPr>
          <w:p w14:paraId="76C4BFE3" w14:textId="77777777" w:rsidR="00622BAB" w:rsidRPr="00B01F9E" w:rsidRDefault="00622BAB" w:rsidP="00AA6865">
            <w:pPr>
              <w:numPr>
                <w:ilvl w:val="0"/>
                <w:numId w:val="6"/>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Messages received by the CAP are parsed and stored for evaluation of the submitted LIDR elements </w:t>
            </w:r>
          </w:p>
        </w:tc>
      </w:tr>
      <w:tr w:rsidR="00622BAB" w:rsidRPr="00B01F9E" w14:paraId="3183A751" w14:textId="77777777" w:rsidTr="00AA6865">
        <w:trPr>
          <w:trHeight w:val="300"/>
        </w:trPr>
        <w:tc>
          <w:tcPr>
            <w:tcW w:w="1053" w:type="pct"/>
          </w:tcPr>
          <w:p w14:paraId="769250D6" w14:textId="1ED5EE55" w:rsidR="00622BAB" w:rsidRPr="00B01F9E" w:rsidRDefault="00622BAB"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 xml:space="preserve">Data Warehouse </w:t>
            </w:r>
          </w:p>
          <w:p w14:paraId="66341428" w14:textId="77777777" w:rsidR="00622BAB" w:rsidRPr="00B01F9E" w:rsidRDefault="00622BAB" w:rsidP="00AA6865">
            <w:pPr>
              <w:rPr>
                <w:rFonts w:ascii="Arial" w:eastAsia="Calibri" w:hAnsi="Arial" w:cs="Arial"/>
                <w:color w:val="000000" w:themeColor="text2"/>
                <w:sz w:val="20"/>
                <w:szCs w:val="20"/>
              </w:rPr>
            </w:pPr>
          </w:p>
        </w:tc>
        <w:tc>
          <w:tcPr>
            <w:tcW w:w="669" w:type="pct"/>
          </w:tcPr>
          <w:p w14:paraId="76F62A74"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CAP</w:t>
            </w:r>
          </w:p>
        </w:tc>
        <w:tc>
          <w:tcPr>
            <w:tcW w:w="949" w:type="pct"/>
          </w:tcPr>
          <w:p w14:paraId="5CC7A1DE"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Redshift®</w:t>
            </w:r>
          </w:p>
        </w:tc>
        <w:tc>
          <w:tcPr>
            <w:tcW w:w="2329" w:type="pct"/>
          </w:tcPr>
          <w:p w14:paraId="7199BA0E" w14:textId="6E909C38" w:rsidR="00622BAB" w:rsidRPr="00B01F9E" w:rsidRDefault="00622BAB" w:rsidP="00AA6865">
            <w:pPr>
              <w:numPr>
                <w:ilvl w:val="0"/>
                <w:numId w:val="6"/>
              </w:numPr>
              <w:spacing w:before="60" w:after="60"/>
              <w:contextualSpacing/>
              <w:rPr>
                <w:rFonts w:ascii="Arial" w:eastAsia="Calibri" w:hAnsi="Arial" w:cs="Arial"/>
                <w:sz w:val="20"/>
                <w:szCs w:val="20"/>
              </w:rPr>
            </w:pPr>
            <w:r w:rsidRPr="00B01F9E">
              <w:rPr>
                <w:rFonts w:ascii="Arial" w:eastAsia="Arial" w:hAnsi="Arial" w:cs="Arial"/>
                <w:sz w:val="20"/>
                <w:szCs w:val="20"/>
              </w:rPr>
              <w:t xml:space="preserve">HL7 messages are transformed and stored in a data warehouse solution for consumption by </w:t>
            </w:r>
            <w:r w:rsidR="00D80A7D" w:rsidRPr="00B01F9E">
              <w:rPr>
                <w:rFonts w:ascii="Arial" w:eastAsia="Arial" w:hAnsi="Arial" w:cs="Arial"/>
                <w:sz w:val="20"/>
                <w:szCs w:val="20"/>
              </w:rPr>
              <w:t xml:space="preserve">the </w:t>
            </w:r>
            <w:r w:rsidRPr="00B01F9E">
              <w:rPr>
                <w:rFonts w:ascii="Arial" w:eastAsia="Arial" w:hAnsi="Arial" w:cs="Arial"/>
                <w:sz w:val="20"/>
                <w:szCs w:val="20"/>
              </w:rPr>
              <w:t xml:space="preserve">analytics tool </w:t>
            </w:r>
            <w:r w:rsidR="00EE2765" w:rsidRPr="00B01F9E">
              <w:rPr>
                <w:rFonts w:ascii="Arial" w:eastAsia="Arial" w:hAnsi="Arial" w:cs="Arial"/>
                <w:sz w:val="20"/>
                <w:szCs w:val="20"/>
              </w:rPr>
              <w:t xml:space="preserve">used in the POC </w:t>
            </w:r>
            <w:r w:rsidRPr="00B01F9E">
              <w:rPr>
                <w:rFonts w:ascii="Arial" w:eastAsia="Arial" w:hAnsi="Arial" w:cs="Arial"/>
                <w:sz w:val="20"/>
                <w:szCs w:val="20"/>
              </w:rPr>
              <w:t xml:space="preserve">(Tableau) </w:t>
            </w:r>
          </w:p>
        </w:tc>
      </w:tr>
      <w:tr w:rsidR="00622BAB" w:rsidRPr="00B01F9E" w14:paraId="7683C3DC" w14:textId="77777777" w:rsidTr="00AA6865">
        <w:tc>
          <w:tcPr>
            <w:tcW w:w="1053" w:type="pct"/>
          </w:tcPr>
          <w:p w14:paraId="22B6AE90" w14:textId="7535653E" w:rsidR="00622BAB" w:rsidRPr="00B01F9E" w:rsidRDefault="00622BAB" w:rsidP="00AA6865">
            <w:pPr>
              <w:rPr>
                <w:rFonts w:ascii="Arial" w:eastAsia="Calibri" w:hAnsi="Arial" w:cs="Arial"/>
                <w:color w:val="000000" w:themeColor="text2"/>
                <w:sz w:val="20"/>
                <w:szCs w:val="20"/>
              </w:rPr>
            </w:pPr>
            <w:r w:rsidRPr="00B01F9E">
              <w:rPr>
                <w:rFonts w:ascii="Arial" w:eastAsia="Calibri" w:hAnsi="Arial" w:cs="Arial"/>
                <w:color w:val="000000" w:themeColor="text2"/>
                <w:sz w:val="20"/>
                <w:szCs w:val="20"/>
              </w:rPr>
              <w:t>Data Analysis</w:t>
            </w:r>
          </w:p>
          <w:p w14:paraId="55537F83" w14:textId="77777777" w:rsidR="00622BAB" w:rsidRPr="00B01F9E" w:rsidRDefault="00622BAB" w:rsidP="00AA6865">
            <w:pPr>
              <w:rPr>
                <w:rFonts w:ascii="Arial" w:eastAsia="Calibri" w:hAnsi="Arial" w:cs="Arial"/>
                <w:color w:val="000000" w:themeColor="text2"/>
                <w:sz w:val="20"/>
                <w:szCs w:val="20"/>
              </w:rPr>
            </w:pPr>
          </w:p>
        </w:tc>
        <w:tc>
          <w:tcPr>
            <w:tcW w:w="669" w:type="pct"/>
          </w:tcPr>
          <w:p w14:paraId="7F4F9D14"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CAP</w:t>
            </w:r>
          </w:p>
        </w:tc>
        <w:tc>
          <w:tcPr>
            <w:tcW w:w="949" w:type="pct"/>
          </w:tcPr>
          <w:p w14:paraId="2C49F5F6" w14:textId="77777777" w:rsidR="00622BAB" w:rsidRPr="00B01F9E" w:rsidRDefault="00622BAB" w:rsidP="00AA6865">
            <w:pPr>
              <w:rPr>
                <w:rFonts w:ascii="Arial" w:eastAsia="Calibri" w:hAnsi="Arial" w:cs="Arial"/>
                <w:sz w:val="20"/>
                <w:szCs w:val="20"/>
              </w:rPr>
            </w:pPr>
            <w:r w:rsidRPr="00B01F9E">
              <w:rPr>
                <w:rFonts w:ascii="Arial" w:eastAsia="Calibri" w:hAnsi="Arial" w:cs="Arial"/>
                <w:sz w:val="20"/>
                <w:szCs w:val="20"/>
              </w:rPr>
              <w:t>Tableau®</w:t>
            </w:r>
          </w:p>
        </w:tc>
        <w:tc>
          <w:tcPr>
            <w:tcW w:w="2329" w:type="pct"/>
          </w:tcPr>
          <w:p w14:paraId="2C6DB536" w14:textId="77777777" w:rsidR="00622BAB" w:rsidRPr="00B01F9E" w:rsidRDefault="00622BAB" w:rsidP="00AA6865">
            <w:pPr>
              <w:numPr>
                <w:ilvl w:val="0"/>
                <w:numId w:val="6"/>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Evaluates data and compares to LIDR to produce analysis reports of the laboratory’s ability to encode their test compendium with the correct LIDR elements </w:t>
            </w:r>
          </w:p>
          <w:p w14:paraId="07CDA01A" w14:textId="77777777" w:rsidR="00622BAB" w:rsidRPr="00B01F9E" w:rsidRDefault="00622BAB" w:rsidP="00AA6865">
            <w:pPr>
              <w:numPr>
                <w:ilvl w:val="0"/>
                <w:numId w:val="6"/>
              </w:numPr>
              <w:spacing w:before="60" w:after="60"/>
              <w:contextualSpacing/>
              <w:rPr>
                <w:rFonts w:ascii="Arial" w:eastAsia="Calibri" w:hAnsi="Arial" w:cs="Arial"/>
                <w:sz w:val="20"/>
                <w:szCs w:val="20"/>
              </w:rPr>
            </w:pPr>
            <w:r w:rsidRPr="00B01F9E">
              <w:rPr>
                <w:rFonts w:ascii="Arial" w:eastAsia="Calibri" w:hAnsi="Arial" w:cs="Arial"/>
                <w:sz w:val="20"/>
                <w:szCs w:val="20"/>
              </w:rPr>
              <w:t xml:space="preserve">Provides feedback reports to the subscribed laboratory </w:t>
            </w:r>
          </w:p>
        </w:tc>
      </w:tr>
    </w:tbl>
    <w:p w14:paraId="312401DC" w14:textId="4C8182D9" w:rsidR="00622BAB" w:rsidRPr="00B01F9E" w:rsidRDefault="00B84570" w:rsidP="002B6054">
      <w:pPr>
        <w:pStyle w:val="Heading3"/>
        <w:spacing w:before="120" w:after="120"/>
        <w:rPr>
          <w:rFonts w:ascii="Arial" w:hAnsi="Arial" w:cs="Arial"/>
          <w:b/>
          <w:bCs/>
          <w:i/>
          <w:iCs/>
          <w:color w:val="009BBF"/>
          <w:sz w:val="20"/>
          <w:szCs w:val="20"/>
        </w:rPr>
      </w:pPr>
      <w:bookmarkStart w:id="9" w:name="_Toc177136984"/>
      <w:r w:rsidRPr="00B01F9E">
        <w:rPr>
          <w:rFonts w:ascii="Arial" w:hAnsi="Arial" w:cs="Arial"/>
          <w:b/>
          <w:bCs/>
          <w:i/>
          <w:iCs/>
          <w:color w:val="009BBF"/>
          <w:sz w:val="20"/>
          <w:szCs w:val="20"/>
        </w:rPr>
        <w:lastRenderedPageBreak/>
        <w:t>3</w:t>
      </w:r>
      <w:r w:rsidR="005B7A1B" w:rsidRPr="00B01F9E">
        <w:rPr>
          <w:rFonts w:ascii="Arial" w:hAnsi="Arial" w:cs="Arial"/>
          <w:b/>
          <w:bCs/>
          <w:i/>
          <w:iCs/>
          <w:color w:val="009BBF"/>
          <w:sz w:val="20"/>
          <w:szCs w:val="20"/>
        </w:rPr>
        <w:t>.2.1 Required Environment Set</w:t>
      </w:r>
      <w:r w:rsidR="004B2BC5" w:rsidRPr="00B01F9E">
        <w:rPr>
          <w:rFonts w:ascii="Arial" w:hAnsi="Arial" w:cs="Arial"/>
          <w:b/>
          <w:bCs/>
          <w:i/>
          <w:iCs/>
          <w:color w:val="009BBF"/>
          <w:sz w:val="20"/>
          <w:szCs w:val="20"/>
        </w:rPr>
        <w:t>-U</w:t>
      </w:r>
      <w:r w:rsidR="005B7A1B" w:rsidRPr="00B01F9E">
        <w:rPr>
          <w:rFonts w:ascii="Arial" w:hAnsi="Arial" w:cs="Arial"/>
          <w:b/>
          <w:bCs/>
          <w:i/>
          <w:iCs/>
          <w:color w:val="009BBF"/>
          <w:sz w:val="20"/>
          <w:szCs w:val="20"/>
        </w:rPr>
        <w:t>p of System Components</w:t>
      </w:r>
      <w:bookmarkEnd w:id="9"/>
      <w:r w:rsidR="005B7A1B" w:rsidRPr="00B01F9E">
        <w:rPr>
          <w:rFonts w:ascii="Arial" w:hAnsi="Arial" w:cs="Arial"/>
          <w:b/>
          <w:bCs/>
          <w:i/>
          <w:iCs/>
          <w:color w:val="009BBF"/>
          <w:sz w:val="20"/>
          <w:szCs w:val="20"/>
        </w:rPr>
        <w:t xml:space="preserve"> </w:t>
      </w:r>
    </w:p>
    <w:p w14:paraId="69A8E2CE" w14:textId="4E2015C1" w:rsidR="005B7A1B" w:rsidRPr="00B01F9E" w:rsidRDefault="005B7A1B" w:rsidP="5F3E67D5">
      <w:pPr>
        <w:spacing w:after="120"/>
        <w:rPr>
          <w:rFonts w:ascii="Arial" w:hAnsi="Arial" w:cs="Arial"/>
          <w:b/>
          <w:bCs/>
          <w:sz w:val="20"/>
          <w:szCs w:val="20"/>
        </w:rPr>
      </w:pPr>
      <w:r w:rsidRPr="00B01F9E">
        <w:rPr>
          <w:rFonts w:ascii="Arial" w:hAnsi="Arial" w:cs="Arial"/>
          <w:b/>
          <w:bCs/>
          <w:sz w:val="20"/>
          <w:szCs w:val="20"/>
        </w:rPr>
        <w:t>Laboratory Information System</w:t>
      </w:r>
    </w:p>
    <w:p w14:paraId="7FF205EC" w14:textId="0A73385F" w:rsidR="00E65476" w:rsidRPr="00B01F9E" w:rsidRDefault="00E65476" w:rsidP="5F3E67D5">
      <w:pPr>
        <w:spacing w:after="120"/>
        <w:rPr>
          <w:rFonts w:ascii="Arial" w:hAnsi="Arial" w:cs="Arial"/>
          <w:sz w:val="20"/>
          <w:szCs w:val="20"/>
        </w:rPr>
      </w:pPr>
      <w:r w:rsidRPr="00B01F9E">
        <w:rPr>
          <w:rFonts w:ascii="Arial" w:hAnsi="Arial" w:cs="Arial"/>
          <w:b/>
          <w:bCs/>
          <w:sz w:val="20"/>
          <w:szCs w:val="20"/>
        </w:rPr>
        <w:t>Test Build Requirements</w:t>
      </w:r>
      <w:r w:rsidRPr="00B01F9E">
        <w:rPr>
          <w:rFonts w:ascii="Arial" w:hAnsi="Arial" w:cs="Arial"/>
          <w:sz w:val="20"/>
          <w:szCs w:val="20"/>
        </w:rPr>
        <w:t>: Duke utilizes the Epic Beaker system for its LIS. Duke</w:t>
      </w:r>
      <w:r w:rsidRPr="00B01F9E" w:rsidDel="00BC71AE">
        <w:rPr>
          <w:rFonts w:ascii="Arial" w:hAnsi="Arial" w:cs="Arial"/>
          <w:sz w:val="20"/>
          <w:szCs w:val="20"/>
        </w:rPr>
        <w:t xml:space="preserve"> </w:t>
      </w:r>
      <w:r w:rsidRPr="00B01F9E">
        <w:rPr>
          <w:rFonts w:ascii="Arial" w:hAnsi="Arial" w:cs="Arial"/>
          <w:sz w:val="20"/>
          <w:szCs w:val="20"/>
        </w:rPr>
        <w:t xml:space="preserve">agreed to build out a subset of its test compendium with the LIDR elements. The subset of tests can be found in Table 2. </w:t>
      </w:r>
    </w:p>
    <w:p w14:paraId="02DA2041" w14:textId="1F64BC22" w:rsidR="00E65476" w:rsidRPr="00B01F9E" w:rsidRDefault="00E65476" w:rsidP="5F3E67D5">
      <w:pPr>
        <w:spacing w:after="120"/>
        <w:rPr>
          <w:rFonts w:ascii="Arial" w:hAnsi="Arial" w:cs="Arial"/>
          <w:sz w:val="20"/>
          <w:szCs w:val="20"/>
        </w:rPr>
      </w:pPr>
      <w:r w:rsidRPr="00B01F9E">
        <w:rPr>
          <w:rFonts w:ascii="Arial" w:hAnsi="Arial" w:cs="Arial"/>
          <w:sz w:val="20"/>
          <w:szCs w:val="20"/>
        </w:rPr>
        <w:t xml:space="preserve">The system </w:t>
      </w:r>
      <w:r w:rsidR="0000684E" w:rsidRPr="00B01F9E">
        <w:rPr>
          <w:rFonts w:ascii="Arial" w:hAnsi="Arial" w:cs="Arial"/>
          <w:sz w:val="20"/>
          <w:szCs w:val="20"/>
        </w:rPr>
        <w:t>defines laboratory tests</w:t>
      </w:r>
      <w:r w:rsidRPr="00B01F9E">
        <w:rPr>
          <w:rFonts w:ascii="Arial" w:hAnsi="Arial" w:cs="Arial"/>
          <w:sz w:val="20"/>
          <w:szCs w:val="20"/>
        </w:rPr>
        <w:t xml:space="preserve"> utiliz</w:t>
      </w:r>
      <w:r w:rsidR="0000684E" w:rsidRPr="00B01F9E">
        <w:rPr>
          <w:rFonts w:ascii="Arial" w:hAnsi="Arial" w:cs="Arial"/>
          <w:sz w:val="20"/>
          <w:szCs w:val="20"/>
        </w:rPr>
        <w:t>ing</w:t>
      </w:r>
      <w:r w:rsidRPr="00B01F9E">
        <w:rPr>
          <w:rFonts w:ascii="Arial" w:hAnsi="Arial" w:cs="Arial"/>
          <w:sz w:val="20"/>
          <w:szCs w:val="20"/>
        </w:rPr>
        <w:t xml:space="preserve"> multiple </w:t>
      </w:r>
      <w:r w:rsidR="00CE695B" w:rsidRPr="00B01F9E">
        <w:rPr>
          <w:rFonts w:ascii="Arial" w:hAnsi="Arial" w:cs="Arial"/>
          <w:sz w:val="20"/>
          <w:szCs w:val="20"/>
        </w:rPr>
        <w:t>dictionaries,</w:t>
      </w:r>
      <w:r w:rsidR="00D74EAF" w:rsidRPr="00B01F9E">
        <w:rPr>
          <w:rFonts w:ascii="Arial" w:hAnsi="Arial" w:cs="Arial"/>
          <w:sz w:val="20"/>
          <w:szCs w:val="20"/>
        </w:rPr>
        <w:t xml:space="preserve"> </w:t>
      </w:r>
      <w:r w:rsidR="00883706" w:rsidRPr="00B01F9E">
        <w:rPr>
          <w:rFonts w:ascii="Arial" w:hAnsi="Arial" w:cs="Arial"/>
          <w:sz w:val="20"/>
          <w:szCs w:val="20"/>
        </w:rPr>
        <w:t>but updates are necessary</w:t>
      </w:r>
      <w:r w:rsidRPr="00B01F9E">
        <w:rPr>
          <w:rFonts w:ascii="Arial" w:hAnsi="Arial" w:cs="Arial"/>
          <w:sz w:val="20"/>
          <w:szCs w:val="20"/>
        </w:rPr>
        <w:t xml:space="preserve"> to </w:t>
      </w:r>
      <w:r w:rsidR="00883706" w:rsidRPr="00B01F9E">
        <w:rPr>
          <w:rFonts w:ascii="Arial" w:hAnsi="Arial" w:cs="Arial"/>
          <w:sz w:val="20"/>
          <w:szCs w:val="20"/>
        </w:rPr>
        <w:t xml:space="preserve">align with LIDR elements. Epic Beaker </w:t>
      </w:r>
      <w:r w:rsidR="008B0BC0" w:rsidRPr="00B01F9E">
        <w:rPr>
          <w:rFonts w:ascii="Arial" w:hAnsi="Arial" w:cs="Arial"/>
          <w:sz w:val="20"/>
          <w:szCs w:val="20"/>
        </w:rPr>
        <w:t>accommodates</w:t>
      </w:r>
      <w:r w:rsidR="00796910" w:rsidRPr="00B01F9E">
        <w:rPr>
          <w:rFonts w:ascii="Arial" w:hAnsi="Arial" w:cs="Arial"/>
          <w:sz w:val="20"/>
          <w:szCs w:val="20"/>
        </w:rPr>
        <w:t xml:space="preserve"> many LIDR elements, but some new ones pose challenges </w:t>
      </w:r>
      <w:r w:rsidR="00A0172B" w:rsidRPr="00B01F9E">
        <w:rPr>
          <w:rFonts w:ascii="Arial" w:hAnsi="Arial" w:cs="Arial"/>
          <w:sz w:val="20"/>
          <w:szCs w:val="20"/>
        </w:rPr>
        <w:t xml:space="preserve">that </w:t>
      </w:r>
      <w:r w:rsidR="00125A2D" w:rsidRPr="00B01F9E">
        <w:rPr>
          <w:rFonts w:ascii="Arial" w:hAnsi="Arial" w:cs="Arial"/>
          <w:sz w:val="20"/>
          <w:szCs w:val="20"/>
        </w:rPr>
        <w:t>w</w:t>
      </w:r>
      <w:r w:rsidR="00381C8D" w:rsidRPr="00B01F9E">
        <w:rPr>
          <w:rFonts w:ascii="Arial" w:hAnsi="Arial" w:cs="Arial"/>
          <w:sz w:val="20"/>
          <w:szCs w:val="20"/>
        </w:rPr>
        <w:t>ere</w:t>
      </w:r>
      <w:r w:rsidR="00125A2D" w:rsidRPr="00B01F9E">
        <w:rPr>
          <w:rFonts w:ascii="Arial" w:hAnsi="Arial" w:cs="Arial"/>
          <w:sz w:val="20"/>
          <w:szCs w:val="20"/>
        </w:rPr>
        <w:t xml:space="preserve"> found to </w:t>
      </w:r>
      <w:r w:rsidR="00A0172B" w:rsidRPr="00B01F9E">
        <w:rPr>
          <w:rFonts w:ascii="Arial" w:hAnsi="Arial" w:cs="Arial"/>
          <w:sz w:val="20"/>
          <w:szCs w:val="20"/>
        </w:rPr>
        <w:t xml:space="preserve">require unscalable workarounds </w:t>
      </w:r>
      <w:r w:rsidR="00BE2B78" w:rsidRPr="00B01F9E">
        <w:rPr>
          <w:rFonts w:ascii="Arial" w:hAnsi="Arial" w:cs="Arial"/>
          <w:sz w:val="20"/>
          <w:szCs w:val="20"/>
        </w:rPr>
        <w:t>in</w:t>
      </w:r>
      <w:r w:rsidR="00A0172B" w:rsidRPr="00B01F9E">
        <w:rPr>
          <w:rFonts w:ascii="Arial" w:hAnsi="Arial" w:cs="Arial"/>
          <w:sz w:val="20"/>
          <w:szCs w:val="20"/>
        </w:rPr>
        <w:t xml:space="preserve"> the POC.</w:t>
      </w:r>
      <w:r w:rsidRPr="00B01F9E">
        <w:rPr>
          <w:rFonts w:ascii="Arial" w:hAnsi="Arial" w:cs="Arial"/>
          <w:sz w:val="20"/>
          <w:szCs w:val="20"/>
        </w:rPr>
        <w:t xml:space="preserve"> </w:t>
      </w:r>
    </w:p>
    <w:p w14:paraId="05141849" w14:textId="351DF85C" w:rsidR="00E65476" w:rsidRPr="00B01F9E" w:rsidRDefault="00B7604F" w:rsidP="5F3E67D5">
      <w:pPr>
        <w:spacing w:after="120"/>
        <w:rPr>
          <w:rFonts w:ascii="Arial" w:hAnsi="Arial" w:cs="Arial"/>
          <w:sz w:val="20"/>
          <w:szCs w:val="20"/>
        </w:rPr>
      </w:pPr>
      <w:r w:rsidRPr="00B01F9E">
        <w:rPr>
          <w:rFonts w:ascii="Arial" w:hAnsi="Arial" w:cs="Arial"/>
          <w:sz w:val="20"/>
          <w:szCs w:val="20"/>
        </w:rPr>
        <w:t>Inherent</w:t>
      </w:r>
      <w:r w:rsidR="00A95986" w:rsidRPr="00B01F9E">
        <w:rPr>
          <w:rFonts w:ascii="Arial" w:hAnsi="Arial" w:cs="Arial"/>
          <w:sz w:val="20"/>
          <w:szCs w:val="20"/>
        </w:rPr>
        <w:t xml:space="preserve"> gaps and limitations</w:t>
      </w:r>
      <w:r w:rsidRPr="00B01F9E">
        <w:rPr>
          <w:rFonts w:ascii="Arial" w:hAnsi="Arial" w:cs="Arial"/>
          <w:sz w:val="20"/>
          <w:szCs w:val="20"/>
        </w:rPr>
        <w:t xml:space="preserve"> (Section </w:t>
      </w:r>
      <w:r w:rsidR="006D6460" w:rsidRPr="00B01F9E">
        <w:rPr>
          <w:rFonts w:ascii="Arial" w:hAnsi="Arial" w:cs="Arial"/>
          <w:sz w:val="20"/>
          <w:szCs w:val="20"/>
        </w:rPr>
        <w:t>3</w:t>
      </w:r>
      <w:r w:rsidRPr="00B01F9E">
        <w:rPr>
          <w:rFonts w:ascii="Arial" w:hAnsi="Arial" w:cs="Arial"/>
          <w:sz w:val="20"/>
          <w:szCs w:val="20"/>
        </w:rPr>
        <w:t>.7) were identified through the proof of concept.</w:t>
      </w:r>
      <w:r w:rsidR="00A95986" w:rsidRPr="00B01F9E">
        <w:rPr>
          <w:rFonts w:ascii="Arial" w:hAnsi="Arial" w:cs="Arial"/>
          <w:sz w:val="20"/>
          <w:szCs w:val="20"/>
        </w:rPr>
        <w:t xml:space="preserve"> The details of the environment </w:t>
      </w:r>
      <w:r w:rsidR="007A7E18" w:rsidRPr="00B01F9E">
        <w:rPr>
          <w:rFonts w:ascii="Arial" w:hAnsi="Arial" w:cs="Arial"/>
          <w:sz w:val="20"/>
          <w:szCs w:val="20"/>
        </w:rPr>
        <w:t xml:space="preserve">development </w:t>
      </w:r>
      <w:r w:rsidR="00BE4A3C" w:rsidRPr="00B01F9E">
        <w:rPr>
          <w:rFonts w:ascii="Arial" w:hAnsi="Arial" w:cs="Arial"/>
          <w:sz w:val="20"/>
          <w:szCs w:val="20"/>
        </w:rPr>
        <w:t xml:space="preserve">and QA Program design </w:t>
      </w:r>
      <w:r w:rsidR="00CD60C8" w:rsidRPr="00B01F9E">
        <w:rPr>
          <w:rFonts w:ascii="Arial" w:hAnsi="Arial" w:cs="Arial"/>
          <w:sz w:val="20"/>
          <w:szCs w:val="20"/>
        </w:rPr>
        <w:t>evolv</w:t>
      </w:r>
      <w:r w:rsidRPr="00B01F9E">
        <w:rPr>
          <w:rFonts w:ascii="Arial" w:hAnsi="Arial" w:cs="Arial"/>
          <w:sz w:val="20"/>
          <w:szCs w:val="20"/>
        </w:rPr>
        <w:t>ed</w:t>
      </w:r>
      <w:r w:rsidR="00CD60C8" w:rsidRPr="00B01F9E">
        <w:rPr>
          <w:rFonts w:ascii="Arial" w:hAnsi="Arial" w:cs="Arial"/>
          <w:sz w:val="20"/>
          <w:szCs w:val="20"/>
        </w:rPr>
        <w:t xml:space="preserve"> as </w:t>
      </w:r>
      <w:r w:rsidR="005C553B" w:rsidRPr="00B01F9E">
        <w:rPr>
          <w:rFonts w:ascii="Arial" w:hAnsi="Arial" w:cs="Arial"/>
          <w:sz w:val="20"/>
          <w:szCs w:val="20"/>
        </w:rPr>
        <w:t xml:space="preserve">the QA process </w:t>
      </w:r>
      <w:r w:rsidRPr="00B01F9E">
        <w:rPr>
          <w:rFonts w:ascii="Arial" w:hAnsi="Arial" w:cs="Arial"/>
          <w:sz w:val="20"/>
          <w:szCs w:val="20"/>
        </w:rPr>
        <w:t>was</w:t>
      </w:r>
      <w:r w:rsidR="005C553B" w:rsidRPr="00B01F9E">
        <w:rPr>
          <w:rFonts w:ascii="Arial" w:hAnsi="Arial" w:cs="Arial"/>
          <w:sz w:val="20"/>
          <w:szCs w:val="20"/>
        </w:rPr>
        <w:t xml:space="preserve"> tested and refined. </w:t>
      </w:r>
      <w:r w:rsidR="007340E9" w:rsidRPr="00B01F9E">
        <w:rPr>
          <w:rFonts w:ascii="Arial" w:hAnsi="Arial" w:cs="Arial"/>
          <w:sz w:val="20"/>
          <w:szCs w:val="20"/>
        </w:rPr>
        <w:t>In the POC, c</w:t>
      </w:r>
      <w:r w:rsidR="00E65476" w:rsidRPr="00B01F9E">
        <w:rPr>
          <w:rFonts w:ascii="Arial" w:hAnsi="Arial" w:cs="Arial"/>
          <w:sz w:val="20"/>
          <w:szCs w:val="20"/>
        </w:rPr>
        <w:t xml:space="preserve">onsideration </w:t>
      </w:r>
      <w:r w:rsidR="00BE4A3C" w:rsidRPr="00B01F9E">
        <w:rPr>
          <w:rFonts w:ascii="Arial" w:hAnsi="Arial" w:cs="Arial"/>
          <w:sz w:val="20"/>
          <w:szCs w:val="20"/>
        </w:rPr>
        <w:t xml:space="preserve">was </w:t>
      </w:r>
      <w:r w:rsidR="00E65476" w:rsidRPr="00B01F9E">
        <w:rPr>
          <w:rFonts w:ascii="Arial" w:hAnsi="Arial" w:cs="Arial"/>
          <w:sz w:val="20"/>
          <w:szCs w:val="20"/>
        </w:rPr>
        <w:t xml:space="preserve">given to any test or test build changes that could potentially impact the </w:t>
      </w:r>
      <w:proofErr w:type="gramStart"/>
      <w:r w:rsidR="00E65476" w:rsidRPr="00B01F9E">
        <w:rPr>
          <w:rFonts w:ascii="Arial" w:hAnsi="Arial" w:cs="Arial"/>
          <w:sz w:val="20"/>
          <w:szCs w:val="20"/>
        </w:rPr>
        <w:t>Duke</w:t>
      </w:r>
      <w:proofErr w:type="gramEnd"/>
      <w:r w:rsidR="00E65476" w:rsidRPr="00B01F9E">
        <w:rPr>
          <w:rFonts w:ascii="Arial" w:hAnsi="Arial" w:cs="Arial"/>
          <w:sz w:val="20"/>
          <w:szCs w:val="20"/>
        </w:rPr>
        <w:t xml:space="preserve"> production environment for live patient and proficiency testing.</w:t>
      </w:r>
      <w:r w:rsidR="00EC3D1F" w:rsidRPr="00B01F9E">
        <w:rPr>
          <w:rFonts w:ascii="Arial" w:hAnsi="Arial" w:cs="Arial"/>
          <w:sz w:val="20"/>
          <w:szCs w:val="20"/>
        </w:rPr>
        <w:t xml:space="preserve"> </w:t>
      </w:r>
      <w:r w:rsidR="006203BC" w:rsidRPr="00B01F9E">
        <w:rPr>
          <w:rFonts w:ascii="Arial" w:hAnsi="Arial" w:cs="Arial"/>
          <w:sz w:val="20"/>
          <w:szCs w:val="20"/>
        </w:rPr>
        <w:t>I</w:t>
      </w:r>
      <w:r w:rsidR="00E65476" w:rsidRPr="00B01F9E">
        <w:rPr>
          <w:rFonts w:ascii="Arial" w:hAnsi="Arial" w:cs="Arial"/>
          <w:sz w:val="20"/>
          <w:szCs w:val="20"/>
        </w:rPr>
        <w:t xml:space="preserve">t </w:t>
      </w:r>
      <w:r w:rsidR="006203BC" w:rsidRPr="00B01F9E">
        <w:rPr>
          <w:rFonts w:ascii="Arial" w:hAnsi="Arial" w:cs="Arial"/>
          <w:sz w:val="20"/>
          <w:szCs w:val="20"/>
        </w:rPr>
        <w:t>was</w:t>
      </w:r>
      <w:r w:rsidR="00E65476" w:rsidRPr="00B01F9E">
        <w:rPr>
          <w:rFonts w:ascii="Arial" w:hAnsi="Arial" w:cs="Arial"/>
          <w:sz w:val="20"/>
          <w:szCs w:val="20"/>
        </w:rPr>
        <w:t xml:space="preserve"> recommended to maintain all changes within the testing environments where interfacing to an external receiving system c</w:t>
      </w:r>
      <w:r w:rsidR="00D37ACF" w:rsidRPr="00B01F9E">
        <w:rPr>
          <w:rFonts w:ascii="Arial" w:hAnsi="Arial" w:cs="Arial"/>
          <w:sz w:val="20"/>
          <w:szCs w:val="20"/>
        </w:rPr>
        <w:t>ould</w:t>
      </w:r>
      <w:r w:rsidR="00E65476" w:rsidRPr="00B01F9E">
        <w:rPr>
          <w:rFonts w:ascii="Arial" w:hAnsi="Arial" w:cs="Arial"/>
          <w:sz w:val="20"/>
          <w:szCs w:val="20"/>
        </w:rPr>
        <w:t xml:space="preserve"> occur without </w:t>
      </w:r>
      <w:r w:rsidR="00D62B76" w:rsidRPr="00B01F9E">
        <w:rPr>
          <w:rFonts w:ascii="Arial" w:hAnsi="Arial" w:cs="Arial"/>
          <w:sz w:val="20"/>
          <w:szCs w:val="20"/>
        </w:rPr>
        <w:t>initially</w:t>
      </w:r>
      <w:r w:rsidR="00E65476" w:rsidRPr="00B01F9E">
        <w:rPr>
          <w:rFonts w:ascii="Arial" w:hAnsi="Arial" w:cs="Arial"/>
          <w:sz w:val="20"/>
          <w:szCs w:val="20"/>
        </w:rPr>
        <w:t xml:space="preserve"> moving the</w:t>
      </w:r>
      <w:r w:rsidR="009D4A0E" w:rsidRPr="00B01F9E">
        <w:rPr>
          <w:rFonts w:ascii="Arial" w:hAnsi="Arial" w:cs="Arial"/>
          <w:sz w:val="20"/>
          <w:szCs w:val="20"/>
        </w:rPr>
        <w:t>se</w:t>
      </w:r>
      <w:r w:rsidR="00E65476" w:rsidRPr="00B01F9E">
        <w:rPr>
          <w:rFonts w:ascii="Arial" w:hAnsi="Arial" w:cs="Arial"/>
          <w:sz w:val="20"/>
          <w:szCs w:val="20"/>
        </w:rPr>
        <w:t xml:space="preserve"> changes to the production environment. Many records require</w:t>
      </w:r>
      <w:r w:rsidR="009D4A0E" w:rsidRPr="00B01F9E">
        <w:rPr>
          <w:rFonts w:ascii="Arial" w:hAnsi="Arial" w:cs="Arial"/>
          <w:sz w:val="20"/>
          <w:szCs w:val="20"/>
        </w:rPr>
        <w:t>d</w:t>
      </w:r>
      <w:r w:rsidR="00E65476" w:rsidRPr="00B01F9E">
        <w:rPr>
          <w:rFonts w:ascii="Arial" w:hAnsi="Arial" w:cs="Arial"/>
          <w:sz w:val="20"/>
          <w:szCs w:val="20"/>
        </w:rPr>
        <w:t xml:space="preserve"> edits.</w:t>
      </w:r>
      <w:r w:rsidR="00EC3D1F" w:rsidRPr="00B01F9E">
        <w:rPr>
          <w:rFonts w:ascii="Arial" w:hAnsi="Arial" w:cs="Arial"/>
          <w:sz w:val="20"/>
          <w:szCs w:val="20"/>
        </w:rPr>
        <w:t xml:space="preserve"> </w:t>
      </w:r>
      <w:r w:rsidR="00E65476" w:rsidRPr="00B01F9E">
        <w:rPr>
          <w:rFonts w:ascii="Arial" w:hAnsi="Arial" w:cs="Arial"/>
          <w:sz w:val="20"/>
          <w:szCs w:val="20"/>
        </w:rPr>
        <w:t xml:space="preserve">To prevent production impact, some </w:t>
      </w:r>
      <w:r w:rsidR="009673A4" w:rsidRPr="00B01F9E">
        <w:rPr>
          <w:rFonts w:ascii="Arial" w:hAnsi="Arial" w:cs="Arial"/>
          <w:sz w:val="20"/>
          <w:szCs w:val="20"/>
        </w:rPr>
        <w:t>elements of the test</w:t>
      </w:r>
      <w:r w:rsidR="00E65476" w:rsidRPr="00B01F9E">
        <w:rPr>
          <w:rFonts w:ascii="Arial" w:hAnsi="Arial" w:cs="Arial"/>
          <w:sz w:val="20"/>
          <w:szCs w:val="20"/>
        </w:rPr>
        <w:t xml:space="preserve"> build require</w:t>
      </w:r>
      <w:r w:rsidR="006203BC" w:rsidRPr="00B01F9E">
        <w:rPr>
          <w:rFonts w:ascii="Arial" w:hAnsi="Arial" w:cs="Arial"/>
          <w:sz w:val="20"/>
          <w:szCs w:val="20"/>
        </w:rPr>
        <w:t>d</w:t>
      </w:r>
      <w:r w:rsidR="00E65476" w:rsidRPr="00B01F9E">
        <w:rPr>
          <w:rFonts w:ascii="Arial" w:hAnsi="Arial" w:cs="Arial"/>
          <w:sz w:val="20"/>
          <w:szCs w:val="20"/>
        </w:rPr>
        <w:t xml:space="preserve"> a new record to contain the updated data elements. This </w:t>
      </w:r>
      <w:r w:rsidR="006203BC" w:rsidRPr="00B01F9E">
        <w:rPr>
          <w:rFonts w:ascii="Arial" w:hAnsi="Arial" w:cs="Arial"/>
          <w:sz w:val="20"/>
          <w:szCs w:val="20"/>
        </w:rPr>
        <w:t>was</w:t>
      </w:r>
      <w:r w:rsidR="00E65476" w:rsidRPr="00B01F9E">
        <w:rPr>
          <w:rFonts w:ascii="Arial" w:hAnsi="Arial" w:cs="Arial"/>
          <w:sz w:val="20"/>
          <w:szCs w:val="20"/>
        </w:rPr>
        <w:t xml:space="preserve"> accomplished by duplicating the</w:t>
      </w:r>
      <w:r w:rsidR="00242E8F" w:rsidRPr="00B01F9E">
        <w:rPr>
          <w:rFonts w:ascii="Arial" w:hAnsi="Arial" w:cs="Arial"/>
          <w:sz w:val="20"/>
          <w:szCs w:val="20"/>
        </w:rPr>
        <w:t xml:space="preserve"> original</w:t>
      </w:r>
      <w:r w:rsidR="00E65476" w:rsidRPr="00B01F9E">
        <w:rPr>
          <w:rFonts w:ascii="Arial" w:hAnsi="Arial" w:cs="Arial"/>
          <w:sz w:val="20"/>
          <w:szCs w:val="20"/>
        </w:rPr>
        <w:t xml:space="preserve"> record (a feature commonly available within Epic) and </w:t>
      </w:r>
      <w:r w:rsidR="00B71C5E" w:rsidRPr="00B01F9E">
        <w:rPr>
          <w:rFonts w:ascii="Arial" w:hAnsi="Arial" w:cs="Arial"/>
          <w:sz w:val="20"/>
          <w:szCs w:val="20"/>
        </w:rPr>
        <w:t xml:space="preserve">uniquely </w:t>
      </w:r>
      <w:r w:rsidR="00E65476" w:rsidRPr="00B01F9E">
        <w:rPr>
          <w:rFonts w:ascii="Arial" w:hAnsi="Arial" w:cs="Arial"/>
          <w:sz w:val="20"/>
          <w:szCs w:val="20"/>
        </w:rPr>
        <w:t xml:space="preserve">naming it to prevent utilization in other builds for the production environment. </w:t>
      </w:r>
    </w:p>
    <w:p w14:paraId="5FF8E4D2" w14:textId="26FC97E4" w:rsidR="00E051E4" w:rsidRPr="00B01F9E" w:rsidRDefault="00E051E4" w:rsidP="000976FC">
      <w:pPr>
        <w:pStyle w:val="Heading5"/>
        <w:spacing w:before="0"/>
        <w:rPr>
          <w:rFonts w:ascii="Arial" w:hAnsi="Arial" w:cs="Arial"/>
          <w:b/>
          <w:color w:val="009BBF"/>
          <w:sz w:val="20"/>
          <w:szCs w:val="20"/>
        </w:rPr>
      </w:pPr>
      <w:bookmarkStart w:id="10" w:name="Table_2"/>
      <w:r w:rsidRPr="00B01F9E">
        <w:rPr>
          <w:rFonts w:ascii="Arial" w:hAnsi="Arial" w:cs="Arial"/>
          <w:b/>
          <w:color w:val="009BBF"/>
          <w:sz w:val="20"/>
          <w:szCs w:val="20"/>
        </w:rPr>
        <w:t xml:space="preserve">Table </w:t>
      </w:r>
      <w:r w:rsidR="00D478FA" w:rsidRPr="00B01F9E">
        <w:rPr>
          <w:rFonts w:ascii="Arial" w:hAnsi="Arial" w:cs="Arial"/>
          <w:b/>
          <w:color w:val="009BBF"/>
          <w:sz w:val="20"/>
          <w:szCs w:val="20"/>
        </w:rPr>
        <w:t xml:space="preserve">2: </w:t>
      </w:r>
      <w:r w:rsidRPr="00B01F9E">
        <w:rPr>
          <w:rFonts w:ascii="Arial" w:hAnsi="Arial" w:cs="Arial"/>
          <w:b/>
          <w:color w:val="009BBF"/>
          <w:sz w:val="20"/>
          <w:szCs w:val="20"/>
        </w:rPr>
        <w:t>Subset of Tests for the POC</w:t>
      </w:r>
    </w:p>
    <w:tbl>
      <w:tblPr>
        <w:tblStyle w:val="TableGrid"/>
        <w:tblW w:w="9360" w:type="dxa"/>
        <w:tblInd w:w="-5" w:type="dxa"/>
        <w:tblLook w:val="04A0" w:firstRow="1" w:lastRow="0" w:firstColumn="1" w:lastColumn="0" w:noHBand="0" w:noVBand="1"/>
      </w:tblPr>
      <w:tblGrid>
        <w:gridCol w:w="1561"/>
        <w:gridCol w:w="2033"/>
        <w:gridCol w:w="1295"/>
        <w:gridCol w:w="1609"/>
        <w:gridCol w:w="1578"/>
        <w:gridCol w:w="1284"/>
      </w:tblGrid>
      <w:tr w:rsidR="005F589A" w:rsidRPr="00B01F9E" w14:paraId="43B9B3AA" w14:textId="77777777" w:rsidTr="00BB5CA6">
        <w:trPr>
          <w:trHeight w:val="287"/>
        </w:trPr>
        <w:tc>
          <w:tcPr>
            <w:tcW w:w="1291" w:type="dxa"/>
          </w:tcPr>
          <w:bookmarkEnd w:id="10"/>
          <w:p w14:paraId="4EE1403A"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Test Ordered</w:t>
            </w:r>
          </w:p>
        </w:tc>
        <w:tc>
          <w:tcPr>
            <w:tcW w:w="2158" w:type="dxa"/>
          </w:tcPr>
          <w:p w14:paraId="3269C48B"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Test Performed</w:t>
            </w:r>
          </w:p>
        </w:tc>
        <w:tc>
          <w:tcPr>
            <w:tcW w:w="1301" w:type="dxa"/>
          </w:tcPr>
          <w:p w14:paraId="1EA5C950"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 xml:space="preserve">Test Scale </w:t>
            </w:r>
          </w:p>
        </w:tc>
        <w:tc>
          <w:tcPr>
            <w:tcW w:w="1616" w:type="dxa"/>
            <w:tcBorders>
              <w:bottom w:val="single" w:sz="4" w:space="0" w:color="auto"/>
            </w:tcBorders>
          </w:tcPr>
          <w:p w14:paraId="5928BA1C"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Test Ordered</w:t>
            </w:r>
          </w:p>
        </w:tc>
        <w:tc>
          <w:tcPr>
            <w:tcW w:w="1710" w:type="dxa"/>
          </w:tcPr>
          <w:p w14:paraId="0A7898EB"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Test Performed</w:t>
            </w:r>
          </w:p>
        </w:tc>
        <w:tc>
          <w:tcPr>
            <w:tcW w:w="1284" w:type="dxa"/>
          </w:tcPr>
          <w:p w14:paraId="4F8F338E"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Test Scale</w:t>
            </w:r>
          </w:p>
        </w:tc>
      </w:tr>
      <w:tr w:rsidR="005F589A" w:rsidRPr="00B01F9E" w14:paraId="60725408" w14:textId="77777777" w:rsidTr="00BB5CA6">
        <w:trPr>
          <w:trHeight w:val="1110"/>
        </w:trPr>
        <w:tc>
          <w:tcPr>
            <w:tcW w:w="1291" w:type="dxa"/>
            <w:tcBorders>
              <w:bottom w:val="nil"/>
            </w:tcBorders>
          </w:tcPr>
          <w:p w14:paraId="462E5BDF"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Basic Metabolic Panel</w:t>
            </w:r>
          </w:p>
        </w:tc>
        <w:tc>
          <w:tcPr>
            <w:tcW w:w="2158" w:type="dxa"/>
          </w:tcPr>
          <w:p w14:paraId="7B874F0D" w14:textId="77777777" w:rsidR="005F589A" w:rsidRPr="00B01F9E" w:rsidRDefault="005F589A" w:rsidP="00BB5CA6">
            <w:pPr>
              <w:rPr>
                <w:rFonts w:ascii="Arial" w:hAnsi="Arial" w:cs="Arial"/>
                <w:sz w:val="20"/>
                <w:szCs w:val="20"/>
              </w:rPr>
            </w:pPr>
            <w:r w:rsidRPr="00B01F9E">
              <w:rPr>
                <w:rFonts w:ascii="Arial" w:hAnsi="Arial" w:cs="Arial"/>
                <w:sz w:val="20"/>
                <w:szCs w:val="20"/>
              </w:rPr>
              <w:t>Glucose</w:t>
            </w:r>
          </w:p>
        </w:tc>
        <w:tc>
          <w:tcPr>
            <w:tcW w:w="1301" w:type="dxa"/>
            <w:tcBorders>
              <w:right w:val="single" w:sz="4" w:space="0" w:color="auto"/>
            </w:tcBorders>
          </w:tcPr>
          <w:p w14:paraId="10F0AC26"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single" w:sz="4" w:space="0" w:color="auto"/>
              <w:left w:val="single" w:sz="4" w:space="0" w:color="auto"/>
              <w:bottom w:val="nil"/>
            </w:tcBorders>
          </w:tcPr>
          <w:p w14:paraId="7C08DC2F" w14:textId="7E44EAB8" w:rsidR="005F589A" w:rsidRPr="00B01F9E" w:rsidRDefault="005F589A" w:rsidP="00BB5CA6">
            <w:pPr>
              <w:rPr>
                <w:rFonts w:ascii="Arial" w:hAnsi="Arial" w:cs="Arial"/>
                <w:b/>
                <w:bCs/>
                <w:sz w:val="20"/>
                <w:szCs w:val="20"/>
              </w:rPr>
            </w:pPr>
            <w:r w:rsidRPr="00B01F9E">
              <w:rPr>
                <w:rFonts w:ascii="Arial" w:hAnsi="Arial" w:cs="Arial"/>
                <w:b/>
                <w:bCs/>
                <w:sz w:val="20"/>
                <w:szCs w:val="20"/>
              </w:rPr>
              <w:t xml:space="preserve">Complete Urinalysis with Microscopic </w:t>
            </w:r>
            <w:r w:rsidR="00E45A6A" w:rsidRPr="00B01F9E">
              <w:rPr>
                <w:rFonts w:ascii="Arial" w:hAnsi="Arial" w:cs="Arial"/>
                <w:b/>
                <w:bCs/>
                <w:sz w:val="20"/>
                <w:szCs w:val="20"/>
              </w:rPr>
              <w:t>a</w:t>
            </w:r>
            <w:r w:rsidRPr="00B01F9E">
              <w:rPr>
                <w:rFonts w:ascii="Arial" w:hAnsi="Arial" w:cs="Arial"/>
                <w:b/>
                <w:bCs/>
                <w:sz w:val="20"/>
                <w:szCs w:val="20"/>
              </w:rPr>
              <w:t>nalysis</w:t>
            </w:r>
          </w:p>
        </w:tc>
        <w:tc>
          <w:tcPr>
            <w:tcW w:w="1710" w:type="dxa"/>
          </w:tcPr>
          <w:p w14:paraId="7AF3E19E" w14:textId="77777777" w:rsidR="005F589A" w:rsidRPr="00B01F9E" w:rsidRDefault="005F589A" w:rsidP="00BB5CA6">
            <w:pPr>
              <w:rPr>
                <w:rFonts w:ascii="Arial" w:hAnsi="Arial" w:cs="Arial"/>
                <w:sz w:val="20"/>
                <w:szCs w:val="20"/>
              </w:rPr>
            </w:pPr>
            <w:r w:rsidRPr="00B01F9E">
              <w:rPr>
                <w:rFonts w:ascii="Arial" w:hAnsi="Arial" w:cs="Arial"/>
                <w:sz w:val="20"/>
                <w:szCs w:val="20"/>
              </w:rPr>
              <w:t>Color</w:t>
            </w:r>
          </w:p>
        </w:tc>
        <w:tc>
          <w:tcPr>
            <w:tcW w:w="1284" w:type="dxa"/>
          </w:tcPr>
          <w:p w14:paraId="792375FD" w14:textId="77777777" w:rsidR="005F589A" w:rsidRPr="00B01F9E" w:rsidRDefault="005F589A" w:rsidP="00BB5CA6">
            <w:pPr>
              <w:rPr>
                <w:rFonts w:ascii="Arial" w:hAnsi="Arial" w:cs="Arial"/>
                <w:sz w:val="20"/>
                <w:szCs w:val="20"/>
              </w:rPr>
            </w:pPr>
            <w:r w:rsidRPr="00B01F9E">
              <w:rPr>
                <w:rFonts w:ascii="Arial" w:hAnsi="Arial" w:cs="Arial"/>
                <w:sz w:val="20"/>
                <w:szCs w:val="20"/>
              </w:rPr>
              <w:t>Nominal</w:t>
            </w:r>
          </w:p>
        </w:tc>
      </w:tr>
      <w:tr w:rsidR="005F589A" w:rsidRPr="00B01F9E" w14:paraId="72199D9F" w14:textId="77777777" w:rsidTr="00BB5CA6">
        <w:trPr>
          <w:trHeight w:val="224"/>
        </w:trPr>
        <w:tc>
          <w:tcPr>
            <w:tcW w:w="1291" w:type="dxa"/>
            <w:tcBorders>
              <w:top w:val="nil"/>
              <w:left w:val="single" w:sz="4" w:space="0" w:color="auto"/>
              <w:bottom w:val="nil"/>
              <w:right w:val="single" w:sz="4" w:space="0" w:color="auto"/>
            </w:tcBorders>
          </w:tcPr>
          <w:p w14:paraId="1D0EB11E"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57AD8930" w14:textId="77777777" w:rsidR="005F589A" w:rsidRPr="00B01F9E" w:rsidRDefault="005F589A" w:rsidP="00BB5CA6">
            <w:pPr>
              <w:rPr>
                <w:rFonts w:ascii="Arial" w:hAnsi="Arial" w:cs="Arial"/>
                <w:sz w:val="20"/>
                <w:szCs w:val="20"/>
              </w:rPr>
            </w:pPr>
            <w:r w:rsidRPr="00B01F9E">
              <w:rPr>
                <w:rFonts w:ascii="Arial" w:hAnsi="Arial" w:cs="Arial"/>
                <w:sz w:val="20"/>
                <w:szCs w:val="20"/>
              </w:rPr>
              <w:t>Sodium</w:t>
            </w:r>
          </w:p>
        </w:tc>
        <w:tc>
          <w:tcPr>
            <w:tcW w:w="1301" w:type="dxa"/>
            <w:tcBorders>
              <w:right w:val="single" w:sz="4" w:space="0" w:color="auto"/>
            </w:tcBorders>
          </w:tcPr>
          <w:p w14:paraId="3774E69B"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1ABF9EEE" w14:textId="77777777" w:rsidR="005F589A" w:rsidRPr="00B01F9E" w:rsidRDefault="005F589A" w:rsidP="00BB5CA6">
            <w:pPr>
              <w:rPr>
                <w:rFonts w:ascii="Arial" w:hAnsi="Arial" w:cs="Arial"/>
                <w:sz w:val="20"/>
                <w:szCs w:val="20"/>
              </w:rPr>
            </w:pPr>
          </w:p>
        </w:tc>
        <w:tc>
          <w:tcPr>
            <w:tcW w:w="1710" w:type="dxa"/>
          </w:tcPr>
          <w:p w14:paraId="4440C30A" w14:textId="77777777" w:rsidR="005F589A" w:rsidRPr="00B01F9E" w:rsidRDefault="005F589A" w:rsidP="00BB5CA6">
            <w:pPr>
              <w:rPr>
                <w:rFonts w:ascii="Arial" w:hAnsi="Arial" w:cs="Arial"/>
                <w:sz w:val="20"/>
                <w:szCs w:val="20"/>
              </w:rPr>
            </w:pPr>
            <w:r w:rsidRPr="00B01F9E">
              <w:rPr>
                <w:rFonts w:ascii="Arial" w:hAnsi="Arial" w:cs="Arial"/>
                <w:sz w:val="20"/>
                <w:szCs w:val="20"/>
              </w:rPr>
              <w:t>Clarity</w:t>
            </w:r>
          </w:p>
        </w:tc>
        <w:tc>
          <w:tcPr>
            <w:tcW w:w="1284" w:type="dxa"/>
          </w:tcPr>
          <w:p w14:paraId="0387216A" w14:textId="77777777" w:rsidR="005F589A" w:rsidRPr="00B01F9E" w:rsidRDefault="005F589A" w:rsidP="00BB5CA6">
            <w:pPr>
              <w:rPr>
                <w:rFonts w:ascii="Arial" w:hAnsi="Arial" w:cs="Arial"/>
                <w:sz w:val="20"/>
                <w:szCs w:val="20"/>
              </w:rPr>
            </w:pPr>
            <w:r w:rsidRPr="00B01F9E">
              <w:rPr>
                <w:rFonts w:ascii="Arial" w:hAnsi="Arial" w:cs="Arial"/>
                <w:sz w:val="20"/>
                <w:szCs w:val="20"/>
              </w:rPr>
              <w:t>Nominal</w:t>
            </w:r>
          </w:p>
        </w:tc>
      </w:tr>
      <w:tr w:rsidR="005F589A" w:rsidRPr="00B01F9E" w14:paraId="1716EB29" w14:textId="77777777" w:rsidTr="00BB5CA6">
        <w:trPr>
          <w:trHeight w:val="211"/>
        </w:trPr>
        <w:tc>
          <w:tcPr>
            <w:tcW w:w="1291" w:type="dxa"/>
            <w:tcBorders>
              <w:top w:val="nil"/>
              <w:left w:val="single" w:sz="4" w:space="0" w:color="auto"/>
              <w:bottom w:val="nil"/>
              <w:right w:val="single" w:sz="4" w:space="0" w:color="auto"/>
            </w:tcBorders>
          </w:tcPr>
          <w:p w14:paraId="5BC0CCDA"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0E7FBD36" w14:textId="77777777" w:rsidR="005F589A" w:rsidRPr="00B01F9E" w:rsidRDefault="005F589A" w:rsidP="00BB5CA6">
            <w:pPr>
              <w:rPr>
                <w:rFonts w:ascii="Arial" w:hAnsi="Arial" w:cs="Arial"/>
                <w:sz w:val="20"/>
                <w:szCs w:val="20"/>
              </w:rPr>
            </w:pPr>
            <w:r w:rsidRPr="00B01F9E">
              <w:rPr>
                <w:rFonts w:ascii="Arial" w:hAnsi="Arial" w:cs="Arial"/>
                <w:sz w:val="20"/>
                <w:szCs w:val="20"/>
              </w:rPr>
              <w:t>Potassium</w:t>
            </w:r>
          </w:p>
        </w:tc>
        <w:tc>
          <w:tcPr>
            <w:tcW w:w="1301" w:type="dxa"/>
            <w:tcBorders>
              <w:right w:val="single" w:sz="4" w:space="0" w:color="auto"/>
            </w:tcBorders>
          </w:tcPr>
          <w:p w14:paraId="558A7750"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3C1028D5" w14:textId="77777777" w:rsidR="005F589A" w:rsidRPr="00B01F9E" w:rsidRDefault="005F589A" w:rsidP="00BB5CA6">
            <w:pPr>
              <w:rPr>
                <w:rFonts w:ascii="Arial" w:hAnsi="Arial" w:cs="Arial"/>
                <w:sz w:val="20"/>
                <w:szCs w:val="20"/>
              </w:rPr>
            </w:pPr>
          </w:p>
        </w:tc>
        <w:tc>
          <w:tcPr>
            <w:tcW w:w="1710" w:type="dxa"/>
          </w:tcPr>
          <w:p w14:paraId="52FB3504" w14:textId="77777777" w:rsidR="005F589A" w:rsidRPr="00B01F9E" w:rsidRDefault="005F589A" w:rsidP="00BB5CA6">
            <w:pPr>
              <w:rPr>
                <w:rFonts w:ascii="Arial" w:hAnsi="Arial" w:cs="Arial"/>
                <w:sz w:val="20"/>
                <w:szCs w:val="20"/>
              </w:rPr>
            </w:pPr>
            <w:r w:rsidRPr="00B01F9E">
              <w:rPr>
                <w:rFonts w:ascii="Arial" w:hAnsi="Arial" w:cs="Arial"/>
                <w:sz w:val="20"/>
                <w:szCs w:val="20"/>
              </w:rPr>
              <w:t>pH</w:t>
            </w:r>
          </w:p>
        </w:tc>
        <w:tc>
          <w:tcPr>
            <w:tcW w:w="1284" w:type="dxa"/>
          </w:tcPr>
          <w:p w14:paraId="0A2DB8CB" w14:textId="77777777" w:rsidR="005F589A" w:rsidRPr="00B01F9E" w:rsidRDefault="005F589A" w:rsidP="00BB5CA6">
            <w:pPr>
              <w:rPr>
                <w:rFonts w:ascii="Arial" w:hAnsi="Arial" w:cs="Arial"/>
                <w:sz w:val="20"/>
                <w:szCs w:val="20"/>
              </w:rPr>
            </w:pPr>
            <w:r w:rsidRPr="00B01F9E">
              <w:rPr>
                <w:rFonts w:ascii="Arial" w:hAnsi="Arial" w:cs="Arial"/>
                <w:sz w:val="20"/>
                <w:szCs w:val="20"/>
              </w:rPr>
              <w:t>Semi Quant</w:t>
            </w:r>
          </w:p>
        </w:tc>
      </w:tr>
      <w:tr w:rsidR="005F589A" w:rsidRPr="00B01F9E" w14:paraId="5DC14B76" w14:textId="77777777" w:rsidTr="00BB5CA6">
        <w:trPr>
          <w:trHeight w:val="224"/>
        </w:trPr>
        <w:tc>
          <w:tcPr>
            <w:tcW w:w="1291" w:type="dxa"/>
            <w:tcBorders>
              <w:top w:val="nil"/>
              <w:left w:val="single" w:sz="4" w:space="0" w:color="auto"/>
              <w:bottom w:val="nil"/>
              <w:right w:val="single" w:sz="4" w:space="0" w:color="auto"/>
            </w:tcBorders>
          </w:tcPr>
          <w:p w14:paraId="65484C33"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21A0253C" w14:textId="77777777" w:rsidR="005F589A" w:rsidRPr="00B01F9E" w:rsidRDefault="005F589A" w:rsidP="00BB5CA6">
            <w:pPr>
              <w:rPr>
                <w:rFonts w:ascii="Arial" w:hAnsi="Arial" w:cs="Arial"/>
                <w:sz w:val="20"/>
                <w:szCs w:val="20"/>
              </w:rPr>
            </w:pPr>
            <w:r w:rsidRPr="00B01F9E">
              <w:rPr>
                <w:rFonts w:ascii="Arial" w:hAnsi="Arial" w:cs="Arial"/>
                <w:sz w:val="20"/>
                <w:szCs w:val="20"/>
              </w:rPr>
              <w:t>Chloride</w:t>
            </w:r>
          </w:p>
        </w:tc>
        <w:tc>
          <w:tcPr>
            <w:tcW w:w="1301" w:type="dxa"/>
            <w:tcBorders>
              <w:right w:val="single" w:sz="4" w:space="0" w:color="auto"/>
            </w:tcBorders>
          </w:tcPr>
          <w:p w14:paraId="17C12712"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6804A0D3" w14:textId="77777777" w:rsidR="005F589A" w:rsidRPr="00B01F9E" w:rsidRDefault="005F589A" w:rsidP="00BB5CA6">
            <w:pPr>
              <w:rPr>
                <w:rFonts w:ascii="Arial" w:hAnsi="Arial" w:cs="Arial"/>
                <w:sz w:val="20"/>
                <w:szCs w:val="20"/>
              </w:rPr>
            </w:pPr>
          </w:p>
        </w:tc>
        <w:tc>
          <w:tcPr>
            <w:tcW w:w="1710" w:type="dxa"/>
          </w:tcPr>
          <w:p w14:paraId="149A9CD7" w14:textId="77777777" w:rsidR="005F589A" w:rsidRPr="00B01F9E" w:rsidRDefault="005F589A" w:rsidP="00BB5CA6">
            <w:pPr>
              <w:rPr>
                <w:rFonts w:ascii="Arial" w:hAnsi="Arial" w:cs="Arial"/>
                <w:sz w:val="20"/>
                <w:szCs w:val="20"/>
              </w:rPr>
            </w:pPr>
            <w:r w:rsidRPr="00B01F9E">
              <w:rPr>
                <w:rFonts w:ascii="Arial" w:hAnsi="Arial" w:cs="Arial"/>
                <w:sz w:val="20"/>
                <w:szCs w:val="20"/>
              </w:rPr>
              <w:t>Specific Gravity</w:t>
            </w:r>
          </w:p>
        </w:tc>
        <w:tc>
          <w:tcPr>
            <w:tcW w:w="1284" w:type="dxa"/>
          </w:tcPr>
          <w:p w14:paraId="0A7FA3F3"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r>
      <w:tr w:rsidR="005F589A" w:rsidRPr="00B01F9E" w14:paraId="254E6612" w14:textId="77777777" w:rsidTr="00BB5CA6">
        <w:trPr>
          <w:trHeight w:val="224"/>
        </w:trPr>
        <w:tc>
          <w:tcPr>
            <w:tcW w:w="1291" w:type="dxa"/>
            <w:tcBorders>
              <w:top w:val="nil"/>
              <w:left w:val="single" w:sz="4" w:space="0" w:color="auto"/>
              <w:bottom w:val="nil"/>
              <w:right w:val="single" w:sz="4" w:space="0" w:color="auto"/>
            </w:tcBorders>
          </w:tcPr>
          <w:p w14:paraId="5B78D1D2"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45164AF7" w14:textId="77777777" w:rsidR="005F589A" w:rsidRPr="00B01F9E" w:rsidRDefault="005F589A" w:rsidP="00BB5CA6">
            <w:pPr>
              <w:rPr>
                <w:rFonts w:ascii="Arial" w:hAnsi="Arial" w:cs="Arial"/>
                <w:sz w:val="20"/>
                <w:szCs w:val="20"/>
              </w:rPr>
            </w:pPr>
            <w:r w:rsidRPr="00B01F9E">
              <w:rPr>
                <w:rFonts w:ascii="Arial" w:hAnsi="Arial" w:cs="Arial"/>
                <w:sz w:val="20"/>
                <w:szCs w:val="20"/>
              </w:rPr>
              <w:t>CO2</w:t>
            </w:r>
          </w:p>
        </w:tc>
        <w:tc>
          <w:tcPr>
            <w:tcW w:w="1301" w:type="dxa"/>
            <w:tcBorders>
              <w:right w:val="single" w:sz="4" w:space="0" w:color="auto"/>
            </w:tcBorders>
          </w:tcPr>
          <w:p w14:paraId="0346D23B"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4EFBD582" w14:textId="77777777" w:rsidR="005F589A" w:rsidRPr="00B01F9E" w:rsidRDefault="005F589A" w:rsidP="00BB5CA6">
            <w:pPr>
              <w:rPr>
                <w:rFonts w:ascii="Arial" w:hAnsi="Arial" w:cs="Arial"/>
                <w:sz w:val="20"/>
                <w:szCs w:val="20"/>
              </w:rPr>
            </w:pPr>
          </w:p>
        </w:tc>
        <w:tc>
          <w:tcPr>
            <w:tcW w:w="1710" w:type="dxa"/>
          </w:tcPr>
          <w:p w14:paraId="2E3ABF49" w14:textId="77777777" w:rsidR="005F589A" w:rsidRPr="00B01F9E" w:rsidRDefault="005F589A" w:rsidP="00BB5CA6">
            <w:pPr>
              <w:rPr>
                <w:rFonts w:ascii="Arial" w:hAnsi="Arial" w:cs="Arial"/>
                <w:sz w:val="20"/>
                <w:szCs w:val="20"/>
              </w:rPr>
            </w:pPr>
            <w:r w:rsidRPr="00B01F9E">
              <w:rPr>
                <w:rFonts w:ascii="Arial" w:hAnsi="Arial" w:cs="Arial"/>
                <w:sz w:val="20"/>
                <w:szCs w:val="20"/>
              </w:rPr>
              <w:t>Glucose</w:t>
            </w:r>
          </w:p>
        </w:tc>
        <w:tc>
          <w:tcPr>
            <w:tcW w:w="1284" w:type="dxa"/>
          </w:tcPr>
          <w:p w14:paraId="1EC922F2"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3766E521" w14:textId="77777777" w:rsidTr="00BB5CA6">
        <w:trPr>
          <w:trHeight w:val="211"/>
        </w:trPr>
        <w:tc>
          <w:tcPr>
            <w:tcW w:w="1291" w:type="dxa"/>
            <w:tcBorders>
              <w:top w:val="nil"/>
              <w:left w:val="single" w:sz="4" w:space="0" w:color="auto"/>
              <w:bottom w:val="nil"/>
              <w:right w:val="single" w:sz="4" w:space="0" w:color="auto"/>
            </w:tcBorders>
          </w:tcPr>
          <w:p w14:paraId="4BAE974E"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03EF7237" w14:textId="77777777" w:rsidR="005F589A" w:rsidRPr="00B01F9E" w:rsidRDefault="005F589A" w:rsidP="00BB5CA6">
            <w:pPr>
              <w:rPr>
                <w:rFonts w:ascii="Arial" w:hAnsi="Arial" w:cs="Arial"/>
                <w:sz w:val="20"/>
                <w:szCs w:val="20"/>
              </w:rPr>
            </w:pPr>
            <w:r w:rsidRPr="00B01F9E">
              <w:rPr>
                <w:rFonts w:ascii="Arial" w:hAnsi="Arial" w:cs="Arial"/>
                <w:sz w:val="20"/>
                <w:szCs w:val="20"/>
              </w:rPr>
              <w:t>Calcium</w:t>
            </w:r>
          </w:p>
        </w:tc>
        <w:tc>
          <w:tcPr>
            <w:tcW w:w="1301" w:type="dxa"/>
            <w:tcBorders>
              <w:right w:val="single" w:sz="4" w:space="0" w:color="auto"/>
            </w:tcBorders>
          </w:tcPr>
          <w:p w14:paraId="13FD6A85"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7BEC2F2E" w14:textId="77777777" w:rsidR="005F589A" w:rsidRPr="00B01F9E" w:rsidRDefault="005F589A" w:rsidP="00BB5CA6">
            <w:pPr>
              <w:rPr>
                <w:rFonts w:ascii="Arial" w:hAnsi="Arial" w:cs="Arial"/>
                <w:sz w:val="20"/>
                <w:szCs w:val="20"/>
              </w:rPr>
            </w:pPr>
          </w:p>
        </w:tc>
        <w:tc>
          <w:tcPr>
            <w:tcW w:w="1710" w:type="dxa"/>
          </w:tcPr>
          <w:p w14:paraId="2EDAE0C3" w14:textId="77777777" w:rsidR="005F589A" w:rsidRPr="00B01F9E" w:rsidRDefault="005F589A" w:rsidP="00BB5CA6">
            <w:pPr>
              <w:rPr>
                <w:rFonts w:ascii="Arial" w:hAnsi="Arial" w:cs="Arial"/>
                <w:sz w:val="20"/>
                <w:szCs w:val="20"/>
              </w:rPr>
            </w:pPr>
            <w:r w:rsidRPr="00B01F9E">
              <w:rPr>
                <w:rFonts w:ascii="Arial" w:hAnsi="Arial" w:cs="Arial"/>
                <w:sz w:val="20"/>
                <w:szCs w:val="20"/>
              </w:rPr>
              <w:t>Protein</w:t>
            </w:r>
          </w:p>
        </w:tc>
        <w:tc>
          <w:tcPr>
            <w:tcW w:w="1284" w:type="dxa"/>
          </w:tcPr>
          <w:p w14:paraId="1DED65CB"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23D7FD65" w14:textId="77777777" w:rsidTr="00BB5CA6">
        <w:trPr>
          <w:trHeight w:val="224"/>
        </w:trPr>
        <w:tc>
          <w:tcPr>
            <w:tcW w:w="1291" w:type="dxa"/>
            <w:tcBorders>
              <w:top w:val="nil"/>
              <w:left w:val="single" w:sz="4" w:space="0" w:color="auto"/>
              <w:bottom w:val="nil"/>
              <w:right w:val="single" w:sz="4" w:space="0" w:color="auto"/>
            </w:tcBorders>
          </w:tcPr>
          <w:p w14:paraId="0170E84D"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638C861F" w14:textId="77777777" w:rsidR="005F589A" w:rsidRPr="00B01F9E" w:rsidRDefault="005F589A" w:rsidP="00BB5CA6">
            <w:pPr>
              <w:rPr>
                <w:rFonts w:ascii="Arial" w:hAnsi="Arial" w:cs="Arial"/>
                <w:sz w:val="20"/>
                <w:szCs w:val="20"/>
              </w:rPr>
            </w:pPr>
            <w:r w:rsidRPr="00B01F9E">
              <w:rPr>
                <w:rFonts w:ascii="Arial" w:hAnsi="Arial" w:cs="Arial"/>
                <w:sz w:val="20"/>
                <w:szCs w:val="20"/>
              </w:rPr>
              <w:t>Creatinine</w:t>
            </w:r>
          </w:p>
        </w:tc>
        <w:tc>
          <w:tcPr>
            <w:tcW w:w="1301" w:type="dxa"/>
            <w:tcBorders>
              <w:right w:val="single" w:sz="4" w:space="0" w:color="auto"/>
            </w:tcBorders>
          </w:tcPr>
          <w:p w14:paraId="21023D4A"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6DF5FFA5" w14:textId="77777777" w:rsidR="005F589A" w:rsidRPr="00B01F9E" w:rsidRDefault="005F589A" w:rsidP="00BB5CA6">
            <w:pPr>
              <w:rPr>
                <w:rFonts w:ascii="Arial" w:hAnsi="Arial" w:cs="Arial"/>
                <w:sz w:val="20"/>
                <w:szCs w:val="20"/>
              </w:rPr>
            </w:pPr>
          </w:p>
        </w:tc>
        <w:tc>
          <w:tcPr>
            <w:tcW w:w="1710" w:type="dxa"/>
          </w:tcPr>
          <w:p w14:paraId="115D4CE3" w14:textId="77777777" w:rsidR="005F589A" w:rsidRPr="00B01F9E" w:rsidRDefault="005F589A" w:rsidP="00BB5CA6">
            <w:pPr>
              <w:rPr>
                <w:rFonts w:ascii="Arial" w:hAnsi="Arial" w:cs="Arial"/>
                <w:sz w:val="20"/>
                <w:szCs w:val="20"/>
              </w:rPr>
            </w:pPr>
            <w:r w:rsidRPr="00B01F9E">
              <w:rPr>
                <w:rFonts w:ascii="Arial" w:hAnsi="Arial" w:cs="Arial"/>
                <w:sz w:val="20"/>
                <w:szCs w:val="20"/>
              </w:rPr>
              <w:t>Bilirubin</w:t>
            </w:r>
          </w:p>
        </w:tc>
        <w:tc>
          <w:tcPr>
            <w:tcW w:w="1284" w:type="dxa"/>
          </w:tcPr>
          <w:p w14:paraId="435B6254"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000F9075" w14:textId="77777777" w:rsidTr="00BB5CA6">
        <w:trPr>
          <w:trHeight w:val="224"/>
        </w:trPr>
        <w:tc>
          <w:tcPr>
            <w:tcW w:w="1291" w:type="dxa"/>
            <w:tcBorders>
              <w:top w:val="nil"/>
              <w:left w:val="single" w:sz="4" w:space="0" w:color="auto"/>
              <w:bottom w:val="nil"/>
              <w:right w:val="single" w:sz="4" w:space="0" w:color="auto"/>
            </w:tcBorders>
          </w:tcPr>
          <w:p w14:paraId="3020CD1B"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75694E3C" w14:textId="77777777" w:rsidR="005F589A" w:rsidRPr="00B01F9E" w:rsidRDefault="005F589A" w:rsidP="00BB5CA6">
            <w:pPr>
              <w:rPr>
                <w:rFonts w:ascii="Arial" w:hAnsi="Arial" w:cs="Arial"/>
                <w:sz w:val="20"/>
                <w:szCs w:val="20"/>
              </w:rPr>
            </w:pPr>
            <w:r w:rsidRPr="00B01F9E">
              <w:rPr>
                <w:rFonts w:ascii="Arial" w:hAnsi="Arial" w:cs="Arial"/>
                <w:sz w:val="20"/>
                <w:szCs w:val="20"/>
              </w:rPr>
              <w:t>BUN</w:t>
            </w:r>
          </w:p>
        </w:tc>
        <w:tc>
          <w:tcPr>
            <w:tcW w:w="1301" w:type="dxa"/>
            <w:tcBorders>
              <w:right w:val="single" w:sz="4" w:space="0" w:color="auto"/>
            </w:tcBorders>
          </w:tcPr>
          <w:p w14:paraId="63EB544C"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560DD53A" w14:textId="77777777" w:rsidR="005F589A" w:rsidRPr="00B01F9E" w:rsidRDefault="005F589A" w:rsidP="00BB5CA6">
            <w:pPr>
              <w:rPr>
                <w:rFonts w:ascii="Arial" w:hAnsi="Arial" w:cs="Arial"/>
                <w:sz w:val="20"/>
                <w:szCs w:val="20"/>
              </w:rPr>
            </w:pPr>
          </w:p>
        </w:tc>
        <w:tc>
          <w:tcPr>
            <w:tcW w:w="1710" w:type="dxa"/>
          </w:tcPr>
          <w:p w14:paraId="6BBA084E" w14:textId="77777777" w:rsidR="005F589A" w:rsidRPr="00B01F9E" w:rsidRDefault="005F589A" w:rsidP="00BB5CA6">
            <w:pPr>
              <w:rPr>
                <w:rFonts w:ascii="Arial" w:hAnsi="Arial" w:cs="Arial"/>
                <w:sz w:val="20"/>
                <w:szCs w:val="20"/>
              </w:rPr>
            </w:pPr>
            <w:r w:rsidRPr="00B01F9E">
              <w:rPr>
                <w:rFonts w:ascii="Arial" w:hAnsi="Arial" w:cs="Arial"/>
                <w:sz w:val="20"/>
                <w:szCs w:val="20"/>
              </w:rPr>
              <w:t>Hemoglobin</w:t>
            </w:r>
          </w:p>
        </w:tc>
        <w:tc>
          <w:tcPr>
            <w:tcW w:w="1284" w:type="dxa"/>
          </w:tcPr>
          <w:p w14:paraId="5ADD8A4D"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3D2D3713" w14:textId="77777777" w:rsidTr="00BB5CA6">
        <w:trPr>
          <w:trHeight w:val="211"/>
        </w:trPr>
        <w:tc>
          <w:tcPr>
            <w:tcW w:w="1291" w:type="dxa"/>
            <w:tcBorders>
              <w:top w:val="nil"/>
              <w:left w:val="single" w:sz="4" w:space="0" w:color="auto"/>
              <w:bottom w:val="nil"/>
              <w:right w:val="single" w:sz="4" w:space="0" w:color="auto"/>
            </w:tcBorders>
          </w:tcPr>
          <w:p w14:paraId="70257BDE"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690DE9A9" w14:textId="77777777" w:rsidR="005F589A" w:rsidRPr="00B01F9E" w:rsidRDefault="005F589A" w:rsidP="00BB5CA6">
            <w:pPr>
              <w:rPr>
                <w:rFonts w:ascii="Arial" w:hAnsi="Arial" w:cs="Arial"/>
                <w:sz w:val="20"/>
                <w:szCs w:val="20"/>
              </w:rPr>
            </w:pPr>
            <w:r w:rsidRPr="00B01F9E">
              <w:rPr>
                <w:rFonts w:ascii="Arial" w:hAnsi="Arial" w:cs="Arial"/>
                <w:sz w:val="20"/>
                <w:szCs w:val="20"/>
              </w:rPr>
              <w:t>Anion Gap</w:t>
            </w:r>
          </w:p>
        </w:tc>
        <w:tc>
          <w:tcPr>
            <w:tcW w:w="1301" w:type="dxa"/>
            <w:tcBorders>
              <w:right w:val="single" w:sz="4" w:space="0" w:color="auto"/>
            </w:tcBorders>
          </w:tcPr>
          <w:p w14:paraId="55C9E32B"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3D1CBC3E" w14:textId="77777777" w:rsidR="005F589A" w:rsidRPr="00B01F9E" w:rsidRDefault="005F589A" w:rsidP="00BB5CA6">
            <w:pPr>
              <w:rPr>
                <w:rFonts w:ascii="Arial" w:hAnsi="Arial" w:cs="Arial"/>
                <w:sz w:val="20"/>
                <w:szCs w:val="20"/>
              </w:rPr>
            </w:pPr>
          </w:p>
        </w:tc>
        <w:tc>
          <w:tcPr>
            <w:tcW w:w="1710" w:type="dxa"/>
          </w:tcPr>
          <w:p w14:paraId="126E6547" w14:textId="77777777" w:rsidR="005F589A" w:rsidRPr="00B01F9E" w:rsidRDefault="005F589A" w:rsidP="00BB5CA6">
            <w:pPr>
              <w:rPr>
                <w:rFonts w:ascii="Arial" w:hAnsi="Arial" w:cs="Arial"/>
                <w:sz w:val="20"/>
                <w:szCs w:val="20"/>
              </w:rPr>
            </w:pPr>
            <w:r w:rsidRPr="00B01F9E">
              <w:rPr>
                <w:rFonts w:ascii="Arial" w:hAnsi="Arial" w:cs="Arial"/>
                <w:sz w:val="20"/>
                <w:szCs w:val="20"/>
              </w:rPr>
              <w:t>Ketones</w:t>
            </w:r>
          </w:p>
        </w:tc>
        <w:tc>
          <w:tcPr>
            <w:tcW w:w="1284" w:type="dxa"/>
          </w:tcPr>
          <w:p w14:paraId="30300499"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546F33B9" w14:textId="77777777" w:rsidTr="00BB5CA6">
        <w:trPr>
          <w:trHeight w:val="449"/>
        </w:trPr>
        <w:tc>
          <w:tcPr>
            <w:tcW w:w="1291" w:type="dxa"/>
            <w:tcBorders>
              <w:top w:val="nil"/>
              <w:left w:val="single" w:sz="4" w:space="0" w:color="auto"/>
              <w:bottom w:val="nil"/>
              <w:right w:val="single" w:sz="4" w:space="0" w:color="auto"/>
            </w:tcBorders>
          </w:tcPr>
          <w:p w14:paraId="0AA6B769"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38D6F303" w14:textId="77777777" w:rsidR="005F589A" w:rsidRPr="00B01F9E" w:rsidRDefault="005F589A" w:rsidP="00BB5CA6">
            <w:pPr>
              <w:rPr>
                <w:rFonts w:ascii="Arial" w:hAnsi="Arial" w:cs="Arial"/>
                <w:sz w:val="20"/>
                <w:szCs w:val="20"/>
              </w:rPr>
            </w:pPr>
            <w:r w:rsidRPr="00B01F9E">
              <w:rPr>
                <w:rFonts w:ascii="Arial" w:hAnsi="Arial" w:cs="Arial"/>
                <w:sz w:val="20"/>
                <w:szCs w:val="20"/>
              </w:rPr>
              <w:t>Bun/Creatinine Ratio</w:t>
            </w:r>
          </w:p>
        </w:tc>
        <w:tc>
          <w:tcPr>
            <w:tcW w:w="1301" w:type="dxa"/>
            <w:tcBorders>
              <w:right w:val="single" w:sz="4" w:space="0" w:color="auto"/>
            </w:tcBorders>
          </w:tcPr>
          <w:p w14:paraId="293598F3"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08397A79" w14:textId="77777777" w:rsidR="005F589A" w:rsidRPr="00B01F9E" w:rsidRDefault="005F589A" w:rsidP="00BB5CA6">
            <w:pPr>
              <w:rPr>
                <w:rFonts w:ascii="Arial" w:hAnsi="Arial" w:cs="Arial"/>
                <w:sz w:val="20"/>
                <w:szCs w:val="20"/>
              </w:rPr>
            </w:pPr>
          </w:p>
        </w:tc>
        <w:tc>
          <w:tcPr>
            <w:tcW w:w="1710" w:type="dxa"/>
          </w:tcPr>
          <w:p w14:paraId="201C1F6B" w14:textId="77777777" w:rsidR="005F589A" w:rsidRPr="00B01F9E" w:rsidRDefault="005F589A" w:rsidP="00BB5CA6">
            <w:pPr>
              <w:rPr>
                <w:rFonts w:ascii="Arial" w:hAnsi="Arial" w:cs="Arial"/>
                <w:sz w:val="20"/>
                <w:szCs w:val="20"/>
              </w:rPr>
            </w:pPr>
            <w:r w:rsidRPr="00B01F9E">
              <w:rPr>
                <w:rFonts w:ascii="Arial" w:hAnsi="Arial" w:cs="Arial"/>
                <w:sz w:val="20"/>
                <w:szCs w:val="20"/>
              </w:rPr>
              <w:t>Leukocyte Esterase</w:t>
            </w:r>
          </w:p>
        </w:tc>
        <w:tc>
          <w:tcPr>
            <w:tcW w:w="1284" w:type="dxa"/>
          </w:tcPr>
          <w:p w14:paraId="71EE0CD5"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0BE3D785" w14:textId="77777777" w:rsidTr="00BB5CA6">
        <w:trPr>
          <w:trHeight w:val="260"/>
        </w:trPr>
        <w:tc>
          <w:tcPr>
            <w:tcW w:w="1291" w:type="dxa"/>
            <w:tcBorders>
              <w:top w:val="nil"/>
              <w:left w:val="single" w:sz="4" w:space="0" w:color="auto"/>
              <w:bottom w:val="single" w:sz="4" w:space="0" w:color="auto"/>
              <w:right w:val="single" w:sz="4" w:space="0" w:color="auto"/>
            </w:tcBorders>
          </w:tcPr>
          <w:p w14:paraId="49203339" w14:textId="77777777" w:rsidR="005F589A" w:rsidRPr="00B01F9E" w:rsidRDefault="005F589A" w:rsidP="00BB5CA6">
            <w:pPr>
              <w:rPr>
                <w:rFonts w:ascii="Arial" w:hAnsi="Arial" w:cs="Arial"/>
                <w:sz w:val="20"/>
                <w:szCs w:val="20"/>
              </w:rPr>
            </w:pPr>
          </w:p>
        </w:tc>
        <w:tc>
          <w:tcPr>
            <w:tcW w:w="2158" w:type="dxa"/>
            <w:tcBorders>
              <w:left w:val="single" w:sz="4" w:space="0" w:color="auto"/>
            </w:tcBorders>
          </w:tcPr>
          <w:p w14:paraId="7359E493" w14:textId="77777777" w:rsidR="005F589A" w:rsidRPr="00B01F9E" w:rsidRDefault="005F589A" w:rsidP="00BB5CA6">
            <w:pPr>
              <w:rPr>
                <w:rFonts w:ascii="Arial" w:hAnsi="Arial" w:cs="Arial"/>
                <w:sz w:val="20"/>
                <w:szCs w:val="20"/>
              </w:rPr>
            </w:pPr>
            <w:r w:rsidRPr="00B01F9E">
              <w:rPr>
                <w:rFonts w:ascii="Arial" w:hAnsi="Arial" w:cs="Arial"/>
                <w:sz w:val="20"/>
                <w:szCs w:val="20"/>
              </w:rPr>
              <w:t>Estimated Glomerular Filtration Rate (eGFR)</w:t>
            </w:r>
          </w:p>
        </w:tc>
        <w:tc>
          <w:tcPr>
            <w:tcW w:w="1301" w:type="dxa"/>
            <w:tcBorders>
              <w:right w:val="single" w:sz="4" w:space="0" w:color="auto"/>
            </w:tcBorders>
          </w:tcPr>
          <w:p w14:paraId="5AA2D78F"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c>
          <w:tcPr>
            <w:tcW w:w="1616" w:type="dxa"/>
            <w:tcBorders>
              <w:top w:val="nil"/>
              <w:left w:val="single" w:sz="4" w:space="0" w:color="auto"/>
              <w:bottom w:val="nil"/>
            </w:tcBorders>
          </w:tcPr>
          <w:p w14:paraId="3434620A" w14:textId="77777777" w:rsidR="005F589A" w:rsidRPr="00B01F9E" w:rsidRDefault="005F589A" w:rsidP="00BB5CA6">
            <w:pPr>
              <w:rPr>
                <w:rFonts w:ascii="Arial" w:hAnsi="Arial" w:cs="Arial"/>
                <w:sz w:val="20"/>
                <w:szCs w:val="20"/>
              </w:rPr>
            </w:pPr>
          </w:p>
        </w:tc>
        <w:tc>
          <w:tcPr>
            <w:tcW w:w="1710" w:type="dxa"/>
          </w:tcPr>
          <w:p w14:paraId="58A1F259" w14:textId="77777777" w:rsidR="005F589A" w:rsidRPr="00B01F9E" w:rsidRDefault="005F589A" w:rsidP="00BB5CA6">
            <w:pPr>
              <w:rPr>
                <w:rFonts w:ascii="Arial" w:hAnsi="Arial" w:cs="Arial"/>
                <w:sz w:val="20"/>
                <w:szCs w:val="20"/>
              </w:rPr>
            </w:pPr>
            <w:r w:rsidRPr="00B01F9E">
              <w:rPr>
                <w:rFonts w:ascii="Arial" w:hAnsi="Arial" w:cs="Arial"/>
                <w:sz w:val="20"/>
                <w:szCs w:val="20"/>
              </w:rPr>
              <w:t>Nitrite</w:t>
            </w:r>
          </w:p>
        </w:tc>
        <w:tc>
          <w:tcPr>
            <w:tcW w:w="1284" w:type="dxa"/>
          </w:tcPr>
          <w:p w14:paraId="57DB1C91"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05D413A1" w14:textId="77777777" w:rsidTr="00BB5CA6">
        <w:trPr>
          <w:trHeight w:val="449"/>
        </w:trPr>
        <w:tc>
          <w:tcPr>
            <w:tcW w:w="1291" w:type="dxa"/>
            <w:tcBorders>
              <w:top w:val="single" w:sz="4" w:space="0" w:color="auto"/>
              <w:bottom w:val="nil"/>
            </w:tcBorders>
          </w:tcPr>
          <w:p w14:paraId="3ECFD1EC"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 xml:space="preserve">Blood Culture </w:t>
            </w:r>
          </w:p>
        </w:tc>
        <w:tc>
          <w:tcPr>
            <w:tcW w:w="2158" w:type="dxa"/>
          </w:tcPr>
          <w:p w14:paraId="45B524F3" w14:textId="77777777" w:rsidR="005F589A" w:rsidRPr="00B01F9E" w:rsidRDefault="005F589A" w:rsidP="00BB5CA6">
            <w:pPr>
              <w:rPr>
                <w:rFonts w:ascii="Arial" w:hAnsi="Arial" w:cs="Arial"/>
                <w:sz w:val="20"/>
                <w:szCs w:val="20"/>
              </w:rPr>
            </w:pPr>
            <w:r w:rsidRPr="00B01F9E">
              <w:rPr>
                <w:rFonts w:ascii="Arial" w:hAnsi="Arial" w:cs="Arial"/>
                <w:sz w:val="20"/>
                <w:szCs w:val="20"/>
              </w:rPr>
              <w:t>Microorganism preliminary growth</w:t>
            </w:r>
          </w:p>
        </w:tc>
        <w:tc>
          <w:tcPr>
            <w:tcW w:w="1301" w:type="dxa"/>
            <w:tcBorders>
              <w:right w:val="single" w:sz="4" w:space="0" w:color="auto"/>
            </w:tcBorders>
          </w:tcPr>
          <w:p w14:paraId="51574C6D"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left w:val="single" w:sz="4" w:space="0" w:color="auto"/>
              <w:bottom w:val="nil"/>
            </w:tcBorders>
          </w:tcPr>
          <w:p w14:paraId="1D1BDCBF" w14:textId="77777777" w:rsidR="005F589A" w:rsidRPr="00B01F9E" w:rsidRDefault="005F589A" w:rsidP="00BB5CA6">
            <w:pPr>
              <w:rPr>
                <w:rFonts w:ascii="Arial" w:hAnsi="Arial" w:cs="Arial"/>
                <w:sz w:val="20"/>
                <w:szCs w:val="20"/>
              </w:rPr>
            </w:pPr>
          </w:p>
        </w:tc>
        <w:tc>
          <w:tcPr>
            <w:tcW w:w="1710" w:type="dxa"/>
          </w:tcPr>
          <w:p w14:paraId="50F05B7C" w14:textId="77777777" w:rsidR="005F589A" w:rsidRPr="00B01F9E" w:rsidRDefault="005F589A" w:rsidP="00BB5CA6">
            <w:pPr>
              <w:rPr>
                <w:rFonts w:ascii="Arial" w:hAnsi="Arial" w:cs="Arial"/>
                <w:sz w:val="20"/>
                <w:szCs w:val="20"/>
              </w:rPr>
            </w:pPr>
            <w:r w:rsidRPr="00B01F9E">
              <w:rPr>
                <w:rFonts w:ascii="Arial" w:hAnsi="Arial" w:cs="Arial"/>
                <w:sz w:val="20"/>
                <w:szCs w:val="20"/>
              </w:rPr>
              <w:t>Urobilinogen</w:t>
            </w:r>
          </w:p>
        </w:tc>
        <w:tc>
          <w:tcPr>
            <w:tcW w:w="1284" w:type="dxa"/>
          </w:tcPr>
          <w:p w14:paraId="2FF2848E" w14:textId="77777777" w:rsidR="005F589A" w:rsidRPr="00B01F9E" w:rsidRDefault="005F589A" w:rsidP="00BB5CA6">
            <w:pPr>
              <w:rPr>
                <w:rFonts w:ascii="Arial" w:hAnsi="Arial" w:cs="Arial"/>
                <w:sz w:val="20"/>
                <w:szCs w:val="20"/>
              </w:rPr>
            </w:pPr>
            <w:r w:rsidRPr="00B01F9E">
              <w:rPr>
                <w:rFonts w:ascii="Arial" w:hAnsi="Arial" w:cs="Arial"/>
                <w:sz w:val="20"/>
                <w:szCs w:val="20"/>
              </w:rPr>
              <w:t>Semi Quant</w:t>
            </w:r>
          </w:p>
        </w:tc>
      </w:tr>
      <w:tr w:rsidR="005F589A" w:rsidRPr="00B01F9E" w14:paraId="68FA5C44" w14:textId="77777777" w:rsidTr="00BB5CA6">
        <w:trPr>
          <w:trHeight w:val="224"/>
        </w:trPr>
        <w:tc>
          <w:tcPr>
            <w:tcW w:w="1291" w:type="dxa"/>
            <w:tcBorders>
              <w:top w:val="nil"/>
              <w:bottom w:val="nil"/>
            </w:tcBorders>
          </w:tcPr>
          <w:p w14:paraId="3401CB60" w14:textId="77777777" w:rsidR="005F589A" w:rsidRPr="00B01F9E" w:rsidRDefault="005F589A" w:rsidP="00BB5CA6">
            <w:pPr>
              <w:rPr>
                <w:rFonts w:ascii="Arial" w:hAnsi="Arial" w:cs="Arial"/>
                <w:sz w:val="20"/>
                <w:szCs w:val="20"/>
              </w:rPr>
            </w:pPr>
          </w:p>
        </w:tc>
        <w:tc>
          <w:tcPr>
            <w:tcW w:w="2158" w:type="dxa"/>
          </w:tcPr>
          <w:p w14:paraId="43E3EB14" w14:textId="77777777" w:rsidR="005F589A" w:rsidRPr="00B01F9E" w:rsidRDefault="005F589A" w:rsidP="00BB5CA6">
            <w:pPr>
              <w:rPr>
                <w:rFonts w:ascii="Arial" w:hAnsi="Arial" w:cs="Arial"/>
                <w:sz w:val="20"/>
                <w:szCs w:val="20"/>
              </w:rPr>
            </w:pPr>
            <w:r w:rsidRPr="00B01F9E">
              <w:rPr>
                <w:rFonts w:ascii="Arial" w:hAnsi="Arial" w:cs="Arial"/>
                <w:sz w:val="20"/>
                <w:szCs w:val="20"/>
              </w:rPr>
              <w:t>Gram Stain</w:t>
            </w:r>
          </w:p>
        </w:tc>
        <w:tc>
          <w:tcPr>
            <w:tcW w:w="1301" w:type="dxa"/>
            <w:tcBorders>
              <w:right w:val="single" w:sz="4" w:space="0" w:color="auto"/>
            </w:tcBorders>
          </w:tcPr>
          <w:p w14:paraId="19BE49DE" w14:textId="77777777" w:rsidR="005F589A" w:rsidRPr="00B01F9E" w:rsidRDefault="005F589A" w:rsidP="00BB5CA6">
            <w:pPr>
              <w:rPr>
                <w:rFonts w:ascii="Arial" w:hAnsi="Arial" w:cs="Arial"/>
                <w:sz w:val="20"/>
                <w:szCs w:val="20"/>
              </w:rPr>
            </w:pPr>
            <w:r w:rsidRPr="00B01F9E">
              <w:rPr>
                <w:rFonts w:ascii="Arial" w:hAnsi="Arial" w:cs="Arial"/>
                <w:sz w:val="20"/>
                <w:szCs w:val="20"/>
              </w:rPr>
              <w:t>Nominal</w:t>
            </w:r>
          </w:p>
        </w:tc>
        <w:tc>
          <w:tcPr>
            <w:tcW w:w="1616" w:type="dxa"/>
            <w:tcBorders>
              <w:top w:val="nil"/>
              <w:left w:val="single" w:sz="4" w:space="0" w:color="auto"/>
              <w:bottom w:val="nil"/>
            </w:tcBorders>
          </w:tcPr>
          <w:p w14:paraId="342476D5" w14:textId="77777777" w:rsidR="005F589A" w:rsidRPr="00B01F9E" w:rsidRDefault="005F589A" w:rsidP="00BB5CA6">
            <w:pPr>
              <w:rPr>
                <w:rFonts w:ascii="Arial" w:hAnsi="Arial" w:cs="Arial"/>
                <w:sz w:val="20"/>
                <w:szCs w:val="20"/>
              </w:rPr>
            </w:pPr>
          </w:p>
        </w:tc>
        <w:tc>
          <w:tcPr>
            <w:tcW w:w="1710" w:type="dxa"/>
          </w:tcPr>
          <w:p w14:paraId="75EF9128" w14:textId="77777777" w:rsidR="005F589A" w:rsidRPr="00B01F9E" w:rsidRDefault="005F589A" w:rsidP="00BB5CA6">
            <w:pPr>
              <w:rPr>
                <w:rFonts w:ascii="Arial" w:hAnsi="Arial" w:cs="Arial"/>
                <w:sz w:val="20"/>
                <w:szCs w:val="20"/>
              </w:rPr>
            </w:pPr>
            <w:r w:rsidRPr="00B01F9E">
              <w:rPr>
                <w:rFonts w:ascii="Arial" w:hAnsi="Arial" w:cs="Arial"/>
                <w:sz w:val="20"/>
                <w:szCs w:val="20"/>
              </w:rPr>
              <w:t>Erythrocytes</w:t>
            </w:r>
          </w:p>
        </w:tc>
        <w:tc>
          <w:tcPr>
            <w:tcW w:w="1284" w:type="dxa"/>
          </w:tcPr>
          <w:p w14:paraId="02A0AC30"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r>
      <w:tr w:rsidR="005F589A" w:rsidRPr="00B01F9E" w14:paraId="4E38B1A5" w14:textId="77777777" w:rsidTr="00BB5CA6">
        <w:trPr>
          <w:trHeight w:val="125"/>
        </w:trPr>
        <w:tc>
          <w:tcPr>
            <w:tcW w:w="1291" w:type="dxa"/>
            <w:tcBorders>
              <w:top w:val="nil"/>
              <w:bottom w:val="single" w:sz="4" w:space="0" w:color="auto"/>
            </w:tcBorders>
          </w:tcPr>
          <w:p w14:paraId="67B28AB3" w14:textId="77777777" w:rsidR="005F589A" w:rsidRPr="00B01F9E" w:rsidRDefault="005F589A" w:rsidP="00BB5CA6">
            <w:pPr>
              <w:rPr>
                <w:rFonts w:ascii="Arial" w:hAnsi="Arial" w:cs="Arial"/>
                <w:sz w:val="20"/>
                <w:szCs w:val="20"/>
              </w:rPr>
            </w:pPr>
          </w:p>
        </w:tc>
        <w:tc>
          <w:tcPr>
            <w:tcW w:w="2158" w:type="dxa"/>
          </w:tcPr>
          <w:p w14:paraId="477FD862" w14:textId="77777777" w:rsidR="005F589A" w:rsidRPr="00B01F9E" w:rsidRDefault="005F589A" w:rsidP="00BB5CA6">
            <w:pPr>
              <w:rPr>
                <w:rFonts w:ascii="Arial" w:hAnsi="Arial" w:cs="Arial"/>
                <w:sz w:val="20"/>
                <w:szCs w:val="20"/>
              </w:rPr>
            </w:pPr>
            <w:r w:rsidRPr="00B01F9E">
              <w:rPr>
                <w:rFonts w:ascii="Arial" w:hAnsi="Arial" w:cs="Arial"/>
                <w:sz w:val="20"/>
                <w:szCs w:val="20"/>
              </w:rPr>
              <w:t>Bacteria Identification</w:t>
            </w:r>
          </w:p>
        </w:tc>
        <w:tc>
          <w:tcPr>
            <w:tcW w:w="1301" w:type="dxa"/>
            <w:tcBorders>
              <w:right w:val="single" w:sz="4" w:space="0" w:color="auto"/>
            </w:tcBorders>
          </w:tcPr>
          <w:p w14:paraId="0E9CFBE6" w14:textId="77777777" w:rsidR="005F589A" w:rsidRPr="00B01F9E" w:rsidRDefault="005F589A" w:rsidP="00BB5CA6">
            <w:pPr>
              <w:rPr>
                <w:rFonts w:ascii="Arial" w:hAnsi="Arial" w:cs="Arial"/>
                <w:sz w:val="20"/>
                <w:szCs w:val="20"/>
              </w:rPr>
            </w:pPr>
            <w:r w:rsidRPr="00B01F9E">
              <w:rPr>
                <w:rFonts w:ascii="Arial" w:hAnsi="Arial" w:cs="Arial"/>
                <w:sz w:val="20"/>
                <w:szCs w:val="20"/>
              </w:rPr>
              <w:t>Nominal</w:t>
            </w:r>
          </w:p>
        </w:tc>
        <w:tc>
          <w:tcPr>
            <w:tcW w:w="1616" w:type="dxa"/>
            <w:tcBorders>
              <w:top w:val="nil"/>
              <w:left w:val="single" w:sz="4" w:space="0" w:color="auto"/>
              <w:bottom w:val="nil"/>
            </w:tcBorders>
          </w:tcPr>
          <w:p w14:paraId="3778674B" w14:textId="77777777" w:rsidR="005F589A" w:rsidRPr="00B01F9E" w:rsidRDefault="005F589A" w:rsidP="00BB5CA6">
            <w:pPr>
              <w:rPr>
                <w:rFonts w:ascii="Arial" w:hAnsi="Arial" w:cs="Arial"/>
                <w:sz w:val="20"/>
                <w:szCs w:val="20"/>
              </w:rPr>
            </w:pPr>
          </w:p>
        </w:tc>
        <w:tc>
          <w:tcPr>
            <w:tcW w:w="1710" w:type="dxa"/>
          </w:tcPr>
          <w:p w14:paraId="211F7FB1" w14:textId="77777777" w:rsidR="005F589A" w:rsidRPr="00B01F9E" w:rsidRDefault="005F589A" w:rsidP="00BB5CA6">
            <w:pPr>
              <w:rPr>
                <w:rFonts w:ascii="Arial" w:hAnsi="Arial" w:cs="Arial"/>
                <w:sz w:val="20"/>
                <w:szCs w:val="20"/>
              </w:rPr>
            </w:pPr>
            <w:r w:rsidRPr="00B01F9E">
              <w:rPr>
                <w:rFonts w:ascii="Arial" w:hAnsi="Arial" w:cs="Arial"/>
                <w:sz w:val="20"/>
                <w:szCs w:val="20"/>
              </w:rPr>
              <w:t>Leukocytes</w:t>
            </w:r>
          </w:p>
        </w:tc>
        <w:tc>
          <w:tcPr>
            <w:tcW w:w="1284" w:type="dxa"/>
          </w:tcPr>
          <w:p w14:paraId="50725BCD"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r>
      <w:tr w:rsidR="005F589A" w:rsidRPr="00B01F9E" w14:paraId="28573193" w14:textId="77777777" w:rsidTr="00BB5CA6">
        <w:trPr>
          <w:trHeight w:val="71"/>
        </w:trPr>
        <w:tc>
          <w:tcPr>
            <w:tcW w:w="1291" w:type="dxa"/>
            <w:tcBorders>
              <w:bottom w:val="nil"/>
            </w:tcBorders>
          </w:tcPr>
          <w:p w14:paraId="7003EF8A"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lastRenderedPageBreak/>
              <w:t>AST (Antimicrobial Susceptibility Test)</w:t>
            </w:r>
          </w:p>
        </w:tc>
        <w:tc>
          <w:tcPr>
            <w:tcW w:w="2158" w:type="dxa"/>
          </w:tcPr>
          <w:p w14:paraId="620970D9" w14:textId="77777777" w:rsidR="005F589A" w:rsidRPr="00B01F9E" w:rsidRDefault="005F589A" w:rsidP="00BB5CA6">
            <w:pPr>
              <w:rPr>
                <w:rFonts w:ascii="Arial" w:hAnsi="Arial" w:cs="Arial"/>
                <w:sz w:val="20"/>
                <w:szCs w:val="20"/>
              </w:rPr>
            </w:pPr>
            <w:r w:rsidRPr="00B01F9E">
              <w:rPr>
                <w:rFonts w:ascii="Arial" w:hAnsi="Arial" w:cs="Arial"/>
                <w:sz w:val="20"/>
                <w:szCs w:val="20"/>
              </w:rPr>
              <w:t>Cefoxitin</w:t>
            </w:r>
          </w:p>
        </w:tc>
        <w:tc>
          <w:tcPr>
            <w:tcW w:w="1301" w:type="dxa"/>
            <w:tcBorders>
              <w:right w:val="single" w:sz="4" w:space="0" w:color="auto"/>
            </w:tcBorders>
          </w:tcPr>
          <w:p w14:paraId="1F3B2E71"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left w:val="single" w:sz="4" w:space="0" w:color="auto"/>
              <w:bottom w:val="single" w:sz="4" w:space="0" w:color="auto"/>
            </w:tcBorders>
          </w:tcPr>
          <w:p w14:paraId="3C717753" w14:textId="77777777" w:rsidR="005F589A" w:rsidRPr="00B01F9E" w:rsidRDefault="005F589A" w:rsidP="00BB5CA6">
            <w:pPr>
              <w:rPr>
                <w:rFonts w:ascii="Arial" w:hAnsi="Arial" w:cs="Arial"/>
                <w:sz w:val="20"/>
                <w:szCs w:val="20"/>
              </w:rPr>
            </w:pPr>
          </w:p>
        </w:tc>
        <w:tc>
          <w:tcPr>
            <w:tcW w:w="1710" w:type="dxa"/>
          </w:tcPr>
          <w:p w14:paraId="67FB6F8F" w14:textId="77777777" w:rsidR="005F589A" w:rsidRPr="00B01F9E" w:rsidRDefault="005F589A" w:rsidP="00BB5CA6">
            <w:pPr>
              <w:rPr>
                <w:rFonts w:ascii="Arial" w:hAnsi="Arial" w:cs="Arial"/>
                <w:sz w:val="20"/>
                <w:szCs w:val="20"/>
              </w:rPr>
            </w:pPr>
            <w:r w:rsidRPr="00B01F9E">
              <w:rPr>
                <w:rFonts w:ascii="Arial" w:hAnsi="Arial" w:cs="Arial"/>
                <w:sz w:val="20"/>
                <w:szCs w:val="20"/>
              </w:rPr>
              <w:t>Casts</w:t>
            </w:r>
          </w:p>
        </w:tc>
        <w:tc>
          <w:tcPr>
            <w:tcW w:w="1284" w:type="dxa"/>
          </w:tcPr>
          <w:p w14:paraId="33F3BAEF"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r>
      <w:tr w:rsidR="005F589A" w:rsidRPr="00B01F9E" w14:paraId="3EC0A4BB" w14:textId="77777777" w:rsidTr="00BB5CA6">
        <w:trPr>
          <w:trHeight w:val="449"/>
        </w:trPr>
        <w:tc>
          <w:tcPr>
            <w:tcW w:w="1291" w:type="dxa"/>
            <w:tcBorders>
              <w:top w:val="nil"/>
              <w:bottom w:val="nil"/>
            </w:tcBorders>
          </w:tcPr>
          <w:p w14:paraId="3415AA92" w14:textId="77777777" w:rsidR="005F589A" w:rsidRPr="00B01F9E" w:rsidRDefault="005F589A" w:rsidP="00BB5CA6">
            <w:pPr>
              <w:rPr>
                <w:rFonts w:ascii="Arial" w:hAnsi="Arial" w:cs="Arial"/>
                <w:sz w:val="20"/>
                <w:szCs w:val="20"/>
              </w:rPr>
            </w:pPr>
          </w:p>
        </w:tc>
        <w:tc>
          <w:tcPr>
            <w:tcW w:w="2158" w:type="dxa"/>
          </w:tcPr>
          <w:p w14:paraId="3E3D7888" w14:textId="77777777" w:rsidR="005F589A" w:rsidRPr="00B01F9E" w:rsidRDefault="005F589A" w:rsidP="00BB5CA6">
            <w:pPr>
              <w:rPr>
                <w:rFonts w:ascii="Arial" w:hAnsi="Arial" w:cs="Arial"/>
                <w:sz w:val="20"/>
                <w:szCs w:val="20"/>
              </w:rPr>
            </w:pPr>
            <w:r w:rsidRPr="00B01F9E">
              <w:rPr>
                <w:rFonts w:ascii="Arial" w:hAnsi="Arial" w:cs="Arial"/>
                <w:sz w:val="20"/>
                <w:szCs w:val="20"/>
              </w:rPr>
              <w:t>Ciprofloxacin</w:t>
            </w:r>
          </w:p>
        </w:tc>
        <w:tc>
          <w:tcPr>
            <w:tcW w:w="1301" w:type="dxa"/>
          </w:tcPr>
          <w:p w14:paraId="5745DCE9"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bottom w:val="nil"/>
            </w:tcBorders>
          </w:tcPr>
          <w:p w14:paraId="2E38B8E0"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Respiratory Viral Panel</w:t>
            </w:r>
          </w:p>
        </w:tc>
        <w:tc>
          <w:tcPr>
            <w:tcW w:w="1710" w:type="dxa"/>
          </w:tcPr>
          <w:p w14:paraId="5119483C" w14:textId="77777777" w:rsidR="005F589A" w:rsidRPr="00B01F9E" w:rsidRDefault="005F589A" w:rsidP="00BB5CA6">
            <w:pPr>
              <w:rPr>
                <w:rFonts w:ascii="Arial" w:hAnsi="Arial" w:cs="Arial"/>
                <w:sz w:val="20"/>
                <w:szCs w:val="20"/>
              </w:rPr>
            </w:pPr>
            <w:r w:rsidRPr="00B01F9E">
              <w:rPr>
                <w:rFonts w:ascii="Arial" w:hAnsi="Arial" w:cs="Arial"/>
                <w:sz w:val="20"/>
                <w:szCs w:val="20"/>
              </w:rPr>
              <w:t xml:space="preserve">Influenza virus </w:t>
            </w:r>
            <w:proofErr w:type="gramStart"/>
            <w:r w:rsidRPr="00B01F9E">
              <w:rPr>
                <w:rFonts w:ascii="Arial" w:hAnsi="Arial" w:cs="Arial"/>
                <w:sz w:val="20"/>
                <w:szCs w:val="20"/>
              </w:rPr>
              <w:t>A</w:t>
            </w:r>
            <w:proofErr w:type="gramEnd"/>
            <w:r w:rsidRPr="00B01F9E">
              <w:rPr>
                <w:rFonts w:ascii="Arial" w:hAnsi="Arial" w:cs="Arial"/>
                <w:sz w:val="20"/>
                <w:szCs w:val="20"/>
              </w:rPr>
              <w:t xml:space="preserve"> RNA</w:t>
            </w:r>
          </w:p>
        </w:tc>
        <w:tc>
          <w:tcPr>
            <w:tcW w:w="1284" w:type="dxa"/>
          </w:tcPr>
          <w:p w14:paraId="51F4FDFD"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42C2011F" w14:textId="77777777" w:rsidTr="00BB5CA6">
        <w:trPr>
          <w:trHeight w:val="449"/>
        </w:trPr>
        <w:tc>
          <w:tcPr>
            <w:tcW w:w="1291" w:type="dxa"/>
            <w:tcBorders>
              <w:top w:val="nil"/>
              <w:bottom w:val="nil"/>
            </w:tcBorders>
          </w:tcPr>
          <w:p w14:paraId="7F7C8142" w14:textId="77777777" w:rsidR="005F589A" w:rsidRPr="00B01F9E" w:rsidRDefault="005F589A" w:rsidP="00BB5CA6">
            <w:pPr>
              <w:rPr>
                <w:rFonts w:ascii="Arial" w:hAnsi="Arial" w:cs="Arial"/>
                <w:sz w:val="20"/>
                <w:szCs w:val="20"/>
              </w:rPr>
            </w:pPr>
          </w:p>
        </w:tc>
        <w:tc>
          <w:tcPr>
            <w:tcW w:w="2158" w:type="dxa"/>
          </w:tcPr>
          <w:p w14:paraId="6677AD52" w14:textId="77777777" w:rsidR="005F589A" w:rsidRPr="00B01F9E" w:rsidRDefault="005F589A" w:rsidP="00BB5CA6">
            <w:pPr>
              <w:rPr>
                <w:rFonts w:ascii="Arial" w:hAnsi="Arial" w:cs="Arial"/>
                <w:sz w:val="20"/>
                <w:szCs w:val="20"/>
              </w:rPr>
            </w:pPr>
            <w:r w:rsidRPr="00B01F9E">
              <w:rPr>
                <w:rFonts w:ascii="Arial" w:hAnsi="Arial" w:cs="Arial"/>
                <w:sz w:val="20"/>
                <w:szCs w:val="20"/>
              </w:rPr>
              <w:t>Daptomycin</w:t>
            </w:r>
          </w:p>
        </w:tc>
        <w:tc>
          <w:tcPr>
            <w:tcW w:w="1301" w:type="dxa"/>
          </w:tcPr>
          <w:p w14:paraId="184115CF"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tcBorders>
          </w:tcPr>
          <w:p w14:paraId="13EE52B6" w14:textId="77777777" w:rsidR="005F589A" w:rsidRPr="00B01F9E" w:rsidRDefault="005F589A" w:rsidP="00BB5CA6">
            <w:pPr>
              <w:rPr>
                <w:rFonts w:ascii="Arial" w:hAnsi="Arial" w:cs="Arial"/>
                <w:sz w:val="20"/>
                <w:szCs w:val="20"/>
              </w:rPr>
            </w:pPr>
          </w:p>
        </w:tc>
        <w:tc>
          <w:tcPr>
            <w:tcW w:w="1710" w:type="dxa"/>
          </w:tcPr>
          <w:p w14:paraId="38E7BF8C" w14:textId="77777777" w:rsidR="005F589A" w:rsidRPr="00B01F9E" w:rsidRDefault="005F589A" w:rsidP="00BB5CA6">
            <w:pPr>
              <w:rPr>
                <w:rFonts w:ascii="Arial" w:hAnsi="Arial" w:cs="Arial"/>
                <w:sz w:val="20"/>
                <w:szCs w:val="20"/>
              </w:rPr>
            </w:pPr>
            <w:r w:rsidRPr="00B01F9E">
              <w:rPr>
                <w:rFonts w:ascii="Arial" w:hAnsi="Arial" w:cs="Arial"/>
                <w:sz w:val="20"/>
                <w:szCs w:val="20"/>
              </w:rPr>
              <w:t>Influenza virus B RNA</w:t>
            </w:r>
          </w:p>
        </w:tc>
        <w:tc>
          <w:tcPr>
            <w:tcW w:w="1284" w:type="dxa"/>
          </w:tcPr>
          <w:p w14:paraId="2DAC36E0"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78086C84" w14:textId="77777777" w:rsidTr="00BB5CA6">
        <w:trPr>
          <w:trHeight w:val="660"/>
        </w:trPr>
        <w:tc>
          <w:tcPr>
            <w:tcW w:w="1291" w:type="dxa"/>
            <w:tcBorders>
              <w:top w:val="nil"/>
              <w:bottom w:val="nil"/>
            </w:tcBorders>
          </w:tcPr>
          <w:p w14:paraId="27B1E29F" w14:textId="77777777" w:rsidR="005F589A" w:rsidRPr="00B01F9E" w:rsidRDefault="005F589A" w:rsidP="00BB5CA6">
            <w:pPr>
              <w:rPr>
                <w:rFonts w:ascii="Arial" w:hAnsi="Arial" w:cs="Arial"/>
                <w:sz w:val="20"/>
                <w:szCs w:val="20"/>
              </w:rPr>
            </w:pPr>
          </w:p>
        </w:tc>
        <w:tc>
          <w:tcPr>
            <w:tcW w:w="2158" w:type="dxa"/>
          </w:tcPr>
          <w:p w14:paraId="6E4FB7DD" w14:textId="77777777" w:rsidR="005F589A" w:rsidRPr="00B01F9E" w:rsidRDefault="005F589A" w:rsidP="00BB5CA6">
            <w:pPr>
              <w:rPr>
                <w:rFonts w:ascii="Arial" w:hAnsi="Arial" w:cs="Arial"/>
                <w:sz w:val="20"/>
                <w:szCs w:val="20"/>
              </w:rPr>
            </w:pPr>
            <w:r w:rsidRPr="00B01F9E">
              <w:rPr>
                <w:rFonts w:ascii="Arial" w:hAnsi="Arial" w:cs="Arial"/>
                <w:sz w:val="20"/>
                <w:szCs w:val="20"/>
              </w:rPr>
              <w:t>Erythromycin</w:t>
            </w:r>
          </w:p>
        </w:tc>
        <w:tc>
          <w:tcPr>
            <w:tcW w:w="1301" w:type="dxa"/>
          </w:tcPr>
          <w:p w14:paraId="034D8BC8"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tcBorders>
          </w:tcPr>
          <w:p w14:paraId="50F819BF" w14:textId="77777777" w:rsidR="005F589A" w:rsidRPr="00B01F9E" w:rsidRDefault="005F589A" w:rsidP="00BB5CA6">
            <w:pPr>
              <w:rPr>
                <w:rFonts w:ascii="Arial" w:hAnsi="Arial" w:cs="Arial"/>
                <w:sz w:val="20"/>
                <w:szCs w:val="20"/>
              </w:rPr>
            </w:pPr>
          </w:p>
        </w:tc>
        <w:tc>
          <w:tcPr>
            <w:tcW w:w="1710" w:type="dxa"/>
          </w:tcPr>
          <w:p w14:paraId="5900A707" w14:textId="77777777" w:rsidR="005F589A" w:rsidRPr="00B01F9E" w:rsidRDefault="005F589A" w:rsidP="00BB5CA6">
            <w:pPr>
              <w:rPr>
                <w:rFonts w:ascii="Arial" w:hAnsi="Arial" w:cs="Arial"/>
                <w:sz w:val="20"/>
                <w:szCs w:val="20"/>
              </w:rPr>
            </w:pPr>
            <w:r w:rsidRPr="00B01F9E">
              <w:rPr>
                <w:rFonts w:ascii="Arial" w:hAnsi="Arial" w:cs="Arial"/>
                <w:sz w:val="20"/>
                <w:szCs w:val="20"/>
              </w:rPr>
              <w:t>Respiratory Syncytial Virus RNA</w:t>
            </w:r>
          </w:p>
        </w:tc>
        <w:tc>
          <w:tcPr>
            <w:tcW w:w="1284" w:type="dxa"/>
          </w:tcPr>
          <w:p w14:paraId="0914A4F1"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55DA8979" w14:textId="77777777" w:rsidTr="00BB5CA6">
        <w:trPr>
          <w:trHeight w:val="674"/>
        </w:trPr>
        <w:tc>
          <w:tcPr>
            <w:tcW w:w="1291" w:type="dxa"/>
            <w:tcBorders>
              <w:top w:val="nil"/>
              <w:bottom w:val="nil"/>
            </w:tcBorders>
          </w:tcPr>
          <w:p w14:paraId="76380247" w14:textId="77777777" w:rsidR="005F589A" w:rsidRPr="00B01F9E" w:rsidRDefault="005F589A" w:rsidP="00BB5CA6">
            <w:pPr>
              <w:rPr>
                <w:rFonts w:ascii="Arial" w:hAnsi="Arial" w:cs="Arial"/>
                <w:sz w:val="20"/>
                <w:szCs w:val="20"/>
              </w:rPr>
            </w:pPr>
          </w:p>
        </w:tc>
        <w:tc>
          <w:tcPr>
            <w:tcW w:w="2158" w:type="dxa"/>
          </w:tcPr>
          <w:p w14:paraId="5DBC6796" w14:textId="77777777" w:rsidR="005F589A" w:rsidRPr="00B01F9E" w:rsidRDefault="005F589A" w:rsidP="00BB5CA6">
            <w:pPr>
              <w:rPr>
                <w:rFonts w:ascii="Arial" w:hAnsi="Arial" w:cs="Arial"/>
                <w:sz w:val="20"/>
                <w:szCs w:val="20"/>
              </w:rPr>
            </w:pPr>
            <w:r w:rsidRPr="00B01F9E">
              <w:rPr>
                <w:rFonts w:ascii="Arial" w:hAnsi="Arial" w:cs="Arial"/>
                <w:sz w:val="20"/>
                <w:szCs w:val="20"/>
              </w:rPr>
              <w:t>Gentamicin</w:t>
            </w:r>
          </w:p>
        </w:tc>
        <w:tc>
          <w:tcPr>
            <w:tcW w:w="1301" w:type="dxa"/>
          </w:tcPr>
          <w:p w14:paraId="1FDEC0D5"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single" w:sz="4" w:space="0" w:color="auto"/>
            </w:tcBorders>
          </w:tcPr>
          <w:p w14:paraId="3F986EF7" w14:textId="77777777" w:rsidR="005F589A" w:rsidRPr="00B01F9E" w:rsidRDefault="005F589A" w:rsidP="00BB5CA6">
            <w:pPr>
              <w:rPr>
                <w:rFonts w:ascii="Arial" w:hAnsi="Arial" w:cs="Arial"/>
                <w:sz w:val="20"/>
                <w:szCs w:val="20"/>
              </w:rPr>
            </w:pPr>
          </w:p>
        </w:tc>
        <w:tc>
          <w:tcPr>
            <w:tcW w:w="1710" w:type="dxa"/>
            <w:tcBorders>
              <w:bottom w:val="single" w:sz="4" w:space="0" w:color="auto"/>
            </w:tcBorders>
          </w:tcPr>
          <w:p w14:paraId="55E5CD6D" w14:textId="77777777" w:rsidR="005F589A" w:rsidRPr="00B01F9E" w:rsidRDefault="005F589A" w:rsidP="00BB5CA6">
            <w:pPr>
              <w:rPr>
                <w:rFonts w:ascii="Arial" w:hAnsi="Arial" w:cs="Arial"/>
                <w:sz w:val="20"/>
                <w:szCs w:val="20"/>
              </w:rPr>
            </w:pPr>
            <w:r w:rsidRPr="00B01F9E">
              <w:rPr>
                <w:rFonts w:ascii="Arial" w:hAnsi="Arial" w:cs="Arial"/>
                <w:sz w:val="20"/>
                <w:szCs w:val="20"/>
              </w:rPr>
              <w:t>SARS-related coronavirus RNA</w:t>
            </w:r>
          </w:p>
        </w:tc>
        <w:tc>
          <w:tcPr>
            <w:tcW w:w="1284" w:type="dxa"/>
            <w:tcBorders>
              <w:bottom w:val="single" w:sz="4" w:space="0" w:color="auto"/>
            </w:tcBorders>
          </w:tcPr>
          <w:p w14:paraId="6C06A450"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r>
      <w:tr w:rsidR="005F589A" w:rsidRPr="00B01F9E" w14:paraId="5A689449" w14:textId="77777777" w:rsidTr="00BB5CA6">
        <w:trPr>
          <w:trHeight w:val="435"/>
        </w:trPr>
        <w:tc>
          <w:tcPr>
            <w:tcW w:w="1291" w:type="dxa"/>
            <w:tcBorders>
              <w:top w:val="nil"/>
              <w:bottom w:val="nil"/>
            </w:tcBorders>
          </w:tcPr>
          <w:p w14:paraId="3BD8BCE6" w14:textId="77777777" w:rsidR="005F589A" w:rsidRPr="00B01F9E" w:rsidRDefault="005F589A" w:rsidP="00BB5CA6">
            <w:pPr>
              <w:rPr>
                <w:rFonts w:ascii="Arial" w:hAnsi="Arial" w:cs="Arial"/>
                <w:sz w:val="20"/>
                <w:szCs w:val="20"/>
              </w:rPr>
            </w:pPr>
          </w:p>
        </w:tc>
        <w:tc>
          <w:tcPr>
            <w:tcW w:w="2158" w:type="dxa"/>
          </w:tcPr>
          <w:p w14:paraId="04D3AA83" w14:textId="77777777" w:rsidR="005F589A" w:rsidRPr="00B01F9E" w:rsidRDefault="005F589A" w:rsidP="00BB5CA6">
            <w:pPr>
              <w:rPr>
                <w:rFonts w:ascii="Arial" w:hAnsi="Arial" w:cs="Arial"/>
                <w:sz w:val="20"/>
                <w:szCs w:val="20"/>
              </w:rPr>
            </w:pPr>
            <w:r w:rsidRPr="00B01F9E">
              <w:rPr>
                <w:rFonts w:ascii="Arial" w:hAnsi="Arial" w:cs="Arial"/>
                <w:sz w:val="20"/>
                <w:szCs w:val="20"/>
              </w:rPr>
              <w:t>Levofloxacin</w:t>
            </w:r>
          </w:p>
        </w:tc>
        <w:tc>
          <w:tcPr>
            <w:tcW w:w="1301" w:type="dxa"/>
          </w:tcPr>
          <w:p w14:paraId="474106BB"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bottom w:val="single" w:sz="4" w:space="0" w:color="auto"/>
              <w:right w:val="single" w:sz="4" w:space="0" w:color="auto"/>
            </w:tcBorders>
          </w:tcPr>
          <w:p w14:paraId="24AC150B" w14:textId="77777777" w:rsidR="005F589A" w:rsidRPr="00B01F9E" w:rsidRDefault="005F589A" w:rsidP="00BB5CA6">
            <w:pPr>
              <w:rPr>
                <w:rFonts w:ascii="Arial" w:hAnsi="Arial" w:cs="Arial"/>
                <w:b/>
                <w:bCs/>
                <w:sz w:val="20"/>
                <w:szCs w:val="20"/>
              </w:rPr>
            </w:pPr>
            <w:r w:rsidRPr="00B01F9E">
              <w:rPr>
                <w:rFonts w:ascii="Arial" w:hAnsi="Arial" w:cs="Arial"/>
                <w:b/>
                <w:bCs/>
                <w:sz w:val="20"/>
                <w:szCs w:val="20"/>
              </w:rPr>
              <w:t>Serum/Plasma Creatinine</w:t>
            </w:r>
          </w:p>
        </w:tc>
        <w:tc>
          <w:tcPr>
            <w:tcW w:w="1710" w:type="dxa"/>
            <w:tcBorders>
              <w:left w:val="single" w:sz="4" w:space="0" w:color="auto"/>
              <w:bottom w:val="single" w:sz="4" w:space="0" w:color="auto"/>
              <w:right w:val="single" w:sz="4" w:space="0" w:color="auto"/>
            </w:tcBorders>
          </w:tcPr>
          <w:p w14:paraId="78B00A0E" w14:textId="77777777" w:rsidR="005F589A" w:rsidRPr="00B01F9E" w:rsidRDefault="005F589A" w:rsidP="00BB5CA6">
            <w:pPr>
              <w:rPr>
                <w:rFonts w:ascii="Arial" w:hAnsi="Arial" w:cs="Arial"/>
                <w:sz w:val="20"/>
                <w:szCs w:val="20"/>
              </w:rPr>
            </w:pPr>
            <w:r w:rsidRPr="00B01F9E">
              <w:rPr>
                <w:rFonts w:ascii="Arial" w:hAnsi="Arial" w:cs="Arial"/>
                <w:sz w:val="20"/>
                <w:szCs w:val="20"/>
              </w:rPr>
              <w:t>Creatinine</w:t>
            </w:r>
          </w:p>
        </w:tc>
        <w:tc>
          <w:tcPr>
            <w:tcW w:w="1284" w:type="dxa"/>
            <w:tcBorders>
              <w:left w:val="single" w:sz="4" w:space="0" w:color="auto"/>
              <w:bottom w:val="single" w:sz="4" w:space="0" w:color="auto"/>
            </w:tcBorders>
          </w:tcPr>
          <w:p w14:paraId="147EAABB" w14:textId="77777777" w:rsidR="005F589A" w:rsidRPr="00B01F9E" w:rsidRDefault="005F589A" w:rsidP="00BB5CA6">
            <w:pPr>
              <w:rPr>
                <w:rFonts w:ascii="Arial" w:hAnsi="Arial" w:cs="Arial"/>
                <w:sz w:val="20"/>
                <w:szCs w:val="20"/>
              </w:rPr>
            </w:pPr>
            <w:r w:rsidRPr="00B01F9E">
              <w:rPr>
                <w:rFonts w:ascii="Arial" w:hAnsi="Arial" w:cs="Arial"/>
                <w:sz w:val="20"/>
                <w:szCs w:val="20"/>
              </w:rPr>
              <w:t>Quantitative</w:t>
            </w:r>
          </w:p>
        </w:tc>
      </w:tr>
      <w:tr w:rsidR="005F589A" w:rsidRPr="00B01F9E" w14:paraId="670CCDDB" w14:textId="77777777" w:rsidTr="00BB5CA6">
        <w:trPr>
          <w:trHeight w:val="224"/>
        </w:trPr>
        <w:tc>
          <w:tcPr>
            <w:tcW w:w="1291" w:type="dxa"/>
            <w:tcBorders>
              <w:top w:val="nil"/>
              <w:bottom w:val="nil"/>
            </w:tcBorders>
          </w:tcPr>
          <w:p w14:paraId="790D91E1" w14:textId="77777777" w:rsidR="005F589A" w:rsidRPr="00B01F9E" w:rsidRDefault="005F589A" w:rsidP="00BB5CA6">
            <w:pPr>
              <w:rPr>
                <w:rFonts w:ascii="Arial" w:hAnsi="Arial" w:cs="Arial"/>
                <w:sz w:val="20"/>
                <w:szCs w:val="20"/>
              </w:rPr>
            </w:pPr>
          </w:p>
        </w:tc>
        <w:tc>
          <w:tcPr>
            <w:tcW w:w="2158" w:type="dxa"/>
          </w:tcPr>
          <w:p w14:paraId="18A24B05" w14:textId="77777777" w:rsidR="005F589A" w:rsidRPr="00B01F9E" w:rsidRDefault="005F589A" w:rsidP="00BB5CA6">
            <w:pPr>
              <w:rPr>
                <w:rFonts w:ascii="Arial" w:hAnsi="Arial" w:cs="Arial"/>
                <w:sz w:val="20"/>
                <w:szCs w:val="20"/>
              </w:rPr>
            </w:pPr>
            <w:r w:rsidRPr="00B01F9E">
              <w:rPr>
                <w:rFonts w:ascii="Arial" w:hAnsi="Arial" w:cs="Arial"/>
                <w:sz w:val="20"/>
                <w:szCs w:val="20"/>
              </w:rPr>
              <w:t>Linezolid</w:t>
            </w:r>
          </w:p>
        </w:tc>
        <w:tc>
          <w:tcPr>
            <w:tcW w:w="1301" w:type="dxa"/>
          </w:tcPr>
          <w:p w14:paraId="2524B00C"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single" w:sz="4" w:space="0" w:color="auto"/>
              <w:bottom w:val="nil"/>
              <w:right w:val="nil"/>
            </w:tcBorders>
          </w:tcPr>
          <w:p w14:paraId="0B827CCD" w14:textId="77777777" w:rsidR="005F589A" w:rsidRPr="00B01F9E" w:rsidRDefault="005F589A" w:rsidP="00BB5CA6">
            <w:pPr>
              <w:rPr>
                <w:rFonts w:ascii="Arial" w:hAnsi="Arial" w:cs="Arial"/>
                <w:sz w:val="20"/>
                <w:szCs w:val="20"/>
              </w:rPr>
            </w:pPr>
          </w:p>
        </w:tc>
        <w:tc>
          <w:tcPr>
            <w:tcW w:w="1710" w:type="dxa"/>
            <w:tcBorders>
              <w:top w:val="single" w:sz="4" w:space="0" w:color="auto"/>
              <w:left w:val="nil"/>
              <w:bottom w:val="nil"/>
              <w:right w:val="nil"/>
            </w:tcBorders>
          </w:tcPr>
          <w:p w14:paraId="27FA800B" w14:textId="77777777" w:rsidR="005F589A" w:rsidRPr="00B01F9E" w:rsidRDefault="005F589A" w:rsidP="00BB5CA6">
            <w:pPr>
              <w:rPr>
                <w:rFonts w:ascii="Arial" w:hAnsi="Arial" w:cs="Arial"/>
                <w:sz w:val="20"/>
                <w:szCs w:val="20"/>
              </w:rPr>
            </w:pPr>
          </w:p>
        </w:tc>
        <w:tc>
          <w:tcPr>
            <w:tcW w:w="1284" w:type="dxa"/>
            <w:tcBorders>
              <w:top w:val="single" w:sz="4" w:space="0" w:color="auto"/>
              <w:left w:val="nil"/>
              <w:bottom w:val="nil"/>
            </w:tcBorders>
          </w:tcPr>
          <w:p w14:paraId="500EE8FB" w14:textId="77777777" w:rsidR="005F589A" w:rsidRPr="00B01F9E" w:rsidRDefault="005F589A" w:rsidP="00BB5CA6">
            <w:pPr>
              <w:rPr>
                <w:rFonts w:ascii="Arial" w:hAnsi="Arial" w:cs="Arial"/>
                <w:sz w:val="20"/>
                <w:szCs w:val="20"/>
              </w:rPr>
            </w:pPr>
          </w:p>
        </w:tc>
      </w:tr>
      <w:tr w:rsidR="005F589A" w:rsidRPr="00B01F9E" w14:paraId="4AB228E9" w14:textId="77777777" w:rsidTr="00BB5CA6">
        <w:trPr>
          <w:trHeight w:val="224"/>
        </w:trPr>
        <w:tc>
          <w:tcPr>
            <w:tcW w:w="1291" w:type="dxa"/>
            <w:tcBorders>
              <w:top w:val="nil"/>
              <w:bottom w:val="nil"/>
            </w:tcBorders>
          </w:tcPr>
          <w:p w14:paraId="7142413E" w14:textId="77777777" w:rsidR="005F589A" w:rsidRPr="00B01F9E" w:rsidRDefault="005F589A" w:rsidP="00BB5CA6">
            <w:pPr>
              <w:rPr>
                <w:rFonts w:ascii="Arial" w:hAnsi="Arial" w:cs="Arial"/>
                <w:sz w:val="20"/>
                <w:szCs w:val="20"/>
              </w:rPr>
            </w:pPr>
          </w:p>
        </w:tc>
        <w:tc>
          <w:tcPr>
            <w:tcW w:w="2158" w:type="dxa"/>
          </w:tcPr>
          <w:p w14:paraId="15CDDCF0" w14:textId="77777777" w:rsidR="005F589A" w:rsidRPr="00B01F9E" w:rsidRDefault="005F589A" w:rsidP="00BB5CA6">
            <w:pPr>
              <w:rPr>
                <w:rFonts w:ascii="Arial" w:hAnsi="Arial" w:cs="Arial"/>
                <w:sz w:val="20"/>
                <w:szCs w:val="20"/>
              </w:rPr>
            </w:pPr>
            <w:r w:rsidRPr="00B01F9E">
              <w:rPr>
                <w:rFonts w:ascii="Arial" w:hAnsi="Arial" w:cs="Arial"/>
                <w:sz w:val="20"/>
                <w:szCs w:val="20"/>
              </w:rPr>
              <w:t>Nitrofurantoin</w:t>
            </w:r>
          </w:p>
        </w:tc>
        <w:tc>
          <w:tcPr>
            <w:tcW w:w="1301" w:type="dxa"/>
          </w:tcPr>
          <w:p w14:paraId="15A1AEF1"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right w:val="nil"/>
            </w:tcBorders>
          </w:tcPr>
          <w:p w14:paraId="76C11F86" w14:textId="77777777" w:rsidR="005F589A" w:rsidRPr="00B01F9E" w:rsidRDefault="005F589A" w:rsidP="00BB5CA6">
            <w:pPr>
              <w:rPr>
                <w:rFonts w:ascii="Arial" w:hAnsi="Arial" w:cs="Arial"/>
                <w:sz w:val="20"/>
                <w:szCs w:val="20"/>
              </w:rPr>
            </w:pPr>
          </w:p>
        </w:tc>
        <w:tc>
          <w:tcPr>
            <w:tcW w:w="1710" w:type="dxa"/>
            <w:tcBorders>
              <w:top w:val="nil"/>
              <w:left w:val="nil"/>
              <w:bottom w:val="nil"/>
              <w:right w:val="nil"/>
            </w:tcBorders>
          </w:tcPr>
          <w:p w14:paraId="69E35EEC" w14:textId="77777777" w:rsidR="005F589A" w:rsidRPr="00B01F9E" w:rsidRDefault="005F589A" w:rsidP="00BB5CA6">
            <w:pPr>
              <w:rPr>
                <w:rFonts w:ascii="Arial" w:hAnsi="Arial" w:cs="Arial"/>
                <w:sz w:val="20"/>
                <w:szCs w:val="20"/>
              </w:rPr>
            </w:pPr>
          </w:p>
        </w:tc>
        <w:tc>
          <w:tcPr>
            <w:tcW w:w="1284" w:type="dxa"/>
            <w:tcBorders>
              <w:top w:val="nil"/>
              <w:left w:val="nil"/>
              <w:bottom w:val="nil"/>
            </w:tcBorders>
          </w:tcPr>
          <w:p w14:paraId="52BD7EB1" w14:textId="77777777" w:rsidR="005F589A" w:rsidRPr="00B01F9E" w:rsidRDefault="005F589A" w:rsidP="00BB5CA6">
            <w:pPr>
              <w:rPr>
                <w:rFonts w:ascii="Arial" w:hAnsi="Arial" w:cs="Arial"/>
                <w:sz w:val="20"/>
                <w:szCs w:val="20"/>
              </w:rPr>
            </w:pPr>
          </w:p>
        </w:tc>
      </w:tr>
      <w:tr w:rsidR="005F589A" w:rsidRPr="00B01F9E" w14:paraId="23994863" w14:textId="77777777" w:rsidTr="00BB5CA6">
        <w:trPr>
          <w:trHeight w:val="211"/>
        </w:trPr>
        <w:tc>
          <w:tcPr>
            <w:tcW w:w="1291" w:type="dxa"/>
            <w:tcBorders>
              <w:top w:val="nil"/>
              <w:bottom w:val="nil"/>
            </w:tcBorders>
          </w:tcPr>
          <w:p w14:paraId="2FD85FF7" w14:textId="77777777" w:rsidR="005F589A" w:rsidRPr="00B01F9E" w:rsidRDefault="005F589A" w:rsidP="00BB5CA6">
            <w:pPr>
              <w:rPr>
                <w:rFonts w:ascii="Arial" w:hAnsi="Arial" w:cs="Arial"/>
                <w:sz w:val="20"/>
                <w:szCs w:val="20"/>
              </w:rPr>
            </w:pPr>
          </w:p>
        </w:tc>
        <w:tc>
          <w:tcPr>
            <w:tcW w:w="2158" w:type="dxa"/>
          </w:tcPr>
          <w:p w14:paraId="1AE66119" w14:textId="77777777" w:rsidR="005F589A" w:rsidRPr="00B01F9E" w:rsidRDefault="005F589A" w:rsidP="00BB5CA6">
            <w:pPr>
              <w:rPr>
                <w:rFonts w:ascii="Arial" w:hAnsi="Arial" w:cs="Arial"/>
                <w:sz w:val="20"/>
                <w:szCs w:val="20"/>
              </w:rPr>
            </w:pPr>
            <w:r w:rsidRPr="00B01F9E">
              <w:rPr>
                <w:rFonts w:ascii="Arial" w:hAnsi="Arial" w:cs="Arial"/>
                <w:sz w:val="20"/>
                <w:szCs w:val="20"/>
              </w:rPr>
              <w:t>Oxacillin</w:t>
            </w:r>
          </w:p>
        </w:tc>
        <w:tc>
          <w:tcPr>
            <w:tcW w:w="1301" w:type="dxa"/>
          </w:tcPr>
          <w:p w14:paraId="1327B1CF"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right w:val="nil"/>
            </w:tcBorders>
          </w:tcPr>
          <w:p w14:paraId="74DD0EBD" w14:textId="77777777" w:rsidR="005F589A" w:rsidRPr="00B01F9E" w:rsidRDefault="005F589A" w:rsidP="00BB5CA6">
            <w:pPr>
              <w:rPr>
                <w:rFonts w:ascii="Arial" w:hAnsi="Arial" w:cs="Arial"/>
                <w:sz w:val="20"/>
                <w:szCs w:val="20"/>
              </w:rPr>
            </w:pPr>
          </w:p>
        </w:tc>
        <w:tc>
          <w:tcPr>
            <w:tcW w:w="1710" w:type="dxa"/>
            <w:tcBorders>
              <w:top w:val="nil"/>
              <w:left w:val="nil"/>
              <w:bottom w:val="nil"/>
              <w:right w:val="nil"/>
            </w:tcBorders>
          </w:tcPr>
          <w:p w14:paraId="5F8B5FDF" w14:textId="77777777" w:rsidR="005F589A" w:rsidRPr="00B01F9E" w:rsidRDefault="005F589A" w:rsidP="00BB5CA6">
            <w:pPr>
              <w:rPr>
                <w:rFonts w:ascii="Arial" w:hAnsi="Arial" w:cs="Arial"/>
                <w:sz w:val="20"/>
                <w:szCs w:val="20"/>
              </w:rPr>
            </w:pPr>
          </w:p>
        </w:tc>
        <w:tc>
          <w:tcPr>
            <w:tcW w:w="1284" w:type="dxa"/>
            <w:tcBorders>
              <w:top w:val="nil"/>
              <w:left w:val="nil"/>
              <w:bottom w:val="nil"/>
            </w:tcBorders>
          </w:tcPr>
          <w:p w14:paraId="00E9C78E" w14:textId="77777777" w:rsidR="005F589A" w:rsidRPr="00B01F9E" w:rsidRDefault="005F589A" w:rsidP="00BB5CA6">
            <w:pPr>
              <w:rPr>
                <w:rFonts w:ascii="Arial" w:hAnsi="Arial" w:cs="Arial"/>
                <w:sz w:val="20"/>
                <w:szCs w:val="20"/>
              </w:rPr>
            </w:pPr>
          </w:p>
        </w:tc>
      </w:tr>
      <w:tr w:rsidR="005F589A" w:rsidRPr="00B01F9E" w14:paraId="27087FCA" w14:textId="77777777" w:rsidTr="00BB5CA6">
        <w:trPr>
          <w:trHeight w:val="224"/>
        </w:trPr>
        <w:tc>
          <w:tcPr>
            <w:tcW w:w="1291" w:type="dxa"/>
            <w:tcBorders>
              <w:top w:val="nil"/>
              <w:bottom w:val="nil"/>
            </w:tcBorders>
          </w:tcPr>
          <w:p w14:paraId="4A7AC17A" w14:textId="77777777" w:rsidR="005F589A" w:rsidRPr="00B01F9E" w:rsidRDefault="005F589A" w:rsidP="00BB5CA6">
            <w:pPr>
              <w:rPr>
                <w:rFonts w:ascii="Arial" w:hAnsi="Arial" w:cs="Arial"/>
                <w:sz w:val="20"/>
                <w:szCs w:val="20"/>
              </w:rPr>
            </w:pPr>
          </w:p>
        </w:tc>
        <w:tc>
          <w:tcPr>
            <w:tcW w:w="2158" w:type="dxa"/>
          </w:tcPr>
          <w:p w14:paraId="625D3D8C" w14:textId="77777777" w:rsidR="005F589A" w:rsidRPr="00B01F9E" w:rsidRDefault="005F589A" w:rsidP="00BB5CA6">
            <w:pPr>
              <w:rPr>
                <w:rFonts w:ascii="Arial" w:hAnsi="Arial" w:cs="Arial"/>
                <w:sz w:val="20"/>
                <w:szCs w:val="20"/>
              </w:rPr>
            </w:pPr>
            <w:r w:rsidRPr="00B01F9E">
              <w:rPr>
                <w:rFonts w:ascii="Arial" w:hAnsi="Arial" w:cs="Arial"/>
                <w:sz w:val="20"/>
                <w:szCs w:val="20"/>
              </w:rPr>
              <w:t>Rifampin</w:t>
            </w:r>
          </w:p>
        </w:tc>
        <w:tc>
          <w:tcPr>
            <w:tcW w:w="1301" w:type="dxa"/>
          </w:tcPr>
          <w:p w14:paraId="2E0F0C50"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right w:val="nil"/>
            </w:tcBorders>
          </w:tcPr>
          <w:p w14:paraId="1258147C" w14:textId="77777777" w:rsidR="005F589A" w:rsidRPr="00B01F9E" w:rsidRDefault="005F589A" w:rsidP="00BB5CA6">
            <w:pPr>
              <w:rPr>
                <w:rFonts w:ascii="Arial" w:hAnsi="Arial" w:cs="Arial"/>
                <w:sz w:val="20"/>
                <w:szCs w:val="20"/>
              </w:rPr>
            </w:pPr>
          </w:p>
        </w:tc>
        <w:tc>
          <w:tcPr>
            <w:tcW w:w="1710" w:type="dxa"/>
            <w:tcBorders>
              <w:top w:val="nil"/>
              <w:left w:val="nil"/>
              <w:bottom w:val="nil"/>
              <w:right w:val="nil"/>
            </w:tcBorders>
          </w:tcPr>
          <w:p w14:paraId="58168E18" w14:textId="77777777" w:rsidR="005F589A" w:rsidRPr="00B01F9E" w:rsidRDefault="005F589A" w:rsidP="00BB5CA6">
            <w:pPr>
              <w:rPr>
                <w:rFonts w:ascii="Arial" w:hAnsi="Arial" w:cs="Arial"/>
                <w:sz w:val="20"/>
                <w:szCs w:val="20"/>
              </w:rPr>
            </w:pPr>
          </w:p>
        </w:tc>
        <w:tc>
          <w:tcPr>
            <w:tcW w:w="1284" w:type="dxa"/>
            <w:tcBorders>
              <w:top w:val="nil"/>
              <w:left w:val="nil"/>
              <w:bottom w:val="nil"/>
            </w:tcBorders>
          </w:tcPr>
          <w:p w14:paraId="74561FA2" w14:textId="77777777" w:rsidR="005F589A" w:rsidRPr="00B01F9E" w:rsidRDefault="005F589A" w:rsidP="00BB5CA6">
            <w:pPr>
              <w:rPr>
                <w:rFonts w:ascii="Arial" w:hAnsi="Arial" w:cs="Arial"/>
                <w:sz w:val="20"/>
                <w:szCs w:val="20"/>
              </w:rPr>
            </w:pPr>
          </w:p>
        </w:tc>
      </w:tr>
      <w:tr w:rsidR="005F589A" w:rsidRPr="00B01F9E" w14:paraId="4003D3F0" w14:textId="77777777" w:rsidTr="00BB5CA6">
        <w:trPr>
          <w:trHeight w:val="224"/>
        </w:trPr>
        <w:tc>
          <w:tcPr>
            <w:tcW w:w="1291" w:type="dxa"/>
            <w:tcBorders>
              <w:top w:val="nil"/>
              <w:bottom w:val="nil"/>
            </w:tcBorders>
          </w:tcPr>
          <w:p w14:paraId="0C1B3EA1" w14:textId="77777777" w:rsidR="005F589A" w:rsidRPr="00B01F9E" w:rsidRDefault="005F589A" w:rsidP="00BB5CA6">
            <w:pPr>
              <w:rPr>
                <w:rFonts w:ascii="Arial" w:hAnsi="Arial" w:cs="Arial"/>
                <w:sz w:val="20"/>
                <w:szCs w:val="20"/>
              </w:rPr>
            </w:pPr>
          </w:p>
        </w:tc>
        <w:tc>
          <w:tcPr>
            <w:tcW w:w="2158" w:type="dxa"/>
          </w:tcPr>
          <w:p w14:paraId="0C3E5C97" w14:textId="77777777" w:rsidR="005F589A" w:rsidRPr="00B01F9E" w:rsidRDefault="005F589A" w:rsidP="00BB5CA6">
            <w:pPr>
              <w:rPr>
                <w:rFonts w:ascii="Arial" w:hAnsi="Arial" w:cs="Arial"/>
                <w:sz w:val="20"/>
                <w:szCs w:val="20"/>
              </w:rPr>
            </w:pPr>
            <w:r w:rsidRPr="00B01F9E">
              <w:rPr>
                <w:rFonts w:ascii="Arial" w:hAnsi="Arial" w:cs="Arial"/>
                <w:sz w:val="20"/>
                <w:szCs w:val="20"/>
              </w:rPr>
              <w:t>Tetracycline</w:t>
            </w:r>
          </w:p>
        </w:tc>
        <w:tc>
          <w:tcPr>
            <w:tcW w:w="1301" w:type="dxa"/>
          </w:tcPr>
          <w:p w14:paraId="4F72C5E0"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right w:val="nil"/>
            </w:tcBorders>
          </w:tcPr>
          <w:p w14:paraId="011E04FC" w14:textId="77777777" w:rsidR="005F589A" w:rsidRPr="00B01F9E" w:rsidRDefault="005F589A" w:rsidP="00BB5CA6">
            <w:pPr>
              <w:rPr>
                <w:rFonts w:ascii="Arial" w:hAnsi="Arial" w:cs="Arial"/>
                <w:sz w:val="20"/>
                <w:szCs w:val="20"/>
              </w:rPr>
            </w:pPr>
          </w:p>
        </w:tc>
        <w:tc>
          <w:tcPr>
            <w:tcW w:w="1710" w:type="dxa"/>
            <w:tcBorders>
              <w:top w:val="nil"/>
              <w:left w:val="nil"/>
              <w:bottom w:val="nil"/>
              <w:right w:val="nil"/>
            </w:tcBorders>
          </w:tcPr>
          <w:p w14:paraId="77B1EC85" w14:textId="77777777" w:rsidR="005F589A" w:rsidRPr="00B01F9E" w:rsidRDefault="005F589A" w:rsidP="00BB5CA6">
            <w:pPr>
              <w:rPr>
                <w:rFonts w:ascii="Arial" w:hAnsi="Arial" w:cs="Arial"/>
                <w:sz w:val="20"/>
                <w:szCs w:val="20"/>
              </w:rPr>
            </w:pPr>
          </w:p>
        </w:tc>
        <w:tc>
          <w:tcPr>
            <w:tcW w:w="1284" w:type="dxa"/>
            <w:tcBorders>
              <w:top w:val="nil"/>
              <w:left w:val="nil"/>
              <w:bottom w:val="nil"/>
            </w:tcBorders>
          </w:tcPr>
          <w:p w14:paraId="7FCB9443" w14:textId="77777777" w:rsidR="005F589A" w:rsidRPr="00B01F9E" w:rsidRDefault="005F589A" w:rsidP="00BB5CA6">
            <w:pPr>
              <w:rPr>
                <w:rFonts w:ascii="Arial" w:hAnsi="Arial" w:cs="Arial"/>
                <w:sz w:val="20"/>
                <w:szCs w:val="20"/>
              </w:rPr>
            </w:pPr>
          </w:p>
        </w:tc>
      </w:tr>
      <w:tr w:rsidR="005F589A" w:rsidRPr="00B01F9E" w14:paraId="743EF508" w14:textId="77777777" w:rsidTr="00BB5CA6">
        <w:trPr>
          <w:trHeight w:val="211"/>
        </w:trPr>
        <w:tc>
          <w:tcPr>
            <w:tcW w:w="1291" w:type="dxa"/>
            <w:tcBorders>
              <w:top w:val="nil"/>
              <w:bottom w:val="nil"/>
            </w:tcBorders>
          </w:tcPr>
          <w:p w14:paraId="6DE672EE" w14:textId="77777777" w:rsidR="005F589A" w:rsidRPr="00B01F9E" w:rsidRDefault="005F589A" w:rsidP="00BB5CA6">
            <w:pPr>
              <w:rPr>
                <w:rFonts w:ascii="Arial" w:hAnsi="Arial" w:cs="Arial"/>
                <w:sz w:val="20"/>
                <w:szCs w:val="20"/>
              </w:rPr>
            </w:pPr>
          </w:p>
        </w:tc>
        <w:tc>
          <w:tcPr>
            <w:tcW w:w="2158" w:type="dxa"/>
          </w:tcPr>
          <w:p w14:paraId="3CD3FF02" w14:textId="77777777" w:rsidR="005F589A" w:rsidRPr="00B01F9E" w:rsidRDefault="005F589A" w:rsidP="00BB5CA6">
            <w:pPr>
              <w:rPr>
                <w:rFonts w:ascii="Arial" w:hAnsi="Arial" w:cs="Arial"/>
                <w:sz w:val="20"/>
                <w:szCs w:val="20"/>
              </w:rPr>
            </w:pPr>
            <w:r w:rsidRPr="00B01F9E">
              <w:rPr>
                <w:rFonts w:ascii="Arial" w:hAnsi="Arial" w:cs="Arial"/>
                <w:sz w:val="20"/>
                <w:szCs w:val="20"/>
              </w:rPr>
              <w:t>Tigecycline</w:t>
            </w:r>
          </w:p>
        </w:tc>
        <w:tc>
          <w:tcPr>
            <w:tcW w:w="1301" w:type="dxa"/>
          </w:tcPr>
          <w:p w14:paraId="2BEAD4F5"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right w:val="nil"/>
            </w:tcBorders>
          </w:tcPr>
          <w:p w14:paraId="6AF87DB0" w14:textId="77777777" w:rsidR="005F589A" w:rsidRPr="00B01F9E" w:rsidRDefault="005F589A" w:rsidP="00BB5CA6">
            <w:pPr>
              <w:rPr>
                <w:rFonts w:ascii="Arial" w:hAnsi="Arial" w:cs="Arial"/>
                <w:sz w:val="20"/>
                <w:szCs w:val="20"/>
              </w:rPr>
            </w:pPr>
          </w:p>
        </w:tc>
        <w:tc>
          <w:tcPr>
            <w:tcW w:w="1710" w:type="dxa"/>
            <w:tcBorders>
              <w:top w:val="nil"/>
              <w:left w:val="nil"/>
              <w:bottom w:val="nil"/>
              <w:right w:val="nil"/>
            </w:tcBorders>
          </w:tcPr>
          <w:p w14:paraId="59FABC1A" w14:textId="77777777" w:rsidR="005F589A" w:rsidRPr="00B01F9E" w:rsidRDefault="005F589A" w:rsidP="00BB5CA6">
            <w:pPr>
              <w:rPr>
                <w:rFonts w:ascii="Arial" w:hAnsi="Arial" w:cs="Arial"/>
                <w:sz w:val="20"/>
                <w:szCs w:val="20"/>
              </w:rPr>
            </w:pPr>
          </w:p>
        </w:tc>
        <w:tc>
          <w:tcPr>
            <w:tcW w:w="1284" w:type="dxa"/>
            <w:tcBorders>
              <w:top w:val="nil"/>
              <w:left w:val="nil"/>
              <w:bottom w:val="nil"/>
            </w:tcBorders>
          </w:tcPr>
          <w:p w14:paraId="030F1255" w14:textId="77777777" w:rsidR="005F589A" w:rsidRPr="00B01F9E" w:rsidRDefault="005F589A" w:rsidP="00BB5CA6">
            <w:pPr>
              <w:rPr>
                <w:rFonts w:ascii="Arial" w:hAnsi="Arial" w:cs="Arial"/>
                <w:sz w:val="20"/>
                <w:szCs w:val="20"/>
              </w:rPr>
            </w:pPr>
          </w:p>
        </w:tc>
      </w:tr>
      <w:tr w:rsidR="005F589A" w:rsidRPr="00B01F9E" w14:paraId="1426129C" w14:textId="77777777" w:rsidTr="00BB5CA6">
        <w:trPr>
          <w:trHeight w:val="449"/>
        </w:trPr>
        <w:tc>
          <w:tcPr>
            <w:tcW w:w="1291" w:type="dxa"/>
            <w:tcBorders>
              <w:top w:val="nil"/>
              <w:bottom w:val="nil"/>
            </w:tcBorders>
          </w:tcPr>
          <w:p w14:paraId="2E4B2FEB" w14:textId="77777777" w:rsidR="005F589A" w:rsidRPr="00B01F9E" w:rsidRDefault="005F589A" w:rsidP="00BB5CA6">
            <w:pPr>
              <w:rPr>
                <w:rFonts w:ascii="Arial" w:hAnsi="Arial" w:cs="Arial"/>
                <w:sz w:val="20"/>
                <w:szCs w:val="20"/>
              </w:rPr>
            </w:pPr>
          </w:p>
        </w:tc>
        <w:tc>
          <w:tcPr>
            <w:tcW w:w="2158" w:type="dxa"/>
          </w:tcPr>
          <w:p w14:paraId="157A0618" w14:textId="77777777" w:rsidR="005F589A" w:rsidRPr="00B01F9E" w:rsidRDefault="005F589A" w:rsidP="00BB5CA6">
            <w:pPr>
              <w:rPr>
                <w:rFonts w:ascii="Arial" w:hAnsi="Arial" w:cs="Arial"/>
                <w:sz w:val="20"/>
                <w:szCs w:val="20"/>
              </w:rPr>
            </w:pPr>
            <w:r w:rsidRPr="00B01F9E">
              <w:rPr>
                <w:rFonts w:ascii="Arial" w:hAnsi="Arial" w:cs="Arial"/>
                <w:sz w:val="20"/>
                <w:szCs w:val="20"/>
              </w:rPr>
              <w:t>Trimethoprim &amp; Sulfamethoxazole</w:t>
            </w:r>
          </w:p>
        </w:tc>
        <w:tc>
          <w:tcPr>
            <w:tcW w:w="1301" w:type="dxa"/>
          </w:tcPr>
          <w:p w14:paraId="05487148"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bottom w:val="nil"/>
              <w:right w:val="nil"/>
            </w:tcBorders>
          </w:tcPr>
          <w:p w14:paraId="472E913A" w14:textId="77777777" w:rsidR="005F589A" w:rsidRPr="00B01F9E" w:rsidRDefault="005F589A" w:rsidP="00BB5CA6">
            <w:pPr>
              <w:rPr>
                <w:rFonts w:ascii="Arial" w:hAnsi="Arial" w:cs="Arial"/>
                <w:sz w:val="20"/>
                <w:szCs w:val="20"/>
              </w:rPr>
            </w:pPr>
          </w:p>
        </w:tc>
        <w:tc>
          <w:tcPr>
            <w:tcW w:w="1710" w:type="dxa"/>
            <w:tcBorders>
              <w:top w:val="nil"/>
              <w:left w:val="nil"/>
              <w:bottom w:val="nil"/>
              <w:right w:val="nil"/>
            </w:tcBorders>
          </w:tcPr>
          <w:p w14:paraId="60862F24" w14:textId="77777777" w:rsidR="005F589A" w:rsidRPr="00B01F9E" w:rsidRDefault="005F589A" w:rsidP="00BB5CA6">
            <w:pPr>
              <w:rPr>
                <w:rFonts w:ascii="Arial" w:hAnsi="Arial" w:cs="Arial"/>
                <w:sz w:val="20"/>
                <w:szCs w:val="20"/>
              </w:rPr>
            </w:pPr>
          </w:p>
        </w:tc>
        <w:tc>
          <w:tcPr>
            <w:tcW w:w="1284" w:type="dxa"/>
            <w:tcBorders>
              <w:top w:val="nil"/>
              <w:left w:val="nil"/>
              <w:bottom w:val="nil"/>
            </w:tcBorders>
          </w:tcPr>
          <w:p w14:paraId="16CB6673" w14:textId="77777777" w:rsidR="005F589A" w:rsidRPr="00B01F9E" w:rsidRDefault="005F589A" w:rsidP="00BB5CA6">
            <w:pPr>
              <w:rPr>
                <w:rFonts w:ascii="Arial" w:hAnsi="Arial" w:cs="Arial"/>
                <w:sz w:val="20"/>
                <w:szCs w:val="20"/>
              </w:rPr>
            </w:pPr>
          </w:p>
        </w:tc>
      </w:tr>
      <w:tr w:rsidR="005F589A" w:rsidRPr="00B01F9E" w14:paraId="542885D2" w14:textId="77777777" w:rsidTr="00BB5CA6">
        <w:trPr>
          <w:trHeight w:val="211"/>
        </w:trPr>
        <w:tc>
          <w:tcPr>
            <w:tcW w:w="1291" w:type="dxa"/>
            <w:tcBorders>
              <w:top w:val="nil"/>
            </w:tcBorders>
          </w:tcPr>
          <w:p w14:paraId="13A4B36E" w14:textId="77777777" w:rsidR="005F589A" w:rsidRPr="00B01F9E" w:rsidRDefault="005F589A" w:rsidP="00BB5CA6">
            <w:pPr>
              <w:rPr>
                <w:rFonts w:ascii="Arial" w:hAnsi="Arial" w:cs="Arial"/>
                <w:sz w:val="20"/>
                <w:szCs w:val="20"/>
              </w:rPr>
            </w:pPr>
          </w:p>
        </w:tc>
        <w:tc>
          <w:tcPr>
            <w:tcW w:w="2158" w:type="dxa"/>
          </w:tcPr>
          <w:p w14:paraId="308444C0" w14:textId="77777777" w:rsidR="005F589A" w:rsidRPr="00B01F9E" w:rsidRDefault="005F589A" w:rsidP="00BB5CA6">
            <w:pPr>
              <w:rPr>
                <w:rFonts w:ascii="Arial" w:hAnsi="Arial" w:cs="Arial"/>
                <w:sz w:val="20"/>
                <w:szCs w:val="20"/>
              </w:rPr>
            </w:pPr>
            <w:r w:rsidRPr="00B01F9E">
              <w:rPr>
                <w:rFonts w:ascii="Arial" w:hAnsi="Arial" w:cs="Arial"/>
                <w:sz w:val="20"/>
                <w:szCs w:val="20"/>
              </w:rPr>
              <w:t>Vancomycin</w:t>
            </w:r>
          </w:p>
        </w:tc>
        <w:tc>
          <w:tcPr>
            <w:tcW w:w="1301" w:type="dxa"/>
          </w:tcPr>
          <w:p w14:paraId="5D4E3FA8" w14:textId="77777777" w:rsidR="005F589A" w:rsidRPr="00B01F9E" w:rsidRDefault="005F589A" w:rsidP="00BB5CA6">
            <w:pPr>
              <w:rPr>
                <w:rFonts w:ascii="Arial" w:hAnsi="Arial" w:cs="Arial"/>
                <w:sz w:val="20"/>
                <w:szCs w:val="20"/>
              </w:rPr>
            </w:pPr>
            <w:r w:rsidRPr="00B01F9E">
              <w:rPr>
                <w:rFonts w:ascii="Arial" w:hAnsi="Arial" w:cs="Arial"/>
                <w:sz w:val="20"/>
                <w:szCs w:val="20"/>
              </w:rPr>
              <w:t>Ordinal</w:t>
            </w:r>
          </w:p>
        </w:tc>
        <w:tc>
          <w:tcPr>
            <w:tcW w:w="1616" w:type="dxa"/>
            <w:tcBorders>
              <w:top w:val="nil"/>
              <w:right w:val="nil"/>
            </w:tcBorders>
          </w:tcPr>
          <w:p w14:paraId="1DECFBEE" w14:textId="77777777" w:rsidR="005F589A" w:rsidRPr="00B01F9E" w:rsidRDefault="005F589A" w:rsidP="00BB5CA6">
            <w:pPr>
              <w:rPr>
                <w:rFonts w:ascii="Arial" w:hAnsi="Arial" w:cs="Arial"/>
                <w:sz w:val="20"/>
                <w:szCs w:val="20"/>
              </w:rPr>
            </w:pPr>
          </w:p>
        </w:tc>
        <w:tc>
          <w:tcPr>
            <w:tcW w:w="1710" w:type="dxa"/>
            <w:tcBorders>
              <w:top w:val="nil"/>
              <w:left w:val="nil"/>
              <w:right w:val="nil"/>
            </w:tcBorders>
          </w:tcPr>
          <w:p w14:paraId="2789A285" w14:textId="77777777" w:rsidR="005F589A" w:rsidRPr="00B01F9E" w:rsidRDefault="005F589A" w:rsidP="00BB5CA6">
            <w:pPr>
              <w:rPr>
                <w:rFonts w:ascii="Arial" w:hAnsi="Arial" w:cs="Arial"/>
                <w:sz w:val="20"/>
                <w:szCs w:val="20"/>
              </w:rPr>
            </w:pPr>
          </w:p>
        </w:tc>
        <w:tc>
          <w:tcPr>
            <w:tcW w:w="1284" w:type="dxa"/>
            <w:tcBorders>
              <w:top w:val="nil"/>
              <w:left w:val="nil"/>
            </w:tcBorders>
          </w:tcPr>
          <w:p w14:paraId="662C7F9D" w14:textId="77777777" w:rsidR="005F589A" w:rsidRPr="00B01F9E" w:rsidRDefault="005F589A" w:rsidP="00BB5CA6">
            <w:pPr>
              <w:rPr>
                <w:rFonts w:ascii="Arial" w:hAnsi="Arial" w:cs="Arial"/>
                <w:sz w:val="20"/>
                <w:szCs w:val="20"/>
              </w:rPr>
            </w:pPr>
          </w:p>
        </w:tc>
      </w:tr>
    </w:tbl>
    <w:p w14:paraId="0BEE299A" w14:textId="017103B6" w:rsidR="00772863" w:rsidRPr="00B01F9E" w:rsidRDefault="00772863" w:rsidP="002B6054">
      <w:pPr>
        <w:spacing w:before="120" w:after="120"/>
        <w:rPr>
          <w:rFonts w:ascii="Arial" w:hAnsi="Arial" w:cs="Arial"/>
          <w:sz w:val="20"/>
          <w:szCs w:val="20"/>
        </w:rPr>
      </w:pPr>
      <w:r w:rsidRPr="00B01F9E">
        <w:rPr>
          <w:rFonts w:ascii="Arial" w:hAnsi="Arial" w:cs="Arial"/>
          <w:b/>
          <w:bCs/>
          <w:sz w:val="20"/>
          <w:szCs w:val="20"/>
        </w:rPr>
        <w:t xml:space="preserve">Result Interface Build Requirements: </w:t>
      </w:r>
      <w:r w:rsidRPr="00B01F9E">
        <w:rPr>
          <w:rFonts w:ascii="Arial" w:hAnsi="Arial" w:cs="Arial"/>
          <w:sz w:val="20"/>
          <w:szCs w:val="20"/>
        </w:rPr>
        <w:t xml:space="preserve">There is a need to be able to send proficiency testing results from the LIS to participate in the proposed QA program. </w:t>
      </w:r>
    </w:p>
    <w:p w14:paraId="7BC029DD" w14:textId="77777777" w:rsidR="00772863" w:rsidRPr="00B01F9E" w:rsidRDefault="00772863" w:rsidP="5F3E67D5">
      <w:pPr>
        <w:spacing w:after="120"/>
        <w:rPr>
          <w:rFonts w:ascii="Arial" w:hAnsi="Arial" w:cs="Arial"/>
          <w:sz w:val="20"/>
          <w:szCs w:val="20"/>
        </w:rPr>
      </w:pPr>
      <w:r w:rsidRPr="00B01F9E">
        <w:rPr>
          <w:rFonts w:ascii="Arial" w:hAnsi="Arial" w:cs="Arial"/>
          <w:sz w:val="20"/>
          <w:szCs w:val="20"/>
        </w:rPr>
        <w:t xml:space="preserve">In Epic Beaker, the initial build requires the creation of a record known as a “non-participating submitter”. Submitters in the system may be considered “clients” of the laboratory, where tests are ordered on specimens submitted by an external provider who is not considered part of the healthcare system (in this case, the CAP). They are accessioned into the LIS for identification, ordering, and testing workflows. The term “non-participating” indicates a particular “patient” type, where the orders and test results for the specimen do not transfer into a regular Epic chart but remain accessible only within the Beaker LIS. In the Epic system, such patient types are known as Requisition Grouper (RQG) types. They are created using the laboratory function “requisition entry” with a non-participating submitter within the Beaker LIS. </w:t>
      </w:r>
    </w:p>
    <w:p w14:paraId="1612EDC3" w14:textId="55B1701D" w:rsidR="00772863" w:rsidRPr="00B01F9E" w:rsidRDefault="00772863" w:rsidP="5F3E67D5">
      <w:pPr>
        <w:spacing w:after="120"/>
        <w:rPr>
          <w:rFonts w:ascii="Arial" w:hAnsi="Arial" w:cs="Arial"/>
          <w:sz w:val="20"/>
          <w:szCs w:val="20"/>
        </w:rPr>
      </w:pPr>
      <w:r w:rsidRPr="00B01F9E">
        <w:rPr>
          <w:rFonts w:ascii="Arial" w:hAnsi="Arial" w:cs="Arial"/>
          <w:sz w:val="20"/>
          <w:szCs w:val="20"/>
        </w:rPr>
        <w:t xml:space="preserve">The alternate patient type in Epic is an Enterprise Patient (EPT), which is a patient whose registration, test results, and other patient records are stored in </w:t>
      </w:r>
      <w:r w:rsidR="000A27F9" w:rsidRPr="00B01F9E">
        <w:rPr>
          <w:rFonts w:ascii="Arial" w:hAnsi="Arial" w:cs="Arial"/>
          <w:sz w:val="20"/>
          <w:szCs w:val="20"/>
        </w:rPr>
        <w:t>the</w:t>
      </w:r>
      <w:r w:rsidRPr="00B01F9E">
        <w:rPr>
          <w:rFonts w:ascii="Arial" w:hAnsi="Arial" w:cs="Arial"/>
          <w:sz w:val="20"/>
          <w:szCs w:val="20"/>
        </w:rPr>
        <w:t xml:space="preserve"> Epic </w:t>
      </w:r>
      <w:r w:rsidR="000A27F9" w:rsidRPr="00B01F9E">
        <w:rPr>
          <w:rFonts w:ascii="Arial" w:hAnsi="Arial" w:cs="Arial"/>
          <w:sz w:val="20"/>
          <w:szCs w:val="20"/>
        </w:rPr>
        <w:t>EHR</w:t>
      </w:r>
      <w:r w:rsidRPr="00B01F9E">
        <w:rPr>
          <w:rFonts w:ascii="Arial" w:hAnsi="Arial" w:cs="Arial"/>
          <w:sz w:val="20"/>
          <w:szCs w:val="20"/>
        </w:rPr>
        <w:t>.</w:t>
      </w:r>
      <w:r w:rsidR="006A13F3" w:rsidRPr="00B01F9E">
        <w:rPr>
          <w:rFonts w:ascii="Arial" w:hAnsi="Arial" w:cs="Arial"/>
          <w:sz w:val="20"/>
          <w:szCs w:val="20"/>
        </w:rPr>
        <w:t xml:space="preserve"> </w:t>
      </w:r>
      <w:r w:rsidRPr="00B01F9E">
        <w:rPr>
          <w:rFonts w:ascii="Arial" w:hAnsi="Arial" w:cs="Arial"/>
          <w:sz w:val="20"/>
          <w:szCs w:val="20"/>
        </w:rPr>
        <w:t xml:space="preserve">The interface requires the creation of a proficiency testing submitter used solely for proficiency testing as a non-participating submitter. The Epic interface specifications indicate that the PID 3.6 field of the HL7 result message can identify the type of patient result being sent (EPT or RQG). The </w:t>
      </w:r>
      <w:proofErr w:type="gramStart"/>
      <w:r w:rsidRPr="00B01F9E">
        <w:rPr>
          <w:rFonts w:ascii="Arial" w:hAnsi="Arial" w:cs="Arial"/>
          <w:sz w:val="20"/>
          <w:szCs w:val="20"/>
        </w:rPr>
        <w:t>Duke</w:t>
      </w:r>
      <w:proofErr w:type="gramEnd"/>
      <w:r w:rsidRPr="00B01F9E">
        <w:rPr>
          <w:rFonts w:ascii="Arial" w:hAnsi="Arial" w:cs="Arial"/>
          <w:sz w:val="20"/>
          <w:szCs w:val="20"/>
        </w:rPr>
        <w:t xml:space="preserve"> result interface</w:t>
      </w:r>
      <w:r w:rsidR="6025C0E9" w:rsidRPr="00B01F9E" w:rsidDel="00985941">
        <w:rPr>
          <w:rFonts w:ascii="Arial" w:hAnsi="Arial" w:cs="Arial"/>
          <w:sz w:val="20"/>
          <w:szCs w:val="20"/>
        </w:rPr>
        <w:t xml:space="preserve"> </w:t>
      </w:r>
      <w:r w:rsidR="00985941" w:rsidRPr="00B01F9E">
        <w:rPr>
          <w:rFonts w:ascii="Arial" w:hAnsi="Arial" w:cs="Arial"/>
          <w:sz w:val="20"/>
          <w:szCs w:val="20"/>
        </w:rPr>
        <w:t>did</w:t>
      </w:r>
      <w:r w:rsidRPr="00B01F9E">
        <w:rPr>
          <w:rFonts w:ascii="Arial" w:hAnsi="Arial" w:cs="Arial"/>
          <w:sz w:val="20"/>
          <w:szCs w:val="20"/>
        </w:rPr>
        <w:t xml:space="preserve"> not transmit this information and d</w:t>
      </w:r>
      <w:r w:rsidR="00041F53" w:rsidRPr="00B01F9E">
        <w:rPr>
          <w:rFonts w:ascii="Arial" w:hAnsi="Arial" w:cs="Arial"/>
          <w:sz w:val="20"/>
          <w:szCs w:val="20"/>
        </w:rPr>
        <w:t>id</w:t>
      </w:r>
      <w:r w:rsidRPr="00B01F9E">
        <w:rPr>
          <w:rFonts w:ascii="Arial" w:hAnsi="Arial" w:cs="Arial"/>
          <w:sz w:val="20"/>
          <w:szCs w:val="20"/>
        </w:rPr>
        <w:t xml:space="preserve"> not require it for </w:t>
      </w:r>
      <w:r w:rsidR="6025C0E9" w:rsidRPr="00B01F9E">
        <w:rPr>
          <w:rFonts w:ascii="Arial" w:hAnsi="Arial" w:cs="Arial"/>
          <w:sz w:val="20"/>
          <w:szCs w:val="20"/>
        </w:rPr>
        <w:t>the</w:t>
      </w:r>
      <w:r w:rsidR="001970E8" w:rsidRPr="00B01F9E">
        <w:rPr>
          <w:rFonts w:ascii="Arial" w:hAnsi="Arial" w:cs="Arial"/>
          <w:sz w:val="20"/>
          <w:szCs w:val="20"/>
        </w:rPr>
        <w:t>ir</w:t>
      </w:r>
      <w:r w:rsidRPr="00B01F9E">
        <w:rPr>
          <w:rFonts w:ascii="Arial" w:hAnsi="Arial" w:cs="Arial"/>
          <w:sz w:val="20"/>
          <w:szCs w:val="20"/>
        </w:rPr>
        <w:t xml:space="preserve"> </w:t>
      </w:r>
      <w:r w:rsidR="0089722D" w:rsidRPr="00B01F9E">
        <w:rPr>
          <w:rFonts w:ascii="Arial" w:hAnsi="Arial" w:cs="Arial"/>
          <w:sz w:val="20"/>
          <w:szCs w:val="20"/>
        </w:rPr>
        <w:t>lab</w:t>
      </w:r>
      <w:r w:rsidR="00007D07" w:rsidRPr="00B01F9E">
        <w:rPr>
          <w:rFonts w:ascii="Arial" w:hAnsi="Arial" w:cs="Arial"/>
          <w:sz w:val="20"/>
          <w:szCs w:val="20"/>
        </w:rPr>
        <w:t>oratory</w:t>
      </w:r>
      <w:r w:rsidR="0089722D" w:rsidRPr="00B01F9E">
        <w:rPr>
          <w:rFonts w:ascii="Arial" w:hAnsi="Arial" w:cs="Arial"/>
          <w:sz w:val="20"/>
          <w:szCs w:val="20"/>
        </w:rPr>
        <w:t xml:space="preserve"> result</w:t>
      </w:r>
      <w:r w:rsidR="6025C0E9" w:rsidRPr="00B01F9E" w:rsidDel="000E7D85">
        <w:rPr>
          <w:rFonts w:ascii="Arial" w:hAnsi="Arial" w:cs="Arial"/>
          <w:sz w:val="20"/>
          <w:szCs w:val="20"/>
        </w:rPr>
        <w:t xml:space="preserve"> </w:t>
      </w:r>
      <w:r w:rsidRPr="00B01F9E">
        <w:rPr>
          <w:rFonts w:ascii="Arial" w:hAnsi="Arial" w:cs="Arial"/>
          <w:sz w:val="20"/>
          <w:szCs w:val="20"/>
        </w:rPr>
        <w:t>interface</w:t>
      </w:r>
      <w:r w:rsidR="007B2CCA" w:rsidRPr="00B01F9E">
        <w:rPr>
          <w:rFonts w:ascii="Arial" w:hAnsi="Arial" w:cs="Arial"/>
          <w:sz w:val="20"/>
          <w:szCs w:val="20"/>
        </w:rPr>
        <w:t xml:space="preserve"> (LRI)</w:t>
      </w:r>
      <w:r w:rsidRPr="00B01F9E">
        <w:rPr>
          <w:rFonts w:ascii="Arial" w:hAnsi="Arial" w:cs="Arial"/>
          <w:sz w:val="20"/>
          <w:szCs w:val="20"/>
        </w:rPr>
        <w:t xml:space="preserve">. However, some laboratories utilize this field to indicate the type of patient record being transmitted with the transaction. </w:t>
      </w:r>
      <w:r w:rsidR="00A67DBB" w:rsidRPr="00B01F9E">
        <w:rPr>
          <w:rFonts w:ascii="Arial" w:hAnsi="Arial" w:cs="Arial"/>
          <w:sz w:val="20"/>
          <w:szCs w:val="20"/>
        </w:rPr>
        <w:t>If</w:t>
      </w:r>
      <w:r w:rsidRPr="00B01F9E">
        <w:rPr>
          <w:rFonts w:ascii="Arial" w:hAnsi="Arial" w:cs="Arial"/>
          <w:sz w:val="20"/>
          <w:szCs w:val="20"/>
        </w:rPr>
        <w:t xml:space="preserve"> the interface indicates the result </w:t>
      </w:r>
      <w:r w:rsidR="000F0122" w:rsidRPr="00B01F9E">
        <w:rPr>
          <w:rFonts w:ascii="Arial" w:hAnsi="Arial" w:cs="Arial"/>
          <w:sz w:val="20"/>
          <w:szCs w:val="20"/>
        </w:rPr>
        <w:t xml:space="preserve">is </w:t>
      </w:r>
      <w:r w:rsidRPr="00B01F9E">
        <w:rPr>
          <w:rFonts w:ascii="Arial" w:hAnsi="Arial" w:cs="Arial"/>
          <w:sz w:val="20"/>
          <w:szCs w:val="20"/>
        </w:rPr>
        <w:t>an RQG patient type</w:t>
      </w:r>
      <w:r w:rsidR="00A33FBF" w:rsidRPr="00B01F9E">
        <w:rPr>
          <w:rFonts w:ascii="Arial" w:hAnsi="Arial" w:cs="Arial"/>
          <w:sz w:val="20"/>
          <w:szCs w:val="20"/>
        </w:rPr>
        <w:t>,</w:t>
      </w:r>
      <w:r w:rsidRPr="00B01F9E">
        <w:rPr>
          <w:rFonts w:ascii="Arial" w:hAnsi="Arial" w:cs="Arial"/>
          <w:sz w:val="20"/>
          <w:szCs w:val="20"/>
        </w:rPr>
        <w:t xml:space="preserve"> it </w:t>
      </w:r>
      <w:r w:rsidR="000F0122" w:rsidRPr="00B01F9E">
        <w:rPr>
          <w:rFonts w:ascii="Arial" w:hAnsi="Arial" w:cs="Arial"/>
          <w:sz w:val="20"/>
          <w:szCs w:val="20"/>
        </w:rPr>
        <w:t xml:space="preserve">can </w:t>
      </w:r>
      <w:r w:rsidRPr="00B01F9E">
        <w:rPr>
          <w:rFonts w:ascii="Arial" w:hAnsi="Arial" w:cs="Arial"/>
          <w:sz w:val="20"/>
          <w:szCs w:val="20"/>
        </w:rPr>
        <w:t xml:space="preserve">assist the </w:t>
      </w:r>
      <w:r w:rsidR="00A141DF" w:rsidRPr="00B01F9E">
        <w:rPr>
          <w:rFonts w:ascii="Arial" w:hAnsi="Arial" w:cs="Arial"/>
          <w:sz w:val="20"/>
          <w:szCs w:val="20"/>
        </w:rPr>
        <w:t>quality organization</w:t>
      </w:r>
      <w:r w:rsidR="00635771" w:rsidRPr="00B01F9E">
        <w:rPr>
          <w:rFonts w:ascii="Arial" w:hAnsi="Arial" w:cs="Arial"/>
          <w:sz w:val="20"/>
          <w:szCs w:val="20"/>
        </w:rPr>
        <w:t xml:space="preserve"> </w:t>
      </w:r>
      <w:r w:rsidRPr="00B01F9E">
        <w:rPr>
          <w:rFonts w:ascii="Arial" w:hAnsi="Arial" w:cs="Arial"/>
          <w:sz w:val="20"/>
          <w:szCs w:val="20"/>
        </w:rPr>
        <w:t xml:space="preserve">system’s </w:t>
      </w:r>
      <w:r w:rsidR="000F0122" w:rsidRPr="00B01F9E">
        <w:rPr>
          <w:rFonts w:ascii="Arial" w:hAnsi="Arial" w:cs="Arial"/>
          <w:sz w:val="20"/>
          <w:szCs w:val="20"/>
        </w:rPr>
        <w:t>ability to identify</w:t>
      </w:r>
      <w:r w:rsidRPr="00B01F9E" w:rsidDel="000F0122">
        <w:rPr>
          <w:rFonts w:ascii="Arial" w:hAnsi="Arial" w:cs="Arial"/>
          <w:sz w:val="20"/>
          <w:szCs w:val="20"/>
        </w:rPr>
        <w:t xml:space="preserve"> </w:t>
      </w:r>
      <w:r w:rsidRPr="00B01F9E">
        <w:rPr>
          <w:rFonts w:ascii="Arial" w:hAnsi="Arial" w:cs="Arial"/>
          <w:sz w:val="20"/>
          <w:szCs w:val="20"/>
        </w:rPr>
        <w:t xml:space="preserve">an </w:t>
      </w:r>
      <w:r w:rsidRPr="00B01F9E">
        <w:rPr>
          <w:rFonts w:ascii="Arial" w:hAnsi="Arial" w:cs="Arial"/>
          <w:sz w:val="20"/>
          <w:szCs w:val="20"/>
        </w:rPr>
        <w:lastRenderedPageBreak/>
        <w:t xml:space="preserve">accidental patient result. </w:t>
      </w:r>
      <w:r w:rsidR="002901BA" w:rsidRPr="00B01F9E">
        <w:rPr>
          <w:rFonts w:ascii="Arial" w:hAnsi="Arial" w:cs="Arial"/>
          <w:sz w:val="20"/>
          <w:szCs w:val="20"/>
        </w:rPr>
        <w:t>However, it was not implemented</w:t>
      </w:r>
      <w:r w:rsidR="00A33FBF" w:rsidRPr="00B01F9E">
        <w:rPr>
          <w:rFonts w:ascii="Arial" w:hAnsi="Arial" w:cs="Arial"/>
          <w:sz w:val="20"/>
          <w:szCs w:val="20"/>
        </w:rPr>
        <w:t xml:space="preserve"> for this POC</w:t>
      </w:r>
      <w:r w:rsidR="002901BA" w:rsidRPr="00B01F9E">
        <w:rPr>
          <w:rFonts w:ascii="Arial" w:hAnsi="Arial" w:cs="Arial"/>
          <w:sz w:val="20"/>
          <w:szCs w:val="20"/>
        </w:rPr>
        <w:t>.</w:t>
      </w:r>
      <w:r w:rsidRPr="00B01F9E">
        <w:rPr>
          <w:rFonts w:ascii="Arial" w:hAnsi="Arial" w:cs="Arial"/>
          <w:sz w:val="20"/>
          <w:szCs w:val="20"/>
        </w:rPr>
        <w:t xml:space="preserve"> Below is an example of a PID </w:t>
      </w:r>
      <w:r w:rsidR="000F578D" w:rsidRPr="00B01F9E">
        <w:rPr>
          <w:rFonts w:ascii="Arial" w:hAnsi="Arial" w:cs="Arial"/>
          <w:sz w:val="20"/>
          <w:szCs w:val="20"/>
        </w:rPr>
        <w:t xml:space="preserve">HL7 </w:t>
      </w:r>
      <w:r w:rsidRPr="00B01F9E">
        <w:rPr>
          <w:rFonts w:ascii="Arial" w:hAnsi="Arial" w:cs="Arial"/>
          <w:sz w:val="20"/>
          <w:szCs w:val="20"/>
        </w:rPr>
        <w:t>segment for a non-patient test result</w:t>
      </w:r>
      <w:r w:rsidR="00592AA9" w:rsidRPr="00B01F9E">
        <w:rPr>
          <w:rFonts w:ascii="Arial" w:hAnsi="Arial" w:cs="Arial"/>
          <w:sz w:val="20"/>
          <w:szCs w:val="20"/>
        </w:rPr>
        <w:t xml:space="preserve"> that clearly indicates it is an RQG patient type</w:t>
      </w:r>
      <w:r w:rsidRPr="00B01F9E">
        <w:rPr>
          <w:rFonts w:ascii="Arial" w:hAnsi="Arial" w:cs="Arial"/>
          <w:sz w:val="20"/>
          <w:szCs w:val="20"/>
        </w:rPr>
        <w:t>:</w:t>
      </w:r>
    </w:p>
    <w:p w14:paraId="29A0D4A1" w14:textId="62F44A2B" w:rsidR="005B7A1B" w:rsidRPr="00B01F9E" w:rsidRDefault="009B2F1F" w:rsidP="00DD5F31">
      <w:pPr>
        <w:jc w:val="center"/>
        <w:rPr>
          <w:rFonts w:ascii="Arial" w:hAnsi="Arial" w:cs="Arial"/>
          <w:b/>
          <w:bCs/>
          <w:sz w:val="20"/>
          <w:szCs w:val="20"/>
        </w:rPr>
      </w:pPr>
      <w:r w:rsidRPr="00B01F9E">
        <w:rPr>
          <w:rFonts w:ascii="Arial" w:hAnsi="Arial" w:cs="Arial"/>
          <w:b/>
          <w:bCs/>
          <w:sz w:val="20"/>
          <w:szCs w:val="20"/>
        </w:rPr>
        <w:t>PID|1||97^^^</w:t>
      </w:r>
      <w:r w:rsidR="00D75446" w:rsidRPr="00B01F9E">
        <w:rPr>
          <w:rFonts w:ascii="Arial" w:hAnsi="Arial" w:cs="Arial"/>
          <w:b/>
          <w:bCs/>
          <w:sz w:val="20"/>
          <w:szCs w:val="20"/>
        </w:rPr>
        <w:t>RQG</w:t>
      </w:r>
      <w:r w:rsidRPr="00B01F9E">
        <w:rPr>
          <w:rFonts w:ascii="Arial" w:hAnsi="Arial" w:cs="Arial"/>
          <w:b/>
          <w:bCs/>
          <w:sz w:val="20"/>
          <w:szCs w:val="20"/>
        </w:rPr>
        <w:t>^||STUDY^125^^^^^||19820105|F||||||||||12363||||||||||||N</w:t>
      </w:r>
    </w:p>
    <w:p w14:paraId="0B88D09F" w14:textId="0CCE93D1" w:rsidR="00633777" w:rsidRPr="00B01F9E" w:rsidRDefault="00633777" w:rsidP="5F3E67D5">
      <w:pPr>
        <w:spacing w:after="120"/>
        <w:rPr>
          <w:rFonts w:ascii="Arial" w:hAnsi="Arial" w:cs="Arial"/>
          <w:sz w:val="20"/>
          <w:szCs w:val="20"/>
        </w:rPr>
      </w:pPr>
      <w:r w:rsidRPr="00B01F9E">
        <w:rPr>
          <w:rFonts w:ascii="Arial" w:hAnsi="Arial" w:cs="Arial"/>
          <w:sz w:val="20"/>
          <w:szCs w:val="20"/>
        </w:rPr>
        <w:t>In addition to creating the non-participating submitter for proficiency testing use, the submitter record must allow for custom fields required by the CAP</w:t>
      </w:r>
      <w:r w:rsidR="00B61E70" w:rsidRPr="00B01F9E">
        <w:rPr>
          <w:rFonts w:ascii="Arial" w:hAnsi="Arial" w:cs="Arial"/>
          <w:sz w:val="20"/>
          <w:szCs w:val="20"/>
        </w:rPr>
        <w:t xml:space="preserve"> and other quality organizations</w:t>
      </w:r>
      <w:r w:rsidRPr="00B01F9E">
        <w:rPr>
          <w:rFonts w:ascii="Arial" w:hAnsi="Arial" w:cs="Arial"/>
          <w:sz w:val="20"/>
          <w:szCs w:val="20"/>
        </w:rPr>
        <w:t xml:space="preserve">. These custom fields </w:t>
      </w:r>
      <w:r w:rsidR="00715454" w:rsidRPr="00B01F9E">
        <w:rPr>
          <w:rFonts w:ascii="Arial" w:hAnsi="Arial" w:cs="Arial"/>
          <w:sz w:val="20"/>
          <w:szCs w:val="20"/>
        </w:rPr>
        <w:t>were</w:t>
      </w:r>
      <w:r w:rsidRPr="00B01F9E">
        <w:rPr>
          <w:rFonts w:ascii="Arial" w:hAnsi="Arial" w:cs="Arial"/>
          <w:sz w:val="20"/>
          <w:szCs w:val="20"/>
        </w:rPr>
        <w:t xml:space="preserve"> used </w:t>
      </w:r>
      <w:r w:rsidR="00731FC7" w:rsidRPr="00B01F9E">
        <w:rPr>
          <w:rFonts w:ascii="Arial" w:hAnsi="Arial" w:cs="Arial"/>
          <w:sz w:val="20"/>
          <w:szCs w:val="20"/>
        </w:rPr>
        <w:t>in the POC</w:t>
      </w:r>
      <w:r w:rsidRPr="00B01F9E">
        <w:rPr>
          <w:rFonts w:ascii="Arial" w:hAnsi="Arial" w:cs="Arial"/>
          <w:sz w:val="20"/>
          <w:szCs w:val="20"/>
        </w:rPr>
        <w:t xml:space="preserve"> to capture the CAP Number, the CAP Kit ID, and the CAP Specimen ID, which identif</w:t>
      </w:r>
      <w:r w:rsidR="005D636A" w:rsidRPr="00B01F9E">
        <w:rPr>
          <w:rFonts w:ascii="Arial" w:hAnsi="Arial" w:cs="Arial"/>
          <w:sz w:val="20"/>
          <w:szCs w:val="20"/>
        </w:rPr>
        <w:t>ied</w:t>
      </w:r>
      <w:r w:rsidRPr="00B01F9E">
        <w:rPr>
          <w:rFonts w:ascii="Arial" w:hAnsi="Arial" w:cs="Arial"/>
          <w:sz w:val="20"/>
          <w:szCs w:val="20"/>
        </w:rPr>
        <w:t xml:space="preserve"> the laboratory and </w:t>
      </w:r>
      <w:r w:rsidR="00665DB9" w:rsidRPr="00B01F9E">
        <w:rPr>
          <w:rFonts w:ascii="Arial" w:hAnsi="Arial" w:cs="Arial"/>
          <w:sz w:val="20"/>
          <w:szCs w:val="20"/>
        </w:rPr>
        <w:t xml:space="preserve">mock </w:t>
      </w:r>
      <w:r w:rsidRPr="00B01F9E">
        <w:rPr>
          <w:rFonts w:ascii="Arial" w:hAnsi="Arial" w:cs="Arial"/>
          <w:sz w:val="20"/>
          <w:szCs w:val="20"/>
        </w:rPr>
        <w:t xml:space="preserve">proficiency testing survey sample result being sent to the CAP. The result interface sending </w:t>
      </w:r>
      <w:r w:rsidR="0059314A" w:rsidRPr="00B01F9E">
        <w:rPr>
          <w:rFonts w:ascii="Arial" w:hAnsi="Arial" w:cs="Arial"/>
          <w:sz w:val="20"/>
          <w:szCs w:val="20"/>
        </w:rPr>
        <w:t>the test result data</w:t>
      </w:r>
      <w:r w:rsidRPr="00B01F9E">
        <w:rPr>
          <w:rFonts w:ascii="Arial" w:hAnsi="Arial" w:cs="Arial"/>
          <w:sz w:val="20"/>
          <w:szCs w:val="20"/>
        </w:rPr>
        <w:t xml:space="preserve"> to the </w:t>
      </w:r>
      <w:r w:rsidR="00ED0342" w:rsidRPr="00B01F9E">
        <w:rPr>
          <w:rFonts w:ascii="Arial" w:hAnsi="Arial" w:cs="Arial"/>
          <w:sz w:val="20"/>
          <w:szCs w:val="20"/>
        </w:rPr>
        <w:t>quality organ</w:t>
      </w:r>
      <w:r w:rsidR="0059314A" w:rsidRPr="00B01F9E">
        <w:rPr>
          <w:rFonts w:ascii="Arial" w:hAnsi="Arial" w:cs="Arial"/>
          <w:sz w:val="20"/>
          <w:szCs w:val="20"/>
        </w:rPr>
        <w:t>ization</w:t>
      </w:r>
      <w:r w:rsidR="00ED0342" w:rsidRPr="00B01F9E">
        <w:rPr>
          <w:rFonts w:ascii="Arial" w:hAnsi="Arial" w:cs="Arial"/>
          <w:sz w:val="20"/>
          <w:szCs w:val="20"/>
        </w:rPr>
        <w:t xml:space="preserve"> </w:t>
      </w:r>
      <w:r w:rsidRPr="00B01F9E">
        <w:rPr>
          <w:rFonts w:ascii="Arial" w:hAnsi="Arial" w:cs="Arial"/>
          <w:sz w:val="20"/>
          <w:szCs w:val="20"/>
        </w:rPr>
        <w:t xml:space="preserve">must also </w:t>
      </w:r>
      <w:r w:rsidR="008C3CC7" w:rsidRPr="00B01F9E">
        <w:rPr>
          <w:rFonts w:ascii="Arial" w:hAnsi="Arial" w:cs="Arial"/>
          <w:sz w:val="20"/>
          <w:szCs w:val="20"/>
        </w:rPr>
        <w:t>include</w:t>
      </w:r>
      <w:r w:rsidRPr="00B01F9E">
        <w:rPr>
          <w:rFonts w:ascii="Arial" w:hAnsi="Arial" w:cs="Arial"/>
          <w:sz w:val="20"/>
          <w:szCs w:val="20"/>
        </w:rPr>
        <w:t xml:space="preserve"> this information within the HL7 message. See Table 3 below for the HL7 segments utilized for this purpose.</w:t>
      </w:r>
    </w:p>
    <w:p w14:paraId="1AB8239A" w14:textId="75AC39BC" w:rsidR="00633777" w:rsidRPr="00B01F9E" w:rsidRDefault="00633777" w:rsidP="5F3E67D5">
      <w:pPr>
        <w:spacing w:after="120"/>
        <w:rPr>
          <w:rFonts w:ascii="Arial" w:hAnsi="Arial" w:cs="Arial"/>
          <w:sz w:val="20"/>
          <w:szCs w:val="20"/>
        </w:rPr>
      </w:pPr>
      <w:r w:rsidRPr="00B01F9E">
        <w:rPr>
          <w:rFonts w:ascii="Arial" w:hAnsi="Arial" w:cs="Arial"/>
          <w:sz w:val="20"/>
          <w:szCs w:val="20"/>
        </w:rPr>
        <w:t xml:space="preserve">The Epic result interface, used to send results from Beaker, is an HL7 v2.5.1 LRI which requires specific settings to allow the electronic transmission of results from an RQG sample, as well as the custom fields required by the </w:t>
      </w:r>
      <w:r w:rsidR="00316918" w:rsidRPr="00B01F9E">
        <w:rPr>
          <w:rFonts w:ascii="Arial" w:hAnsi="Arial" w:cs="Arial"/>
          <w:sz w:val="20"/>
          <w:szCs w:val="20"/>
        </w:rPr>
        <w:t>quality organization</w:t>
      </w:r>
      <w:r w:rsidRPr="00B01F9E">
        <w:rPr>
          <w:rFonts w:ascii="Arial" w:hAnsi="Arial" w:cs="Arial"/>
          <w:sz w:val="20"/>
          <w:szCs w:val="20"/>
        </w:rPr>
        <w:t>. Additionally, there are several other attributes which must be sent with the test results that contain additional LIDR elements. The result interface utilizes Epic profile variables</w:t>
      </w:r>
      <w:r w:rsidR="12C99522" w:rsidRPr="00B01F9E">
        <w:rPr>
          <w:rFonts w:ascii="Arial" w:hAnsi="Arial" w:cs="Arial"/>
          <w:sz w:val="20"/>
          <w:szCs w:val="20"/>
        </w:rPr>
        <w:t>,</w:t>
      </w:r>
      <w:r w:rsidRPr="00B01F9E">
        <w:rPr>
          <w:rFonts w:ascii="Arial" w:hAnsi="Arial" w:cs="Arial"/>
          <w:sz w:val="20"/>
          <w:szCs w:val="20"/>
        </w:rPr>
        <w:t xml:space="preserve"> which control what results are transmitted and how. The LIDR elements specified to be sent in the HL7 segments are indicated in Table 3 below. </w:t>
      </w:r>
    </w:p>
    <w:p w14:paraId="253A9B7F" w14:textId="5B7FC961" w:rsidR="00633777" w:rsidRPr="00B01F9E" w:rsidRDefault="00633777" w:rsidP="00072C0B">
      <w:pPr>
        <w:spacing w:after="120" w:line="280" w:lineRule="atLeast"/>
        <w:rPr>
          <w:rFonts w:ascii="Arial" w:eastAsia="Cambria" w:hAnsi="Arial" w:cs="Arial"/>
          <w:sz w:val="20"/>
          <w:szCs w:val="20"/>
        </w:rPr>
      </w:pPr>
      <w:r w:rsidRPr="00B01F9E">
        <w:rPr>
          <w:rFonts w:ascii="Arial" w:hAnsi="Arial" w:cs="Arial"/>
          <w:sz w:val="20"/>
          <w:szCs w:val="20"/>
        </w:rPr>
        <w:t xml:space="preserve">Because the interface settings are complex and </w:t>
      </w:r>
      <w:r w:rsidR="001635E4" w:rsidRPr="00B01F9E">
        <w:rPr>
          <w:rFonts w:ascii="Arial" w:hAnsi="Arial" w:cs="Arial"/>
          <w:sz w:val="20"/>
          <w:szCs w:val="20"/>
        </w:rPr>
        <w:t xml:space="preserve">require </w:t>
      </w:r>
      <w:r w:rsidR="009A31F5" w:rsidRPr="00B01F9E">
        <w:rPr>
          <w:rFonts w:ascii="Arial" w:hAnsi="Arial" w:cs="Arial"/>
          <w:sz w:val="20"/>
          <w:szCs w:val="20"/>
        </w:rPr>
        <w:t xml:space="preserve">the system analysts to be </w:t>
      </w:r>
      <w:r w:rsidR="001635E4" w:rsidRPr="00B01F9E">
        <w:rPr>
          <w:rFonts w:ascii="Arial" w:hAnsi="Arial" w:cs="Arial"/>
          <w:sz w:val="20"/>
          <w:szCs w:val="20"/>
        </w:rPr>
        <w:t>certifi</w:t>
      </w:r>
      <w:r w:rsidR="009A31F5" w:rsidRPr="00B01F9E">
        <w:rPr>
          <w:rFonts w:ascii="Arial" w:hAnsi="Arial" w:cs="Arial"/>
          <w:sz w:val="20"/>
          <w:szCs w:val="20"/>
        </w:rPr>
        <w:t>ed</w:t>
      </w:r>
      <w:r w:rsidR="001635E4" w:rsidRPr="00B01F9E">
        <w:rPr>
          <w:rFonts w:ascii="Arial" w:hAnsi="Arial" w:cs="Arial"/>
          <w:sz w:val="20"/>
          <w:szCs w:val="20"/>
        </w:rPr>
        <w:t xml:space="preserve"> in Epic, </w:t>
      </w:r>
      <w:r w:rsidR="00227664" w:rsidRPr="00B01F9E">
        <w:rPr>
          <w:rFonts w:ascii="Arial" w:hAnsi="Arial" w:cs="Arial"/>
          <w:sz w:val="20"/>
          <w:szCs w:val="20"/>
        </w:rPr>
        <w:t xml:space="preserve">Epic </w:t>
      </w:r>
      <w:r w:rsidR="009A31F5" w:rsidRPr="00B01F9E">
        <w:rPr>
          <w:rFonts w:ascii="Arial" w:hAnsi="Arial" w:cs="Arial"/>
          <w:sz w:val="20"/>
          <w:szCs w:val="20"/>
        </w:rPr>
        <w:t xml:space="preserve">customers can obtain access to the instructions utilizing </w:t>
      </w:r>
      <w:r w:rsidR="00FA08C2" w:rsidRPr="00B01F9E">
        <w:rPr>
          <w:rFonts w:ascii="Arial" w:hAnsi="Arial" w:cs="Arial"/>
          <w:sz w:val="20"/>
          <w:szCs w:val="20"/>
        </w:rPr>
        <w:t>the</w:t>
      </w:r>
      <w:r w:rsidR="00FA08C2" w:rsidRPr="00B01F9E">
        <w:rPr>
          <w:rFonts w:ascii="Arial" w:eastAsia="Cambria" w:hAnsi="Arial" w:cs="Arial"/>
          <w:sz w:val="20"/>
          <w:szCs w:val="20"/>
        </w:rPr>
        <w:t xml:space="preserve"> Sherlock Checklist Template 1904. </w:t>
      </w:r>
      <w:r w:rsidR="00086CCF" w:rsidRPr="00B01F9E">
        <w:rPr>
          <w:rFonts w:ascii="Arial" w:eastAsia="Cambria" w:hAnsi="Arial" w:cs="Arial"/>
          <w:sz w:val="20"/>
          <w:szCs w:val="20"/>
        </w:rPr>
        <w:t xml:space="preserve">Epic customers can </w:t>
      </w:r>
      <w:r w:rsidR="00FA08C2" w:rsidRPr="00B01F9E">
        <w:rPr>
          <w:rFonts w:ascii="Arial" w:eastAsia="Cambria" w:hAnsi="Arial" w:cs="Arial"/>
          <w:sz w:val="20"/>
          <w:szCs w:val="20"/>
        </w:rPr>
        <w:t xml:space="preserve">follow this link to make a copy that is specific </w:t>
      </w:r>
      <w:r w:rsidR="00E87F9C" w:rsidRPr="00B01F9E">
        <w:rPr>
          <w:rFonts w:ascii="Arial" w:eastAsia="Cambria" w:hAnsi="Arial" w:cs="Arial"/>
          <w:sz w:val="20"/>
          <w:szCs w:val="20"/>
        </w:rPr>
        <w:t xml:space="preserve">to </w:t>
      </w:r>
      <w:r w:rsidR="00086CCF" w:rsidRPr="00B01F9E">
        <w:rPr>
          <w:rFonts w:ascii="Arial" w:eastAsia="Cambria" w:hAnsi="Arial" w:cs="Arial"/>
          <w:sz w:val="20"/>
          <w:szCs w:val="20"/>
        </w:rPr>
        <w:t>their</w:t>
      </w:r>
      <w:r w:rsidR="00FA08C2" w:rsidRPr="00B01F9E">
        <w:rPr>
          <w:rFonts w:ascii="Arial" w:eastAsia="Cambria" w:hAnsi="Arial" w:cs="Arial"/>
          <w:sz w:val="20"/>
          <w:szCs w:val="20"/>
        </w:rPr>
        <w:t xml:space="preserve"> site: </w:t>
      </w:r>
      <w:hyperlink r:id="rId19" w:anchor="id=1904" w:history="1">
        <w:r w:rsidR="00974BB2" w:rsidRPr="00B01F9E">
          <w:rPr>
            <w:rStyle w:val="Hyperlink"/>
            <w:rFonts w:ascii="Arial" w:eastAsia="Cambria" w:hAnsi="Arial" w:cs="Arial"/>
            <w:sz w:val="20"/>
            <w:szCs w:val="20"/>
          </w:rPr>
          <w:t>Epic Sherlock Checklist Template 1904</w:t>
        </w:r>
      </w:hyperlink>
      <w:r w:rsidR="004E3661" w:rsidRPr="00B01F9E">
        <w:rPr>
          <w:rFonts w:ascii="Arial" w:eastAsia="Cambria" w:hAnsi="Arial" w:cs="Arial"/>
          <w:sz w:val="20"/>
          <w:szCs w:val="20"/>
        </w:rPr>
        <w:t>.</w:t>
      </w:r>
      <w:r w:rsidR="00974BB2" w:rsidRPr="00B01F9E">
        <w:rPr>
          <w:rFonts w:ascii="Arial" w:eastAsia="Cambria" w:hAnsi="Arial" w:cs="Arial"/>
          <w:sz w:val="20"/>
          <w:szCs w:val="20"/>
        </w:rPr>
        <w:t xml:space="preserve"> </w:t>
      </w:r>
    </w:p>
    <w:p w14:paraId="737B904B" w14:textId="469C87C1" w:rsidR="006517E5" w:rsidRPr="00B01F9E" w:rsidRDefault="006517E5" w:rsidP="5F3E67D5">
      <w:pPr>
        <w:pStyle w:val="Heading5"/>
        <w:spacing w:before="0"/>
        <w:rPr>
          <w:rFonts w:ascii="Arial" w:hAnsi="Arial" w:cs="Arial"/>
          <w:b/>
          <w:color w:val="009BBF"/>
          <w:sz w:val="20"/>
          <w:szCs w:val="20"/>
          <w:u w:val="single"/>
        </w:rPr>
      </w:pPr>
      <w:bookmarkStart w:id="11" w:name="Table_3"/>
      <w:r w:rsidRPr="00B01F9E">
        <w:rPr>
          <w:rFonts w:ascii="Arial" w:hAnsi="Arial" w:cs="Arial"/>
          <w:b/>
          <w:color w:val="009BBF"/>
          <w:sz w:val="20"/>
          <w:szCs w:val="20"/>
        </w:rPr>
        <w:t xml:space="preserve">Table </w:t>
      </w:r>
      <w:r w:rsidR="00D478FA" w:rsidRPr="00B01F9E">
        <w:rPr>
          <w:rFonts w:ascii="Arial" w:hAnsi="Arial" w:cs="Arial"/>
          <w:b/>
          <w:color w:val="009BBF"/>
          <w:sz w:val="20"/>
          <w:szCs w:val="20"/>
        </w:rPr>
        <w:t xml:space="preserve">3: </w:t>
      </w:r>
      <w:bookmarkEnd w:id="11"/>
      <w:r w:rsidRPr="00B01F9E">
        <w:rPr>
          <w:rFonts w:ascii="Arial" w:hAnsi="Arial" w:cs="Arial"/>
          <w:b/>
          <w:color w:val="009BBF"/>
          <w:sz w:val="20"/>
          <w:szCs w:val="20"/>
        </w:rPr>
        <w:t xml:space="preserve">HL7 Segment for LIDR Elements and Final Segments </w:t>
      </w:r>
      <w:proofErr w:type="gramStart"/>
      <w:r w:rsidR="00996825" w:rsidRPr="00B01F9E">
        <w:rPr>
          <w:rFonts w:ascii="Arial" w:hAnsi="Arial" w:cs="Arial"/>
          <w:b/>
          <w:color w:val="009BBF"/>
          <w:sz w:val="20"/>
          <w:szCs w:val="20"/>
        </w:rPr>
        <w:t>F</w:t>
      </w:r>
      <w:r w:rsidRPr="00B01F9E">
        <w:rPr>
          <w:rFonts w:ascii="Arial" w:hAnsi="Arial" w:cs="Arial"/>
          <w:b/>
          <w:color w:val="009BBF"/>
          <w:sz w:val="20"/>
          <w:szCs w:val="20"/>
        </w:rPr>
        <w:t>rom</w:t>
      </w:r>
      <w:proofErr w:type="gramEnd"/>
      <w:r w:rsidRPr="00B01F9E">
        <w:rPr>
          <w:rFonts w:ascii="Arial" w:hAnsi="Arial" w:cs="Arial"/>
          <w:b/>
          <w:color w:val="009BBF"/>
          <w:sz w:val="20"/>
          <w:szCs w:val="20"/>
        </w:rPr>
        <w:t xml:space="preserve"> the Duke Interface Engine</w:t>
      </w:r>
    </w:p>
    <w:tbl>
      <w:tblPr>
        <w:tblStyle w:val="TableGrid"/>
        <w:tblW w:w="0" w:type="auto"/>
        <w:tblInd w:w="-5" w:type="dxa"/>
        <w:tblLook w:val="04A0" w:firstRow="1" w:lastRow="0" w:firstColumn="1" w:lastColumn="0" w:noHBand="0" w:noVBand="1"/>
      </w:tblPr>
      <w:tblGrid>
        <w:gridCol w:w="3456"/>
        <w:gridCol w:w="2637"/>
        <w:gridCol w:w="2637"/>
      </w:tblGrid>
      <w:tr w:rsidR="00292163" w:rsidRPr="00B01F9E" w14:paraId="16AFA44A" w14:textId="77777777" w:rsidTr="003C34F1">
        <w:trPr>
          <w:trHeight w:val="693"/>
        </w:trPr>
        <w:tc>
          <w:tcPr>
            <w:tcW w:w="3456" w:type="dxa"/>
            <w:tcBorders>
              <w:top w:val="single" w:sz="4" w:space="0" w:color="auto"/>
            </w:tcBorders>
          </w:tcPr>
          <w:p w14:paraId="1CA05260" w14:textId="08E4737D" w:rsidR="00292163" w:rsidRPr="00B01F9E" w:rsidRDefault="00292163" w:rsidP="00BB5CA6">
            <w:pPr>
              <w:rPr>
                <w:rFonts w:ascii="Arial" w:hAnsi="Arial" w:cs="Arial"/>
                <w:b/>
                <w:bCs/>
                <w:sz w:val="20"/>
                <w:szCs w:val="20"/>
              </w:rPr>
            </w:pPr>
            <w:r w:rsidRPr="00B01F9E">
              <w:rPr>
                <w:rFonts w:ascii="Arial" w:hAnsi="Arial" w:cs="Arial"/>
                <w:b/>
                <w:bCs/>
                <w:sz w:val="20"/>
                <w:szCs w:val="20"/>
              </w:rPr>
              <w:t>LIDR Data Element</w:t>
            </w:r>
            <w:r w:rsidR="003C34F1" w:rsidRPr="00B01F9E">
              <w:rPr>
                <w:rFonts w:ascii="Arial" w:hAnsi="Arial" w:cs="Arial"/>
                <w:b/>
                <w:bCs/>
                <w:sz w:val="20"/>
                <w:szCs w:val="20"/>
              </w:rPr>
              <w:t xml:space="preserve"> </w:t>
            </w:r>
            <w:r w:rsidRPr="00B01F9E">
              <w:rPr>
                <w:rFonts w:ascii="Arial" w:hAnsi="Arial" w:cs="Arial"/>
                <w:b/>
                <w:bCs/>
                <w:sz w:val="20"/>
                <w:szCs w:val="20"/>
              </w:rPr>
              <w:t>/</w:t>
            </w:r>
            <w:r w:rsidR="003C34F1" w:rsidRPr="00B01F9E">
              <w:rPr>
                <w:rFonts w:ascii="Arial" w:hAnsi="Arial" w:cs="Arial"/>
                <w:b/>
                <w:bCs/>
                <w:sz w:val="20"/>
                <w:szCs w:val="20"/>
              </w:rPr>
              <w:t xml:space="preserve"> </w:t>
            </w:r>
            <w:r w:rsidRPr="00B01F9E">
              <w:rPr>
                <w:rFonts w:ascii="Arial" w:hAnsi="Arial" w:cs="Arial"/>
                <w:b/>
                <w:bCs/>
                <w:sz w:val="20"/>
                <w:szCs w:val="20"/>
              </w:rPr>
              <w:t>Requirement</w:t>
            </w:r>
          </w:p>
        </w:tc>
        <w:tc>
          <w:tcPr>
            <w:tcW w:w="2637" w:type="dxa"/>
            <w:tcBorders>
              <w:top w:val="single" w:sz="4" w:space="0" w:color="auto"/>
            </w:tcBorders>
          </w:tcPr>
          <w:p w14:paraId="4D84FB40" w14:textId="77777777" w:rsidR="00292163" w:rsidRPr="00B01F9E" w:rsidRDefault="00292163" w:rsidP="00BB5CA6">
            <w:pPr>
              <w:rPr>
                <w:rFonts w:ascii="Arial" w:hAnsi="Arial" w:cs="Arial"/>
                <w:b/>
                <w:bCs/>
                <w:sz w:val="20"/>
                <w:szCs w:val="20"/>
              </w:rPr>
            </w:pPr>
            <w:r w:rsidRPr="00B01F9E">
              <w:rPr>
                <w:rFonts w:ascii="Arial" w:hAnsi="Arial" w:cs="Arial"/>
                <w:b/>
                <w:bCs/>
                <w:sz w:val="20"/>
                <w:szCs w:val="20"/>
              </w:rPr>
              <w:t>HL7 Field Utilized by the LIS</w:t>
            </w:r>
          </w:p>
        </w:tc>
        <w:tc>
          <w:tcPr>
            <w:tcW w:w="2637" w:type="dxa"/>
            <w:tcBorders>
              <w:top w:val="single" w:sz="4" w:space="0" w:color="auto"/>
            </w:tcBorders>
          </w:tcPr>
          <w:p w14:paraId="01A79FF1" w14:textId="77777777" w:rsidR="00292163" w:rsidRPr="00B01F9E" w:rsidRDefault="00292163" w:rsidP="00BB5CA6">
            <w:pPr>
              <w:rPr>
                <w:rFonts w:ascii="Arial" w:hAnsi="Arial" w:cs="Arial"/>
                <w:b/>
                <w:bCs/>
                <w:sz w:val="20"/>
                <w:szCs w:val="20"/>
              </w:rPr>
            </w:pPr>
            <w:r w:rsidRPr="00B01F9E">
              <w:rPr>
                <w:rFonts w:ascii="Arial" w:hAnsi="Arial" w:cs="Arial"/>
                <w:b/>
                <w:bCs/>
                <w:sz w:val="20"/>
                <w:szCs w:val="20"/>
              </w:rPr>
              <w:t>HL7 Field Post -Transform by Engine</w:t>
            </w:r>
          </w:p>
        </w:tc>
      </w:tr>
      <w:tr w:rsidR="00292163" w:rsidRPr="00B01F9E" w14:paraId="342B76A3" w14:textId="77777777" w:rsidTr="003C34F1">
        <w:trPr>
          <w:trHeight w:val="216"/>
        </w:trPr>
        <w:tc>
          <w:tcPr>
            <w:tcW w:w="3456" w:type="dxa"/>
          </w:tcPr>
          <w:p w14:paraId="6B3E6626" w14:textId="1111ACC6" w:rsidR="00292163" w:rsidRPr="00B01F9E" w:rsidRDefault="00292163" w:rsidP="00BB5CA6">
            <w:pPr>
              <w:rPr>
                <w:rFonts w:ascii="Arial" w:hAnsi="Arial" w:cs="Arial"/>
                <w:sz w:val="20"/>
                <w:szCs w:val="20"/>
              </w:rPr>
            </w:pPr>
            <w:r w:rsidRPr="00B01F9E">
              <w:rPr>
                <w:rFonts w:ascii="Arial" w:hAnsi="Arial" w:cs="Arial"/>
                <w:sz w:val="20"/>
                <w:szCs w:val="20"/>
              </w:rPr>
              <w:t>Test Ordered LOINC</w:t>
            </w:r>
          </w:p>
        </w:tc>
        <w:tc>
          <w:tcPr>
            <w:tcW w:w="2637" w:type="dxa"/>
          </w:tcPr>
          <w:p w14:paraId="53E1BF25" w14:textId="441154BD" w:rsidR="00292163" w:rsidRPr="00B01F9E" w:rsidRDefault="00292163" w:rsidP="00BB5CA6">
            <w:pPr>
              <w:rPr>
                <w:rFonts w:ascii="Arial" w:hAnsi="Arial" w:cs="Arial"/>
                <w:sz w:val="20"/>
                <w:szCs w:val="20"/>
              </w:rPr>
            </w:pPr>
            <w:r w:rsidRPr="00B01F9E">
              <w:rPr>
                <w:rFonts w:ascii="Arial" w:hAnsi="Arial" w:cs="Arial"/>
                <w:sz w:val="20"/>
                <w:szCs w:val="20"/>
              </w:rPr>
              <w:t>OBR</w:t>
            </w:r>
            <w:r w:rsidR="006303B5" w:rsidRPr="00B01F9E">
              <w:rPr>
                <w:rFonts w:ascii="Arial" w:hAnsi="Arial" w:cs="Arial"/>
                <w:sz w:val="20"/>
                <w:szCs w:val="20"/>
              </w:rPr>
              <w:t>-</w:t>
            </w:r>
            <w:r w:rsidRPr="00B01F9E">
              <w:rPr>
                <w:rFonts w:ascii="Arial" w:hAnsi="Arial" w:cs="Arial"/>
                <w:sz w:val="20"/>
                <w:szCs w:val="20"/>
              </w:rPr>
              <w:t>4</w:t>
            </w:r>
          </w:p>
        </w:tc>
        <w:tc>
          <w:tcPr>
            <w:tcW w:w="2637" w:type="dxa"/>
          </w:tcPr>
          <w:p w14:paraId="166ECFED" w14:textId="67ECC2C8" w:rsidR="00292163" w:rsidRPr="00B01F9E" w:rsidRDefault="00292163" w:rsidP="00BB5CA6">
            <w:pPr>
              <w:rPr>
                <w:rFonts w:ascii="Arial" w:hAnsi="Arial" w:cs="Arial"/>
                <w:sz w:val="20"/>
                <w:szCs w:val="20"/>
              </w:rPr>
            </w:pPr>
            <w:r w:rsidRPr="00B01F9E">
              <w:rPr>
                <w:rFonts w:ascii="Arial" w:hAnsi="Arial" w:cs="Arial"/>
                <w:sz w:val="20"/>
                <w:szCs w:val="20"/>
              </w:rPr>
              <w:t>OBR</w:t>
            </w:r>
            <w:r w:rsidR="006303B5" w:rsidRPr="00B01F9E">
              <w:rPr>
                <w:rFonts w:ascii="Arial" w:hAnsi="Arial" w:cs="Arial"/>
                <w:sz w:val="20"/>
                <w:szCs w:val="20"/>
              </w:rPr>
              <w:t>-</w:t>
            </w:r>
            <w:r w:rsidRPr="00B01F9E">
              <w:rPr>
                <w:rFonts w:ascii="Arial" w:hAnsi="Arial" w:cs="Arial"/>
                <w:sz w:val="20"/>
                <w:szCs w:val="20"/>
              </w:rPr>
              <w:t>4</w:t>
            </w:r>
          </w:p>
        </w:tc>
      </w:tr>
      <w:tr w:rsidR="00292163" w:rsidRPr="00B01F9E" w14:paraId="3EAEFF1F" w14:textId="77777777" w:rsidTr="003C34F1">
        <w:trPr>
          <w:trHeight w:val="216"/>
        </w:trPr>
        <w:tc>
          <w:tcPr>
            <w:tcW w:w="3456" w:type="dxa"/>
          </w:tcPr>
          <w:p w14:paraId="02732642" w14:textId="77777777" w:rsidR="00292163" w:rsidRPr="00B01F9E" w:rsidRDefault="00292163" w:rsidP="00BB5CA6">
            <w:pPr>
              <w:rPr>
                <w:rFonts w:ascii="Arial" w:hAnsi="Arial" w:cs="Arial"/>
                <w:sz w:val="20"/>
                <w:szCs w:val="20"/>
              </w:rPr>
            </w:pPr>
            <w:r w:rsidRPr="00B01F9E">
              <w:rPr>
                <w:rFonts w:ascii="Arial" w:hAnsi="Arial" w:cs="Arial"/>
                <w:sz w:val="20"/>
                <w:szCs w:val="20"/>
              </w:rPr>
              <w:t>Test Performed LOINC</w:t>
            </w:r>
          </w:p>
        </w:tc>
        <w:tc>
          <w:tcPr>
            <w:tcW w:w="2637" w:type="dxa"/>
          </w:tcPr>
          <w:p w14:paraId="168F59B1" w14:textId="00F9509F"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3</w:t>
            </w:r>
          </w:p>
        </w:tc>
        <w:tc>
          <w:tcPr>
            <w:tcW w:w="2637" w:type="dxa"/>
          </w:tcPr>
          <w:p w14:paraId="1470991F" w14:textId="77968EB1"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3</w:t>
            </w:r>
          </w:p>
        </w:tc>
      </w:tr>
      <w:tr w:rsidR="00292163" w:rsidRPr="00B01F9E" w14:paraId="7EAE9E9A" w14:textId="77777777" w:rsidTr="003C34F1">
        <w:trPr>
          <w:trHeight w:val="216"/>
        </w:trPr>
        <w:tc>
          <w:tcPr>
            <w:tcW w:w="3456" w:type="dxa"/>
          </w:tcPr>
          <w:p w14:paraId="5A7E1F54" w14:textId="6E1DD4EC" w:rsidR="00292163" w:rsidRPr="00B01F9E" w:rsidRDefault="00292163" w:rsidP="00BB5CA6">
            <w:pPr>
              <w:rPr>
                <w:rFonts w:ascii="Arial" w:hAnsi="Arial" w:cs="Arial"/>
                <w:sz w:val="20"/>
                <w:szCs w:val="20"/>
              </w:rPr>
            </w:pPr>
            <w:r w:rsidRPr="00B01F9E">
              <w:rPr>
                <w:rFonts w:ascii="Arial" w:hAnsi="Arial" w:cs="Arial"/>
                <w:sz w:val="20"/>
                <w:szCs w:val="20"/>
              </w:rPr>
              <w:t>Specimen Type SNOMED CT</w:t>
            </w:r>
          </w:p>
        </w:tc>
        <w:tc>
          <w:tcPr>
            <w:tcW w:w="2637" w:type="dxa"/>
          </w:tcPr>
          <w:p w14:paraId="3384B5E7" w14:textId="65ED1F93"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4</w:t>
            </w:r>
          </w:p>
        </w:tc>
        <w:tc>
          <w:tcPr>
            <w:tcW w:w="2637" w:type="dxa"/>
          </w:tcPr>
          <w:p w14:paraId="05433756" w14:textId="54E138C5"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4</w:t>
            </w:r>
          </w:p>
        </w:tc>
      </w:tr>
      <w:tr w:rsidR="00292163" w:rsidRPr="00B01F9E" w14:paraId="6D17D52A" w14:textId="77777777" w:rsidTr="003C34F1">
        <w:trPr>
          <w:trHeight w:val="216"/>
        </w:trPr>
        <w:tc>
          <w:tcPr>
            <w:tcW w:w="3456" w:type="dxa"/>
          </w:tcPr>
          <w:p w14:paraId="0C077B46" w14:textId="69B4C461" w:rsidR="00292163" w:rsidRPr="00B01F9E" w:rsidRDefault="00292163" w:rsidP="00BB5CA6">
            <w:pPr>
              <w:rPr>
                <w:rFonts w:ascii="Arial" w:hAnsi="Arial" w:cs="Arial"/>
                <w:sz w:val="20"/>
                <w:szCs w:val="20"/>
              </w:rPr>
            </w:pPr>
            <w:r w:rsidRPr="00B01F9E">
              <w:rPr>
                <w:rFonts w:ascii="Arial" w:hAnsi="Arial" w:cs="Arial"/>
                <w:sz w:val="20"/>
                <w:szCs w:val="20"/>
              </w:rPr>
              <w:t>Specimen Source Site SNOMED</w:t>
            </w:r>
            <w:r w:rsidR="00660AC4" w:rsidRPr="00B01F9E">
              <w:rPr>
                <w:rFonts w:ascii="Arial" w:hAnsi="Arial" w:cs="Arial"/>
                <w:sz w:val="20"/>
                <w:szCs w:val="20"/>
              </w:rPr>
              <w:t xml:space="preserve"> CT</w:t>
            </w:r>
          </w:p>
        </w:tc>
        <w:tc>
          <w:tcPr>
            <w:tcW w:w="2637" w:type="dxa"/>
          </w:tcPr>
          <w:p w14:paraId="1610F3B0" w14:textId="5F4BCCC2"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8</w:t>
            </w:r>
          </w:p>
        </w:tc>
        <w:tc>
          <w:tcPr>
            <w:tcW w:w="2637" w:type="dxa"/>
          </w:tcPr>
          <w:p w14:paraId="236176D0" w14:textId="79FB1D98"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8</w:t>
            </w:r>
          </w:p>
        </w:tc>
      </w:tr>
      <w:tr w:rsidR="00292163" w:rsidRPr="00B01F9E" w14:paraId="2A538ED4" w14:textId="77777777" w:rsidTr="003C34F1">
        <w:trPr>
          <w:trHeight w:val="462"/>
        </w:trPr>
        <w:tc>
          <w:tcPr>
            <w:tcW w:w="3456" w:type="dxa"/>
          </w:tcPr>
          <w:p w14:paraId="465990A9" w14:textId="4305D824" w:rsidR="00292163" w:rsidRPr="00B01F9E" w:rsidRDefault="00292163" w:rsidP="00BB5CA6">
            <w:pPr>
              <w:rPr>
                <w:rFonts w:ascii="Arial" w:hAnsi="Arial" w:cs="Arial"/>
                <w:sz w:val="20"/>
                <w:szCs w:val="20"/>
              </w:rPr>
            </w:pPr>
            <w:r w:rsidRPr="00B01F9E">
              <w:rPr>
                <w:rFonts w:ascii="Arial" w:hAnsi="Arial" w:cs="Arial"/>
                <w:sz w:val="20"/>
                <w:szCs w:val="20"/>
              </w:rPr>
              <w:t>Specimen Collection Method SNOMED</w:t>
            </w:r>
            <w:r w:rsidR="00660AC4" w:rsidRPr="00B01F9E">
              <w:rPr>
                <w:rFonts w:ascii="Arial" w:hAnsi="Arial" w:cs="Arial"/>
                <w:sz w:val="20"/>
                <w:szCs w:val="20"/>
              </w:rPr>
              <w:t xml:space="preserve"> CT</w:t>
            </w:r>
          </w:p>
        </w:tc>
        <w:tc>
          <w:tcPr>
            <w:tcW w:w="2637" w:type="dxa"/>
          </w:tcPr>
          <w:p w14:paraId="750F8C84" w14:textId="31AB385F"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7</w:t>
            </w:r>
          </w:p>
        </w:tc>
        <w:tc>
          <w:tcPr>
            <w:tcW w:w="2637" w:type="dxa"/>
          </w:tcPr>
          <w:p w14:paraId="708E9E15" w14:textId="109E5A93"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7</w:t>
            </w:r>
          </w:p>
        </w:tc>
      </w:tr>
      <w:tr w:rsidR="00292163" w:rsidRPr="00B01F9E" w14:paraId="355A21A1" w14:textId="77777777" w:rsidTr="003C34F1">
        <w:trPr>
          <w:trHeight w:val="216"/>
        </w:trPr>
        <w:tc>
          <w:tcPr>
            <w:tcW w:w="3456" w:type="dxa"/>
          </w:tcPr>
          <w:p w14:paraId="629B36F3" w14:textId="77777777" w:rsidR="00292163" w:rsidRPr="00B01F9E" w:rsidRDefault="00292163" w:rsidP="00BB5CA6">
            <w:pPr>
              <w:rPr>
                <w:rFonts w:ascii="Arial" w:hAnsi="Arial" w:cs="Arial"/>
                <w:color w:val="FF0000"/>
                <w:sz w:val="20"/>
                <w:szCs w:val="20"/>
              </w:rPr>
            </w:pPr>
            <w:r w:rsidRPr="00B01F9E">
              <w:rPr>
                <w:rFonts w:ascii="Arial" w:hAnsi="Arial" w:cs="Arial"/>
                <w:sz w:val="20"/>
                <w:szCs w:val="20"/>
              </w:rPr>
              <w:t>Test Kit UDI</w:t>
            </w:r>
          </w:p>
        </w:tc>
        <w:tc>
          <w:tcPr>
            <w:tcW w:w="2637" w:type="dxa"/>
          </w:tcPr>
          <w:p w14:paraId="7798039B" w14:textId="26056683"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17</w:t>
            </w:r>
          </w:p>
        </w:tc>
        <w:tc>
          <w:tcPr>
            <w:tcW w:w="2637" w:type="dxa"/>
          </w:tcPr>
          <w:p w14:paraId="1DCF50C4" w14:textId="383A7067"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18</w:t>
            </w:r>
          </w:p>
        </w:tc>
      </w:tr>
      <w:tr w:rsidR="00292163" w:rsidRPr="00B01F9E" w14:paraId="12D2D998" w14:textId="77777777" w:rsidTr="003C34F1">
        <w:trPr>
          <w:trHeight w:val="216"/>
        </w:trPr>
        <w:tc>
          <w:tcPr>
            <w:tcW w:w="3456" w:type="dxa"/>
          </w:tcPr>
          <w:p w14:paraId="5DC900B1" w14:textId="77777777" w:rsidR="00292163" w:rsidRPr="00B01F9E" w:rsidRDefault="00292163" w:rsidP="00BB5CA6">
            <w:pPr>
              <w:rPr>
                <w:rFonts w:ascii="Arial" w:hAnsi="Arial" w:cs="Arial"/>
                <w:sz w:val="20"/>
                <w:szCs w:val="20"/>
              </w:rPr>
            </w:pPr>
            <w:r w:rsidRPr="00B01F9E">
              <w:rPr>
                <w:rFonts w:ascii="Arial" w:hAnsi="Arial" w:cs="Arial"/>
                <w:sz w:val="20"/>
                <w:szCs w:val="20"/>
              </w:rPr>
              <w:t>Device UDI</w:t>
            </w:r>
          </w:p>
        </w:tc>
        <w:tc>
          <w:tcPr>
            <w:tcW w:w="2637" w:type="dxa"/>
          </w:tcPr>
          <w:p w14:paraId="032C7307" w14:textId="34F6FDD4"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17</w:t>
            </w:r>
          </w:p>
        </w:tc>
        <w:tc>
          <w:tcPr>
            <w:tcW w:w="2637" w:type="dxa"/>
          </w:tcPr>
          <w:p w14:paraId="5B457629" w14:textId="027482C3"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18</w:t>
            </w:r>
          </w:p>
        </w:tc>
      </w:tr>
      <w:tr w:rsidR="00292163" w:rsidRPr="00B01F9E" w14:paraId="48EB00EF" w14:textId="77777777" w:rsidTr="003C34F1">
        <w:trPr>
          <w:trHeight w:val="216"/>
        </w:trPr>
        <w:tc>
          <w:tcPr>
            <w:tcW w:w="3456" w:type="dxa"/>
          </w:tcPr>
          <w:p w14:paraId="3DF24667" w14:textId="77777777" w:rsidR="00292163" w:rsidRPr="00B01F9E" w:rsidRDefault="00292163" w:rsidP="00BB5CA6">
            <w:pPr>
              <w:rPr>
                <w:rFonts w:ascii="Arial" w:hAnsi="Arial" w:cs="Arial"/>
                <w:sz w:val="20"/>
                <w:szCs w:val="20"/>
              </w:rPr>
            </w:pPr>
            <w:r w:rsidRPr="00B01F9E">
              <w:rPr>
                <w:rFonts w:ascii="Arial" w:hAnsi="Arial" w:cs="Arial"/>
                <w:sz w:val="20"/>
                <w:szCs w:val="20"/>
              </w:rPr>
              <w:t>Numeric result UOM</w:t>
            </w:r>
          </w:p>
        </w:tc>
        <w:tc>
          <w:tcPr>
            <w:tcW w:w="2637" w:type="dxa"/>
          </w:tcPr>
          <w:p w14:paraId="1283C160" w14:textId="4AC93706"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6</w:t>
            </w:r>
          </w:p>
        </w:tc>
        <w:tc>
          <w:tcPr>
            <w:tcW w:w="2637" w:type="dxa"/>
          </w:tcPr>
          <w:p w14:paraId="639E3F30" w14:textId="2450C643"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6</w:t>
            </w:r>
          </w:p>
        </w:tc>
      </w:tr>
      <w:tr w:rsidR="00292163" w:rsidRPr="00B01F9E" w14:paraId="34D6A25C" w14:textId="77777777" w:rsidTr="003C34F1">
        <w:trPr>
          <w:trHeight w:val="216"/>
        </w:trPr>
        <w:tc>
          <w:tcPr>
            <w:tcW w:w="3456" w:type="dxa"/>
          </w:tcPr>
          <w:p w14:paraId="7A8FAB42" w14:textId="1E55C827" w:rsidR="00292163" w:rsidRPr="00B01F9E" w:rsidRDefault="00292163" w:rsidP="00BB5CA6">
            <w:pPr>
              <w:rPr>
                <w:rFonts w:ascii="Arial" w:hAnsi="Arial" w:cs="Arial"/>
                <w:sz w:val="20"/>
                <w:szCs w:val="20"/>
              </w:rPr>
            </w:pPr>
            <w:r w:rsidRPr="00B01F9E">
              <w:rPr>
                <w:rFonts w:ascii="Arial" w:hAnsi="Arial" w:cs="Arial"/>
                <w:sz w:val="20"/>
                <w:szCs w:val="20"/>
              </w:rPr>
              <w:t>Qualitative Result SNOMED</w:t>
            </w:r>
            <w:r w:rsidR="00660AC4" w:rsidRPr="00B01F9E">
              <w:rPr>
                <w:rFonts w:ascii="Arial" w:hAnsi="Arial" w:cs="Arial"/>
                <w:sz w:val="20"/>
                <w:szCs w:val="20"/>
              </w:rPr>
              <w:t xml:space="preserve"> CT</w:t>
            </w:r>
          </w:p>
        </w:tc>
        <w:tc>
          <w:tcPr>
            <w:tcW w:w="2637" w:type="dxa"/>
          </w:tcPr>
          <w:p w14:paraId="74AA0C64" w14:textId="49D2C418"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5</w:t>
            </w:r>
          </w:p>
        </w:tc>
        <w:tc>
          <w:tcPr>
            <w:tcW w:w="2637" w:type="dxa"/>
          </w:tcPr>
          <w:p w14:paraId="3AAA5DA0" w14:textId="35B998B2"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5</w:t>
            </w:r>
          </w:p>
        </w:tc>
      </w:tr>
      <w:tr w:rsidR="00292163" w:rsidRPr="00B01F9E" w14:paraId="3C4E67EB" w14:textId="77777777" w:rsidTr="003C34F1">
        <w:trPr>
          <w:trHeight w:val="216"/>
        </w:trPr>
        <w:tc>
          <w:tcPr>
            <w:tcW w:w="3456" w:type="dxa"/>
          </w:tcPr>
          <w:p w14:paraId="291F7818" w14:textId="77777777" w:rsidR="00292163" w:rsidRPr="00B01F9E" w:rsidRDefault="00292163" w:rsidP="00BB5CA6">
            <w:pPr>
              <w:rPr>
                <w:rFonts w:ascii="Arial" w:hAnsi="Arial" w:cs="Arial"/>
                <w:sz w:val="20"/>
                <w:szCs w:val="20"/>
              </w:rPr>
            </w:pPr>
            <w:r w:rsidRPr="00B01F9E">
              <w:rPr>
                <w:rFonts w:ascii="Arial" w:hAnsi="Arial" w:cs="Arial"/>
                <w:sz w:val="20"/>
                <w:szCs w:val="20"/>
              </w:rPr>
              <w:t>CLIA Identifier</w:t>
            </w:r>
          </w:p>
        </w:tc>
        <w:tc>
          <w:tcPr>
            <w:tcW w:w="2637" w:type="dxa"/>
          </w:tcPr>
          <w:p w14:paraId="374EEDF0" w14:textId="2C23C58C"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23</w:t>
            </w:r>
          </w:p>
        </w:tc>
        <w:tc>
          <w:tcPr>
            <w:tcW w:w="2637" w:type="dxa"/>
          </w:tcPr>
          <w:p w14:paraId="6A0AD305" w14:textId="79AF4DE4" w:rsidR="00292163" w:rsidRPr="00B01F9E" w:rsidRDefault="00292163" w:rsidP="00BB5CA6">
            <w:pPr>
              <w:rPr>
                <w:rFonts w:ascii="Arial" w:hAnsi="Arial" w:cs="Arial"/>
                <w:sz w:val="20"/>
                <w:szCs w:val="20"/>
              </w:rPr>
            </w:pPr>
            <w:r w:rsidRPr="00B01F9E">
              <w:rPr>
                <w:rFonts w:ascii="Arial" w:hAnsi="Arial" w:cs="Arial"/>
                <w:sz w:val="20"/>
                <w:szCs w:val="20"/>
              </w:rPr>
              <w:t>OBX</w:t>
            </w:r>
            <w:r w:rsidR="00163480" w:rsidRPr="00B01F9E">
              <w:rPr>
                <w:rFonts w:ascii="Arial" w:hAnsi="Arial" w:cs="Arial"/>
                <w:sz w:val="20"/>
                <w:szCs w:val="20"/>
              </w:rPr>
              <w:t>-</w:t>
            </w:r>
            <w:r w:rsidRPr="00B01F9E">
              <w:rPr>
                <w:rFonts w:ascii="Arial" w:hAnsi="Arial" w:cs="Arial"/>
                <w:sz w:val="20"/>
                <w:szCs w:val="20"/>
              </w:rPr>
              <w:t>23</w:t>
            </w:r>
          </w:p>
        </w:tc>
      </w:tr>
      <w:tr w:rsidR="00292163" w:rsidRPr="00B01F9E" w14:paraId="12738536" w14:textId="77777777" w:rsidTr="003C34F1">
        <w:trPr>
          <w:trHeight w:val="216"/>
        </w:trPr>
        <w:tc>
          <w:tcPr>
            <w:tcW w:w="3456" w:type="dxa"/>
          </w:tcPr>
          <w:p w14:paraId="26F57AF0" w14:textId="77777777" w:rsidR="00292163" w:rsidRPr="00B01F9E" w:rsidRDefault="00292163" w:rsidP="00BB5CA6">
            <w:pPr>
              <w:rPr>
                <w:rFonts w:ascii="Arial" w:hAnsi="Arial" w:cs="Arial"/>
                <w:sz w:val="20"/>
                <w:szCs w:val="20"/>
              </w:rPr>
            </w:pPr>
            <w:r w:rsidRPr="00B01F9E">
              <w:rPr>
                <w:rFonts w:ascii="Arial" w:hAnsi="Arial" w:cs="Arial"/>
                <w:sz w:val="20"/>
                <w:szCs w:val="20"/>
              </w:rPr>
              <w:t xml:space="preserve">Specimen Disposition SNOMED CT </w:t>
            </w:r>
          </w:p>
        </w:tc>
        <w:tc>
          <w:tcPr>
            <w:tcW w:w="2637" w:type="dxa"/>
          </w:tcPr>
          <w:p w14:paraId="327A177D" w14:textId="735E6060"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24</w:t>
            </w:r>
          </w:p>
        </w:tc>
        <w:tc>
          <w:tcPr>
            <w:tcW w:w="2637" w:type="dxa"/>
          </w:tcPr>
          <w:p w14:paraId="10E3E922" w14:textId="06A43EE3"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24</w:t>
            </w:r>
          </w:p>
        </w:tc>
      </w:tr>
      <w:tr w:rsidR="00292163" w:rsidRPr="00B01F9E" w14:paraId="12606C04" w14:textId="77777777" w:rsidTr="003C34F1">
        <w:trPr>
          <w:trHeight w:val="216"/>
        </w:trPr>
        <w:tc>
          <w:tcPr>
            <w:tcW w:w="3456" w:type="dxa"/>
          </w:tcPr>
          <w:p w14:paraId="74CA2382" w14:textId="77777777" w:rsidR="00292163" w:rsidRPr="00B01F9E" w:rsidRDefault="00292163" w:rsidP="00BB5CA6">
            <w:pPr>
              <w:rPr>
                <w:rFonts w:ascii="Arial" w:hAnsi="Arial" w:cs="Arial"/>
                <w:sz w:val="20"/>
                <w:szCs w:val="20"/>
              </w:rPr>
            </w:pPr>
            <w:r w:rsidRPr="00B01F9E">
              <w:rPr>
                <w:rFonts w:ascii="Arial" w:hAnsi="Arial" w:cs="Arial"/>
                <w:sz w:val="20"/>
                <w:szCs w:val="20"/>
              </w:rPr>
              <w:t>CAP Number</w:t>
            </w:r>
          </w:p>
        </w:tc>
        <w:tc>
          <w:tcPr>
            <w:tcW w:w="2637" w:type="dxa"/>
          </w:tcPr>
          <w:p w14:paraId="09C12997" w14:textId="660D2F41" w:rsidR="00292163" w:rsidRPr="00B01F9E" w:rsidRDefault="00292163" w:rsidP="00BB5CA6">
            <w:pPr>
              <w:rPr>
                <w:rFonts w:ascii="Arial" w:hAnsi="Arial" w:cs="Arial"/>
                <w:sz w:val="20"/>
                <w:szCs w:val="20"/>
              </w:rPr>
            </w:pPr>
            <w:r w:rsidRPr="00B01F9E">
              <w:rPr>
                <w:rFonts w:ascii="Arial" w:hAnsi="Arial" w:cs="Arial"/>
                <w:sz w:val="20"/>
                <w:szCs w:val="20"/>
              </w:rPr>
              <w:t>ZRQ</w:t>
            </w:r>
            <w:r w:rsidR="006303B5" w:rsidRPr="00B01F9E">
              <w:rPr>
                <w:rFonts w:ascii="Arial" w:hAnsi="Arial" w:cs="Arial"/>
                <w:sz w:val="20"/>
                <w:szCs w:val="20"/>
              </w:rPr>
              <w:t>-</w:t>
            </w:r>
            <w:r w:rsidRPr="00B01F9E">
              <w:rPr>
                <w:rFonts w:ascii="Arial" w:hAnsi="Arial" w:cs="Arial"/>
                <w:sz w:val="20"/>
                <w:szCs w:val="20"/>
              </w:rPr>
              <w:t>5</w:t>
            </w:r>
          </w:p>
        </w:tc>
        <w:tc>
          <w:tcPr>
            <w:tcW w:w="2637" w:type="dxa"/>
          </w:tcPr>
          <w:p w14:paraId="526546F8" w14:textId="22DAB193" w:rsidR="00292163" w:rsidRPr="00B01F9E" w:rsidRDefault="00292163" w:rsidP="00BB5CA6">
            <w:pPr>
              <w:rPr>
                <w:rFonts w:ascii="Arial" w:hAnsi="Arial" w:cs="Arial"/>
                <w:sz w:val="20"/>
                <w:szCs w:val="20"/>
              </w:rPr>
            </w:pPr>
            <w:r w:rsidRPr="00B01F9E">
              <w:rPr>
                <w:rFonts w:ascii="Arial" w:hAnsi="Arial" w:cs="Arial"/>
                <w:sz w:val="20"/>
                <w:szCs w:val="20"/>
              </w:rPr>
              <w:t>MSH</w:t>
            </w:r>
            <w:r w:rsidR="006303B5" w:rsidRPr="00B01F9E">
              <w:rPr>
                <w:rFonts w:ascii="Arial" w:hAnsi="Arial" w:cs="Arial"/>
                <w:sz w:val="20"/>
                <w:szCs w:val="20"/>
              </w:rPr>
              <w:t>-</w:t>
            </w:r>
            <w:r w:rsidRPr="00B01F9E">
              <w:rPr>
                <w:rFonts w:ascii="Arial" w:hAnsi="Arial" w:cs="Arial"/>
                <w:sz w:val="20"/>
                <w:szCs w:val="20"/>
              </w:rPr>
              <w:t>4</w:t>
            </w:r>
          </w:p>
        </w:tc>
      </w:tr>
      <w:tr w:rsidR="00292163" w:rsidRPr="00B01F9E" w14:paraId="00A605AC" w14:textId="77777777" w:rsidTr="003C34F1">
        <w:trPr>
          <w:trHeight w:val="216"/>
        </w:trPr>
        <w:tc>
          <w:tcPr>
            <w:tcW w:w="3456" w:type="dxa"/>
          </w:tcPr>
          <w:p w14:paraId="181C99B7" w14:textId="77777777" w:rsidR="00292163" w:rsidRPr="00B01F9E" w:rsidRDefault="00292163" w:rsidP="00BB5CA6">
            <w:pPr>
              <w:rPr>
                <w:rFonts w:ascii="Arial" w:hAnsi="Arial" w:cs="Arial"/>
                <w:sz w:val="20"/>
                <w:szCs w:val="20"/>
              </w:rPr>
            </w:pPr>
            <w:r w:rsidRPr="00B01F9E">
              <w:rPr>
                <w:rFonts w:ascii="Arial" w:hAnsi="Arial" w:cs="Arial"/>
                <w:sz w:val="20"/>
                <w:szCs w:val="20"/>
              </w:rPr>
              <w:t>CAP Kit ID</w:t>
            </w:r>
          </w:p>
        </w:tc>
        <w:tc>
          <w:tcPr>
            <w:tcW w:w="2637" w:type="dxa"/>
          </w:tcPr>
          <w:p w14:paraId="1C41C72B" w14:textId="3ADB0987" w:rsidR="00292163" w:rsidRPr="00B01F9E" w:rsidRDefault="00292163" w:rsidP="00BB5CA6">
            <w:pPr>
              <w:rPr>
                <w:rFonts w:ascii="Arial" w:hAnsi="Arial" w:cs="Arial"/>
                <w:sz w:val="20"/>
                <w:szCs w:val="20"/>
              </w:rPr>
            </w:pPr>
            <w:r w:rsidRPr="00B01F9E">
              <w:rPr>
                <w:rFonts w:ascii="Arial" w:hAnsi="Arial" w:cs="Arial"/>
                <w:sz w:val="20"/>
                <w:szCs w:val="20"/>
              </w:rPr>
              <w:t>ZRQ</w:t>
            </w:r>
            <w:r w:rsidR="006303B5" w:rsidRPr="00B01F9E">
              <w:rPr>
                <w:rFonts w:ascii="Arial" w:hAnsi="Arial" w:cs="Arial"/>
                <w:sz w:val="20"/>
                <w:szCs w:val="20"/>
              </w:rPr>
              <w:t>-</w:t>
            </w:r>
            <w:r w:rsidRPr="00B01F9E">
              <w:rPr>
                <w:rFonts w:ascii="Arial" w:hAnsi="Arial" w:cs="Arial"/>
                <w:sz w:val="20"/>
                <w:szCs w:val="20"/>
              </w:rPr>
              <w:t>5</w:t>
            </w:r>
          </w:p>
        </w:tc>
        <w:tc>
          <w:tcPr>
            <w:tcW w:w="2637" w:type="dxa"/>
          </w:tcPr>
          <w:p w14:paraId="22826D40" w14:textId="00095192" w:rsidR="00292163" w:rsidRPr="00B01F9E" w:rsidRDefault="00292163" w:rsidP="00BB5CA6">
            <w:pPr>
              <w:rPr>
                <w:rFonts w:ascii="Arial" w:hAnsi="Arial" w:cs="Arial"/>
                <w:sz w:val="20"/>
                <w:szCs w:val="20"/>
              </w:rPr>
            </w:pPr>
            <w:r w:rsidRPr="00B01F9E">
              <w:rPr>
                <w:rFonts w:ascii="Arial" w:hAnsi="Arial" w:cs="Arial"/>
                <w:sz w:val="20"/>
                <w:szCs w:val="20"/>
              </w:rPr>
              <w:t>ORC</w:t>
            </w:r>
            <w:r w:rsidR="006303B5" w:rsidRPr="00B01F9E">
              <w:rPr>
                <w:rFonts w:ascii="Arial" w:hAnsi="Arial" w:cs="Arial"/>
                <w:sz w:val="20"/>
                <w:szCs w:val="20"/>
              </w:rPr>
              <w:t>-</w:t>
            </w:r>
            <w:r w:rsidRPr="00B01F9E">
              <w:rPr>
                <w:rFonts w:ascii="Arial" w:hAnsi="Arial" w:cs="Arial"/>
                <w:sz w:val="20"/>
                <w:szCs w:val="20"/>
              </w:rPr>
              <w:t>4</w:t>
            </w:r>
          </w:p>
        </w:tc>
      </w:tr>
      <w:tr w:rsidR="00292163" w:rsidRPr="00B01F9E" w14:paraId="66FAD5DC" w14:textId="77777777" w:rsidTr="003C34F1">
        <w:trPr>
          <w:trHeight w:val="216"/>
        </w:trPr>
        <w:tc>
          <w:tcPr>
            <w:tcW w:w="3456" w:type="dxa"/>
            <w:tcBorders>
              <w:bottom w:val="single" w:sz="4" w:space="0" w:color="auto"/>
            </w:tcBorders>
          </w:tcPr>
          <w:p w14:paraId="7C344DA7" w14:textId="77777777" w:rsidR="00292163" w:rsidRPr="00B01F9E" w:rsidRDefault="00292163" w:rsidP="00BB5CA6">
            <w:pPr>
              <w:rPr>
                <w:rFonts w:ascii="Arial" w:hAnsi="Arial" w:cs="Arial"/>
                <w:sz w:val="20"/>
                <w:szCs w:val="20"/>
              </w:rPr>
            </w:pPr>
            <w:r w:rsidRPr="00B01F9E">
              <w:rPr>
                <w:rFonts w:ascii="Arial" w:hAnsi="Arial" w:cs="Arial"/>
                <w:sz w:val="20"/>
                <w:szCs w:val="20"/>
              </w:rPr>
              <w:t>CAP Specimen ID</w:t>
            </w:r>
          </w:p>
        </w:tc>
        <w:tc>
          <w:tcPr>
            <w:tcW w:w="2637" w:type="dxa"/>
            <w:tcBorders>
              <w:bottom w:val="single" w:sz="4" w:space="0" w:color="auto"/>
            </w:tcBorders>
          </w:tcPr>
          <w:p w14:paraId="7D940C62" w14:textId="008AF322" w:rsidR="00292163" w:rsidRPr="00B01F9E" w:rsidRDefault="00292163" w:rsidP="00BB5CA6">
            <w:pPr>
              <w:rPr>
                <w:rFonts w:ascii="Arial" w:hAnsi="Arial" w:cs="Arial"/>
                <w:sz w:val="20"/>
                <w:szCs w:val="20"/>
              </w:rPr>
            </w:pPr>
            <w:r w:rsidRPr="00B01F9E">
              <w:rPr>
                <w:rFonts w:ascii="Arial" w:hAnsi="Arial" w:cs="Arial"/>
                <w:sz w:val="20"/>
                <w:szCs w:val="20"/>
              </w:rPr>
              <w:t>ZRQ</w:t>
            </w:r>
            <w:r w:rsidR="006303B5" w:rsidRPr="00B01F9E">
              <w:rPr>
                <w:rFonts w:ascii="Arial" w:hAnsi="Arial" w:cs="Arial"/>
                <w:sz w:val="20"/>
                <w:szCs w:val="20"/>
              </w:rPr>
              <w:t>-</w:t>
            </w:r>
            <w:r w:rsidRPr="00B01F9E">
              <w:rPr>
                <w:rFonts w:ascii="Arial" w:hAnsi="Arial" w:cs="Arial"/>
                <w:sz w:val="20"/>
                <w:szCs w:val="20"/>
              </w:rPr>
              <w:t>5</w:t>
            </w:r>
          </w:p>
        </w:tc>
        <w:tc>
          <w:tcPr>
            <w:tcW w:w="2637" w:type="dxa"/>
            <w:tcBorders>
              <w:bottom w:val="single" w:sz="4" w:space="0" w:color="auto"/>
            </w:tcBorders>
          </w:tcPr>
          <w:p w14:paraId="33ABF5A0" w14:textId="6D9E0F74" w:rsidR="00292163" w:rsidRPr="00B01F9E" w:rsidRDefault="00292163" w:rsidP="00BB5CA6">
            <w:pPr>
              <w:rPr>
                <w:rFonts w:ascii="Arial" w:hAnsi="Arial" w:cs="Arial"/>
                <w:sz w:val="20"/>
                <w:szCs w:val="20"/>
              </w:rPr>
            </w:pPr>
            <w:r w:rsidRPr="00B01F9E">
              <w:rPr>
                <w:rFonts w:ascii="Arial" w:hAnsi="Arial" w:cs="Arial"/>
                <w:sz w:val="20"/>
                <w:szCs w:val="20"/>
              </w:rPr>
              <w:t>SPM</w:t>
            </w:r>
            <w:r w:rsidR="006303B5" w:rsidRPr="00B01F9E">
              <w:rPr>
                <w:rFonts w:ascii="Arial" w:hAnsi="Arial" w:cs="Arial"/>
                <w:sz w:val="20"/>
                <w:szCs w:val="20"/>
              </w:rPr>
              <w:t>-</w:t>
            </w:r>
            <w:r w:rsidRPr="00B01F9E">
              <w:rPr>
                <w:rFonts w:ascii="Arial" w:hAnsi="Arial" w:cs="Arial"/>
                <w:sz w:val="20"/>
                <w:szCs w:val="20"/>
              </w:rPr>
              <w:t>2.1</w:t>
            </w:r>
          </w:p>
        </w:tc>
      </w:tr>
    </w:tbl>
    <w:p w14:paraId="18D8E30B" w14:textId="767253CF" w:rsidR="00E36C05" w:rsidRPr="00B01F9E" w:rsidRDefault="00E36C05" w:rsidP="00E36C05">
      <w:pPr>
        <w:spacing w:before="120" w:after="120"/>
        <w:rPr>
          <w:rFonts w:ascii="Arial" w:hAnsi="Arial" w:cs="Arial"/>
          <w:b/>
          <w:sz w:val="20"/>
          <w:szCs w:val="20"/>
        </w:rPr>
      </w:pPr>
      <w:r w:rsidRPr="00B01F9E">
        <w:rPr>
          <w:rFonts w:ascii="Arial" w:hAnsi="Arial" w:cs="Arial"/>
          <w:sz w:val="20"/>
          <w:szCs w:val="20"/>
        </w:rPr>
        <w:t xml:space="preserve">This table displays the HL7 fields for each of the LIDR elements as they </w:t>
      </w:r>
      <w:r w:rsidR="006A5F12" w:rsidRPr="00B01F9E">
        <w:rPr>
          <w:rFonts w:ascii="Arial" w:hAnsi="Arial" w:cs="Arial"/>
          <w:sz w:val="20"/>
          <w:szCs w:val="20"/>
        </w:rPr>
        <w:t>were</w:t>
      </w:r>
      <w:r w:rsidRPr="00B01F9E">
        <w:rPr>
          <w:rFonts w:ascii="Arial" w:hAnsi="Arial" w:cs="Arial"/>
          <w:sz w:val="20"/>
          <w:szCs w:val="20"/>
        </w:rPr>
        <w:t xml:space="preserve"> transmitted from the LIS</w:t>
      </w:r>
      <w:r w:rsidR="00796BAD" w:rsidRPr="00B01F9E">
        <w:rPr>
          <w:rFonts w:ascii="Arial" w:hAnsi="Arial" w:cs="Arial"/>
          <w:sz w:val="20"/>
          <w:szCs w:val="20"/>
        </w:rPr>
        <w:t>,</w:t>
      </w:r>
      <w:r w:rsidRPr="00B01F9E">
        <w:rPr>
          <w:rFonts w:ascii="Arial" w:hAnsi="Arial" w:cs="Arial"/>
          <w:sz w:val="20"/>
          <w:szCs w:val="20"/>
        </w:rPr>
        <w:t xml:space="preserve"> and how they appear</w:t>
      </w:r>
      <w:r w:rsidR="00577DE4" w:rsidRPr="00B01F9E">
        <w:rPr>
          <w:rFonts w:ascii="Arial" w:hAnsi="Arial" w:cs="Arial"/>
          <w:sz w:val="20"/>
          <w:szCs w:val="20"/>
        </w:rPr>
        <w:t>ed</w:t>
      </w:r>
      <w:r w:rsidRPr="00B01F9E">
        <w:rPr>
          <w:rFonts w:ascii="Arial" w:hAnsi="Arial" w:cs="Arial"/>
          <w:sz w:val="20"/>
          <w:szCs w:val="20"/>
        </w:rPr>
        <w:t xml:space="preserve"> after they </w:t>
      </w:r>
      <w:r w:rsidR="00B7440A" w:rsidRPr="00B01F9E">
        <w:rPr>
          <w:rFonts w:ascii="Arial" w:hAnsi="Arial" w:cs="Arial"/>
          <w:sz w:val="20"/>
          <w:szCs w:val="20"/>
        </w:rPr>
        <w:t>were</w:t>
      </w:r>
      <w:r w:rsidRPr="00B01F9E">
        <w:rPr>
          <w:rFonts w:ascii="Arial" w:hAnsi="Arial" w:cs="Arial"/>
          <w:sz w:val="20"/>
          <w:szCs w:val="20"/>
        </w:rPr>
        <w:t xml:space="preserve"> transformed by the interface engine prior to sending to the CAP. The transformation by the interface engine </w:t>
      </w:r>
      <w:r w:rsidR="00B7440A" w:rsidRPr="00B01F9E">
        <w:rPr>
          <w:rFonts w:ascii="Arial" w:hAnsi="Arial" w:cs="Arial"/>
          <w:sz w:val="20"/>
          <w:szCs w:val="20"/>
        </w:rPr>
        <w:t>was</w:t>
      </w:r>
      <w:r w:rsidRPr="00B01F9E">
        <w:rPr>
          <w:rFonts w:ascii="Arial" w:hAnsi="Arial" w:cs="Arial"/>
          <w:sz w:val="20"/>
          <w:szCs w:val="20"/>
        </w:rPr>
        <w:t xml:space="preserve"> necessary because the LIS c</w:t>
      </w:r>
      <w:r w:rsidR="00B7440A" w:rsidRPr="00B01F9E">
        <w:rPr>
          <w:rFonts w:ascii="Arial" w:hAnsi="Arial" w:cs="Arial"/>
          <w:sz w:val="20"/>
          <w:szCs w:val="20"/>
        </w:rPr>
        <w:t>ould not</w:t>
      </w:r>
      <w:r w:rsidRPr="00B01F9E">
        <w:rPr>
          <w:rFonts w:ascii="Arial" w:hAnsi="Arial" w:cs="Arial"/>
          <w:sz w:val="20"/>
          <w:szCs w:val="20"/>
        </w:rPr>
        <w:t xml:space="preserve"> send </w:t>
      </w:r>
      <w:proofErr w:type="gramStart"/>
      <w:r w:rsidR="00C571EB" w:rsidRPr="00B01F9E">
        <w:rPr>
          <w:rFonts w:ascii="Arial" w:hAnsi="Arial" w:cs="Arial"/>
          <w:sz w:val="20"/>
          <w:szCs w:val="20"/>
        </w:rPr>
        <w:t>all of</w:t>
      </w:r>
      <w:proofErr w:type="gramEnd"/>
      <w:r w:rsidR="00C571EB" w:rsidRPr="00B01F9E">
        <w:rPr>
          <w:rFonts w:ascii="Arial" w:hAnsi="Arial" w:cs="Arial"/>
          <w:sz w:val="20"/>
          <w:szCs w:val="20"/>
        </w:rPr>
        <w:t xml:space="preserve"> </w:t>
      </w:r>
      <w:r w:rsidRPr="00B01F9E">
        <w:rPr>
          <w:rFonts w:ascii="Arial" w:hAnsi="Arial" w:cs="Arial"/>
          <w:sz w:val="20"/>
          <w:szCs w:val="20"/>
        </w:rPr>
        <w:t xml:space="preserve">the LIDR elements as required by the developed interface specification. </w:t>
      </w:r>
    </w:p>
    <w:p w14:paraId="450C4D16" w14:textId="41871FAC" w:rsidR="00935406" w:rsidRPr="00B01F9E" w:rsidRDefault="00344CA6" w:rsidP="4E92B765">
      <w:pPr>
        <w:spacing w:after="0"/>
        <w:rPr>
          <w:rFonts w:ascii="Arial" w:hAnsi="Arial" w:cs="Arial"/>
          <w:color w:val="009BBF"/>
          <w:sz w:val="20"/>
          <w:szCs w:val="20"/>
        </w:rPr>
      </w:pPr>
      <w:r w:rsidRPr="00B01F9E">
        <w:rPr>
          <w:rFonts w:ascii="Arial" w:hAnsi="Arial" w:cs="Arial"/>
          <w:b/>
          <w:bCs/>
          <w:color w:val="009BBF"/>
          <w:sz w:val="20"/>
          <w:szCs w:val="20"/>
        </w:rPr>
        <w:lastRenderedPageBreak/>
        <w:t xml:space="preserve">Figure </w:t>
      </w:r>
      <w:r w:rsidR="005E7A9F" w:rsidRPr="00B01F9E">
        <w:rPr>
          <w:rFonts w:ascii="Arial" w:hAnsi="Arial" w:cs="Arial"/>
          <w:b/>
          <w:bCs/>
          <w:color w:val="009BBF"/>
          <w:sz w:val="20"/>
          <w:szCs w:val="20"/>
        </w:rPr>
        <w:t>3</w:t>
      </w:r>
      <w:r w:rsidR="00E120AA" w:rsidRPr="00B01F9E">
        <w:rPr>
          <w:rFonts w:ascii="Arial" w:hAnsi="Arial" w:cs="Arial"/>
          <w:b/>
          <w:bCs/>
          <w:color w:val="009BBF"/>
          <w:sz w:val="20"/>
          <w:szCs w:val="20"/>
        </w:rPr>
        <w:t xml:space="preserve">: </w:t>
      </w:r>
      <w:r w:rsidRPr="00B01F9E">
        <w:rPr>
          <w:rFonts w:ascii="Arial" w:hAnsi="Arial" w:cs="Arial"/>
          <w:b/>
          <w:bCs/>
          <w:color w:val="009BBF"/>
          <w:sz w:val="20"/>
          <w:szCs w:val="20"/>
        </w:rPr>
        <w:t xml:space="preserve">Format of HL7 Result Message </w:t>
      </w:r>
      <w:r w:rsidR="001C6AAF" w:rsidRPr="00B01F9E">
        <w:rPr>
          <w:rFonts w:ascii="Arial" w:hAnsi="Arial" w:cs="Arial"/>
          <w:b/>
          <w:bCs/>
          <w:color w:val="009BBF"/>
          <w:sz w:val="20"/>
          <w:szCs w:val="20"/>
        </w:rPr>
        <w:t>A</w:t>
      </w:r>
      <w:r w:rsidRPr="00B01F9E">
        <w:rPr>
          <w:rFonts w:ascii="Arial" w:hAnsi="Arial" w:cs="Arial"/>
          <w:b/>
          <w:bCs/>
          <w:color w:val="009BBF"/>
          <w:sz w:val="20"/>
          <w:szCs w:val="20"/>
        </w:rPr>
        <w:t xml:space="preserve">fter </w:t>
      </w:r>
      <w:r w:rsidR="001C6AAF" w:rsidRPr="00B01F9E">
        <w:rPr>
          <w:rFonts w:ascii="Arial" w:hAnsi="Arial" w:cs="Arial"/>
          <w:b/>
          <w:bCs/>
          <w:color w:val="009BBF"/>
          <w:sz w:val="20"/>
          <w:szCs w:val="20"/>
        </w:rPr>
        <w:t>T</w:t>
      </w:r>
      <w:r w:rsidRPr="00B01F9E">
        <w:rPr>
          <w:rFonts w:ascii="Arial" w:hAnsi="Arial" w:cs="Arial"/>
          <w:b/>
          <w:bCs/>
          <w:color w:val="009BBF"/>
          <w:sz w:val="20"/>
          <w:szCs w:val="20"/>
        </w:rPr>
        <w:t xml:space="preserve">ransformation to be </w:t>
      </w:r>
      <w:r w:rsidR="001C6AAF" w:rsidRPr="00B01F9E">
        <w:rPr>
          <w:rFonts w:ascii="Arial" w:hAnsi="Arial" w:cs="Arial"/>
          <w:b/>
          <w:bCs/>
          <w:color w:val="009BBF"/>
          <w:sz w:val="20"/>
          <w:szCs w:val="20"/>
        </w:rPr>
        <w:t>S</w:t>
      </w:r>
      <w:r w:rsidRPr="00B01F9E">
        <w:rPr>
          <w:rFonts w:ascii="Arial" w:hAnsi="Arial" w:cs="Arial"/>
          <w:b/>
          <w:bCs/>
          <w:color w:val="009BBF"/>
          <w:sz w:val="20"/>
          <w:szCs w:val="20"/>
        </w:rPr>
        <w:t xml:space="preserve">ent to </w:t>
      </w:r>
      <w:r w:rsidR="001C6AAF" w:rsidRPr="00B01F9E">
        <w:rPr>
          <w:rFonts w:ascii="Arial" w:hAnsi="Arial" w:cs="Arial"/>
          <w:b/>
          <w:bCs/>
          <w:color w:val="009BBF"/>
          <w:sz w:val="20"/>
          <w:szCs w:val="20"/>
        </w:rPr>
        <w:t xml:space="preserve">the </w:t>
      </w:r>
      <w:r w:rsidRPr="00B01F9E">
        <w:rPr>
          <w:rFonts w:ascii="Arial" w:hAnsi="Arial" w:cs="Arial"/>
          <w:b/>
          <w:bCs/>
          <w:color w:val="009BBF"/>
          <w:sz w:val="20"/>
          <w:szCs w:val="20"/>
        </w:rPr>
        <w:t>CAP</w:t>
      </w:r>
    </w:p>
    <w:p w14:paraId="039BE509" w14:textId="1EE151D0" w:rsidR="00AA3529" w:rsidRPr="00B01F9E" w:rsidRDefault="00AA3529" w:rsidP="00AA3529">
      <w:pPr>
        <w:rPr>
          <w:rFonts w:ascii="Arial" w:hAnsi="Arial" w:cs="Arial"/>
          <w:sz w:val="20"/>
          <w:szCs w:val="20"/>
        </w:rPr>
      </w:pPr>
      <w:r w:rsidRPr="00B01F9E">
        <w:rPr>
          <w:rFonts w:ascii="Arial" w:hAnsi="Arial" w:cs="Arial"/>
          <w:sz w:val="20"/>
          <w:szCs w:val="20"/>
        </w:rPr>
        <w:t>MSH|^~\&amp;|12300002560|</w:t>
      </w:r>
      <w:r w:rsidRPr="00B01F9E">
        <w:rPr>
          <w:rFonts w:ascii="Arial" w:hAnsi="Arial" w:cs="Arial"/>
          <w:sz w:val="20"/>
          <w:szCs w:val="20"/>
          <w:highlight w:val="yellow"/>
        </w:rPr>
        <w:t>1400801</w:t>
      </w:r>
      <w:r w:rsidRPr="00B01F9E">
        <w:rPr>
          <w:rFonts w:ascii="Arial" w:hAnsi="Arial" w:cs="Arial"/>
          <w:sz w:val="20"/>
          <w:szCs w:val="20"/>
        </w:rPr>
        <w:t>|ELLKAY|CAP|20240614094614|LABBACKGROUND|ORU^R01^ORU_R01|526||2.5.1|||||||||LRI_NG_RN_Profile^Profile Component^2.16.840.1.113883.9.20^ISO</w:t>
      </w:r>
    </w:p>
    <w:p w14:paraId="0EAE35E2" w14:textId="77777777" w:rsidR="00AA3529" w:rsidRPr="00B01F9E" w:rsidRDefault="00AA3529" w:rsidP="00AA3529">
      <w:pPr>
        <w:rPr>
          <w:rFonts w:ascii="Arial" w:hAnsi="Arial" w:cs="Arial"/>
          <w:sz w:val="20"/>
          <w:szCs w:val="20"/>
        </w:rPr>
      </w:pPr>
      <w:r w:rsidRPr="00B01F9E">
        <w:rPr>
          <w:rFonts w:ascii="Arial" w:hAnsi="Arial" w:cs="Arial"/>
          <w:sz w:val="20"/>
          <w:szCs w:val="20"/>
        </w:rPr>
        <w:t>PID|1||30^^^^||CAPFDA^TESTFOUR^^^^^||19780526|F||||||||||1834||||||||||||N</w:t>
      </w:r>
    </w:p>
    <w:p w14:paraId="4C55C7A3" w14:textId="77777777" w:rsidR="00AA3529" w:rsidRPr="00B01F9E" w:rsidRDefault="00AA3529" w:rsidP="00AA3529">
      <w:pPr>
        <w:rPr>
          <w:rFonts w:ascii="Arial" w:hAnsi="Arial" w:cs="Arial"/>
          <w:sz w:val="20"/>
          <w:szCs w:val="20"/>
        </w:rPr>
      </w:pPr>
      <w:r w:rsidRPr="00B01F9E">
        <w:rPr>
          <w:rFonts w:ascii="Arial" w:hAnsi="Arial" w:cs="Arial"/>
          <w:sz w:val="20"/>
          <w:szCs w:val="20"/>
        </w:rPr>
        <w:t>PV1|1|102</w:t>
      </w:r>
    </w:p>
    <w:p w14:paraId="11D89C52" w14:textId="4A3818CF" w:rsidR="00AA3529" w:rsidRPr="00B01F9E" w:rsidRDefault="00AA3529" w:rsidP="00AA3529">
      <w:pPr>
        <w:rPr>
          <w:rFonts w:ascii="Arial" w:hAnsi="Arial" w:cs="Arial"/>
          <w:sz w:val="20"/>
          <w:szCs w:val="20"/>
        </w:rPr>
      </w:pPr>
      <w:r w:rsidRPr="00B01F9E">
        <w:rPr>
          <w:rFonts w:ascii="Arial" w:hAnsi="Arial" w:cs="Arial"/>
          <w:sz w:val="20"/>
          <w:szCs w:val="20"/>
        </w:rPr>
        <w:t>ORC|RE|1396909|1396909|</w:t>
      </w:r>
      <w:r w:rsidR="00873419" w:rsidRPr="00B01F9E">
        <w:rPr>
          <w:rFonts w:ascii="Arial" w:hAnsi="Arial" w:cs="Arial"/>
          <w:color w:val="00B050"/>
          <w:sz w:val="20"/>
          <w:szCs w:val="20"/>
          <w:highlight w:val="yellow"/>
        </w:rPr>
        <w:t>23423</w:t>
      </w:r>
      <w:r w:rsidRPr="00B01F9E">
        <w:rPr>
          <w:rFonts w:ascii="Arial" w:hAnsi="Arial" w:cs="Arial"/>
          <w:sz w:val="20"/>
          <w:szCs w:val="20"/>
        </w:rPr>
        <w:t>|||^^^^^T||20240614094407|JP398^POLING^JEREMY^^||279259^DASH^RAJESH^CHANDRA^^^^^DM^^^^DPID|</w:t>
      </w:r>
      <w:proofErr w:type="gramStart"/>
      <w:r w:rsidRPr="00B01F9E">
        <w:rPr>
          <w:rFonts w:ascii="Arial" w:hAnsi="Arial" w:cs="Arial"/>
          <w:sz w:val="20"/>
          <w:szCs w:val="20"/>
        </w:rPr>
        <w:t>|(</w:t>
      </w:r>
      <w:proofErr w:type="gramEnd"/>
      <w:r w:rsidRPr="00B01F9E">
        <w:rPr>
          <w:rFonts w:ascii="Arial" w:hAnsi="Arial" w:cs="Arial"/>
          <w:sz w:val="20"/>
          <w:szCs w:val="20"/>
        </w:rPr>
        <w:t>919)668-3352^^^^^919^6683352|20240614094407|||CLISUP^EPIC SUPPORT||||||2301 Erwin Road^^DURHAM^NC^27705^USA^C^^DURHAM</w:t>
      </w:r>
    </w:p>
    <w:p w14:paraId="3DF1C30A" w14:textId="77777777" w:rsidR="00AA3529" w:rsidRPr="00B01F9E" w:rsidRDefault="00AA3529" w:rsidP="00AA3529">
      <w:pPr>
        <w:rPr>
          <w:rFonts w:ascii="Arial" w:hAnsi="Arial" w:cs="Arial"/>
          <w:sz w:val="20"/>
          <w:szCs w:val="20"/>
        </w:rPr>
      </w:pPr>
      <w:r w:rsidRPr="00B01F9E">
        <w:rPr>
          <w:rFonts w:ascii="Arial" w:hAnsi="Arial" w:cs="Arial"/>
          <w:sz w:val="20"/>
          <w:szCs w:val="20"/>
        </w:rPr>
        <w:t>OBR|1|1396909|1396909|^FDA CREATININE^^</w:t>
      </w:r>
      <w:r w:rsidRPr="00B01F9E">
        <w:rPr>
          <w:rFonts w:ascii="Arial" w:hAnsi="Arial" w:cs="Arial"/>
          <w:color w:val="00B050"/>
          <w:sz w:val="20"/>
          <w:szCs w:val="20"/>
          <w:highlight w:val="yellow"/>
        </w:rPr>
        <w:t>2160-0</w:t>
      </w:r>
      <w:r w:rsidRPr="00B01F9E">
        <w:rPr>
          <w:rFonts w:ascii="Arial" w:hAnsi="Arial" w:cs="Arial"/>
          <w:color w:val="00B050"/>
          <w:sz w:val="20"/>
          <w:szCs w:val="20"/>
        </w:rPr>
        <w:t xml:space="preserve">^Creat </w:t>
      </w:r>
      <w:proofErr w:type="spellStart"/>
      <w:r w:rsidRPr="00B01F9E">
        <w:rPr>
          <w:rFonts w:ascii="Arial" w:hAnsi="Arial" w:cs="Arial"/>
          <w:color w:val="00B050"/>
          <w:sz w:val="20"/>
          <w:szCs w:val="20"/>
        </w:rPr>
        <w:t>SerPl-mCnc^LN</w:t>
      </w:r>
      <w:proofErr w:type="spellEnd"/>
      <w:r w:rsidRPr="00B01F9E">
        <w:rPr>
          <w:rFonts w:ascii="Arial" w:hAnsi="Arial" w:cs="Arial"/>
          <w:sz w:val="20"/>
          <w:szCs w:val="20"/>
        </w:rPr>
        <w:t>^^2.77^FDA CREATININE|||20240614094400|||JP398^POLING^JEREMY^^|Lab Collect||R10.84^Generalized abdominal pain^I10^^^^^^Generalized abdominal pain|20240614094432|119361006&amp;Blood, Arterial^^^87612001&amp;Plasma|279259^DASH^RAJESH^CHANDRA^^^^^DM^^^^DPID|(919)668-3352^^^^^919^6683352|||||20240614094605||LAB|F||^^^^^T|||||&amp;Poling&amp;Jeremy&amp;&amp;||||20240614094400</w:t>
      </w:r>
    </w:p>
    <w:p w14:paraId="7ED43AE2" w14:textId="77777777" w:rsidR="00AA3529" w:rsidRPr="00B01F9E" w:rsidRDefault="00AA3529" w:rsidP="00AA3529">
      <w:pPr>
        <w:rPr>
          <w:rFonts w:ascii="Arial" w:hAnsi="Arial" w:cs="Arial"/>
          <w:sz w:val="20"/>
          <w:szCs w:val="20"/>
        </w:rPr>
      </w:pPr>
      <w:r w:rsidRPr="00B01F9E">
        <w:rPr>
          <w:rFonts w:ascii="Arial" w:hAnsi="Arial" w:cs="Arial"/>
          <w:sz w:val="20"/>
          <w:szCs w:val="20"/>
        </w:rPr>
        <w:t>OBX|1|NM|12316566^FDA CREATININE     (BKR)^BEAKERLRR^</w:t>
      </w:r>
      <w:r w:rsidRPr="00B01F9E">
        <w:rPr>
          <w:rFonts w:ascii="Arial" w:hAnsi="Arial" w:cs="Arial"/>
          <w:color w:val="00B050"/>
          <w:sz w:val="20"/>
          <w:szCs w:val="20"/>
          <w:highlight w:val="yellow"/>
        </w:rPr>
        <w:t>2160-0</w:t>
      </w:r>
      <w:r w:rsidRPr="00B01F9E">
        <w:rPr>
          <w:rFonts w:ascii="Arial" w:hAnsi="Arial" w:cs="Arial"/>
          <w:color w:val="00B050"/>
          <w:sz w:val="20"/>
          <w:szCs w:val="20"/>
        </w:rPr>
        <w:t xml:space="preserve">^Creat </w:t>
      </w:r>
      <w:proofErr w:type="spellStart"/>
      <w:r w:rsidRPr="00B01F9E">
        <w:rPr>
          <w:rFonts w:ascii="Arial" w:hAnsi="Arial" w:cs="Arial"/>
          <w:color w:val="00B050"/>
          <w:sz w:val="20"/>
          <w:szCs w:val="20"/>
        </w:rPr>
        <w:t>SerPl-mCnc^LN</w:t>
      </w:r>
      <w:proofErr w:type="spellEnd"/>
      <w:r w:rsidRPr="00B01F9E">
        <w:rPr>
          <w:rFonts w:ascii="Arial" w:hAnsi="Arial" w:cs="Arial"/>
          <w:sz w:val="20"/>
          <w:szCs w:val="20"/>
        </w:rPr>
        <w:t>^^2.77^FDA CREATININE     (BKR)||0.8|</w:t>
      </w:r>
      <w:r w:rsidRPr="00B01F9E">
        <w:rPr>
          <w:rFonts w:ascii="Arial" w:hAnsi="Arial" w:cs="Arial"/>
          <w:sz w:val="20"/>
          <w:szCs w:val="20"/>
          <w:highlight w:val="yellow"/>
        </w:rPr>
        <w:t>mg/dL</w:t>
      </w:r>
      <w:r w:rsidRPr="00B01F9E">
        <w:rPr>
          <w:rFonts w:ascii="Arial" w:hAnsi="Arial" w:cs="Arial"/>
          <w:sz w:val="20"/>
          <w:szCs w:val="20"/>
        </w:rPr>
        <w:t>|0.4-1.0||||F|||20240614094400|||15099590233525^FDA DRAH DXC860I 2^BEAKERFDA^(01)15099590280994(21)7275^FDA DRAH DXC860I 2^BEAKERFDATK|</w:t>
      </w:r>
      <w:r w:rsidRPr="00B01F9E">
        <w:rPr>
          <w:rFonts w:ascii="Arial" w:hAnsi="Arial" w:cs="Arial"/>
          <w:color w:val="00B050"/>
          <w:sz w:val="20"/>
          <w:szCs w:val="20"/>
          <w:highlight w:val="yellow"/>
        </w:rPr>
        <w:t>15099590233525</w:t>
      </w:r>
      <w:r w:rsidRPr="00B01F9E">
        <w:rPr>
          <w:rFonts w:ascii="Arial" w:hAnsi="Arial" w:cs="Arial"/>
          <w:sz w:val="20"/>
          <w:szCs w:val="20"/>
        </w:rPr>
        <w:t>^FDA DRAH DXC860I 2^BEAKERFDA</w:t>
      </w:r>
      <w:r w:rsidRPr="00B01F9E">
        <w:rPr>
          <w:rFonts w:ascii="Arial" w:hAnsi="Arial" w:cs="Arial"/>
          <w:color w:val="00B050"/>
          <w:sz w:val="20"/>
          <w:szCs w:val="20"/>
          <w:highlight w:val="yellow"/>
        </w:rPr>
        <w:t>^(01)15099590280994(21)7275</w:t>
      </w:r>
      <w:r w:rsidRPr="00B01F9E">
        <w:rPr>
          <w:rFonts w:ascii="Arial" w:hAnsi="Arial" w:cs="Arial"/>
          <w:sz w:val="20"/>
          <w:szCs w:val="20"/>
        </w:rPr>
        <w:t>^FDA DRAH DXC860I 2^BEAKERFDATK|20240614094605||||</w:t>
      </w:r>
      <w:r w:rsidRPr="00B01F9E">
        <w:rPr>
          <w:rFonts w:ascii="Arial" w:hAnsi="Arial" w:cs="Arial"/>
          <w:color w:val="00B050"/>
          <w:sz w:val="20"/>
          <w:szCs w:val="20"/>
          <w:highlight w:val="yellow"/>
        </w:rPr>
        <w:t>34D0240734</w:t>
      </w:r>
      <w:r w:rsidRPr="00B01F9E">
        <w:rPr>
          <w:rFonts w:ascii="Arial" w:hAnsi="Arial" w:cs="Arial"/>
          <w:sz w:val="20"/>
          <w:szCs w:val="20"/>
        </w:rPr>
        <w:t>|DUKE RALEIGH CLINICAL LABORATORY</w:t>
      </w:r>
    </w:p>
    <w:p w14:paraId="2EE3F1A7" w14:textId="77777777" w:rsidR="00AA3529" w:rsidRPr="00B01F9E" w:rsidRDefault="00AA3529" w:rsidP="00AA3529">
      <w:pPr>
        <w:rPr>
          <w:rFonts w:ascii="Arial" w:hAnsi="Arial" w:cs="Arial"/>
          <w:sz w:val="20"/>
          <w:szCs w:val="20"/>
        </w:rPr>
      </w:pPr>
      <w:r w:rsidRPr="00B01F9E">
        <w:rPr>
          <w:rFonts w:ascii="Arial" w:hAnsi="Arial" w:cs="Arial"/>
          <w:sz w:val="20"/>
          <w:szCs w:val="20"/>
        </w:rPr>
        <w:t>OBX|2|NM|12316574^FDA EGFR   (BKR)^BEAKERLRR^</w:t>
      </w:r>
      <w:r w:rsidRPr="00B01F9E">
        <w:rPr>
          <w:rFonts w:ascii="Arial" w:hAnsi="Arial" w:cs="Arial"/>
          <w:color w:val="00B050"/>
          <w:sz w:val="20"/>
          <w:szCs w:val="20"/>
          <w:highlight w:val="yellow"/>
        </w:rPr>
        <w:t>62238-1</w:t>
      </w:r>
      <w:r w:rsidRPr="00B01F9E">
        <w:rPr>
          <w:rFonts w:ascii="Arial" w:hAnsi="Arial" w:cs="Arial"/>
          <w:color w:val="00B050"/>
          <w:sz w:val="20"/>
          <w:szCs w:val="20"/>
        </w:rPr>
        <w:t>^GFR/</w:t>
      </w:r>
      <w:proofErr w:type="spellStart"/>
      <w:r w:rsidRPr="00B01F9E">
        <w:rPr>
          <w:rFonts w:ascii="Arial" w:hAnsi="Arial" w:cs="Arial"/>
          <w:color w:val="00B050"/>
          <w:sz w:val="20"/>
          <w:szCs w:val="20"/>
        </w:rPr>
        <w:t>BSA.pred</w:t>
      </w:r>
      <w:proofErr w:type="spellEnd"/>
      <w:r w:rsidRPr="00B01F9E">
        <w:rPr>
          <w:rFonts w:ascii="Arial" w:hAnsi="Arial" w:cs="Arial"/>
          <w:color w:val="00B050"/>
          <w:sz w:val="20"/>
          <w:szCs w:val="20"/>
        </w:rPr>
        <w:t xml:space="preserve"> </w:t>
      </w:r>
      <w:proofErr w:type="spellStart"/>
      <w:r w:rsidRPr="00B01F9E">
        <w:rPr>
          <w:rFonts w:ascii="Arial" w:hAnsi="Arial" w:cs="Arial"/>
          <w:color w:val="00B050"/>
          <w:sz w:val="20"/>
          <w:szCs w:val="20"/>
        </w:rPr>
        <w:t>SerPlBld</w:t>
      </w:r>
      <w:proofErr w:type="spellEnd"/>
      <w:r w:rsidRPr="00B01F9E">
        <w:rPr>
          <w:rFonts w:ascii="Arial" w:hAnsi="Arial" w:cs="Arial"/>
          <w:color w:val="00B050"/>
          <w:sz w:val="20"/>
          <w:szCs w:val="20"/>
        </w:rPr>
        <w:t xml:space="preserve"> </w:t>
      </w:r>
      <w:proofErr w:type="spellStart"/>
      <w:r w:rsidRPr="00B01F9E">
        <w:rPr>
          <w:rFonts w:ascii="Arial" w:hAnsi="Arial" w:cs="Arial"/>
          <w:color w:val="00B050"/>
          <w:sz w:val="20"/>
          <w:szCs w:val="20"/>
        </w:rPr>
        <w:t>CKD-EPI-ArVRat^LN</w:t>
      </w:r>
      <w:proofErr w:type="spellEnd"/>
      <w:r w:rsidRPr="00B01F9E">
        <w:rPr>
          <w:rFonts w:ascii="Arial" w:hAnsi="Arial" w:cs="Arial"/>
          <w:sz w:val="20"/>
          <w:szCs w:val="20"/>
        </w:rPr>
        <w:t>^^2.77^FDA EGFR   (BKR)||82|</w:t>
      </w:r>
      <w:r w:rsidRPr="00B01F9E">
        <w:rPr>
          <w:rFonts w:ascii="Arial" w:hAnsi="Arial" w:cs="Arial"/>
          <w:sz w:val="20"/>
          <w:szCs w:val="20"/>
          <w:highlight w:val="yellow"/>
        </w:rPr>
        <w:t>mL/min/1.73sq m</w:t>
      </w:r>
      <w:r w:rsidRPr="00B01F9E">
        <w:rPr>
          <w:rFonts w:ascii="Arial" w:hAnsi="Arial" w:cs="Arial"/>
          <w:sz w:val="20"/>
          <w:szCs w:val="20"/>
        </w:rPr>
        <w:t>|||||F|||20240614094400|||15099590233525^FDA DRAH DXC860I 2^BEAKERFDA^(01)15099590280994(21)7275^FDA DRAH DXC860I 2^BEAKERFDATK|</w:t>
      </w:r>
      <w:r w:rsidRPr="00B01F9E">
        <w:rPr>
          <w:rFonts w:ascii="Arial" w:hAnsi="Arial" w:cs="Arial"/>
          <w:color w:val="00B050"/>
          <w:sz w:val="20"/>
          <w:szCs w:val="20"/>
          <w:highlight w:val="yellow"/>
        </w:rPr>
        <w:t>15099590233525</w:t>
      </w:r>
      <w:r w:rsidRPr="00B01F9E">
        <w:rPr>
          <w:rFonts w:ascii="Arial" w:hAnsi="Arial" w:cs="Arial"/>
          <w:sz w:val="20"/>
          <w:szCs w:val="20"/>
        </w:rPr>
        <w:t>^FDA DRAH DXC860I 2^BEAKERFDA</w:t>
      </w:r>
      <w:r w:rsidRPr="00B01F9E">
        <w:rPr>
          <w:rFonts w:ascii="Arial" w:hAnsi="Arial" w:cs="Arial"/>
          <w:color w:val="00B050"/>
          <w:sz w:val="20"/>
          <w:szCs w:val="20"/>
          <w:highlight w:val="yellow"/>
        </w:rPr>
        <w:t>^(01)15099590280994(21)7275</w:t>
      </w:r>
      <w:r w:rsidRPr="00B01F9E">
        <w:rPr>
          <w:rFonts w:ascii="Arial" w:hAnsi="Arial" w:cs="Arial"/>
          <w:sz w:val="20"/>
          <w:szCs w:val="20"/>
        </w:rPr>
        <w:t>^FDA DRAH DXC860I 2^BEAKERFDATK|20240614094605||||</w:t>
      </w:r>
      <w:r w:rsidRPr="00B01F9E">
        <w:rPr>
          <w:rFonts w:ascii="Arial" w:hAnsi="Arial" w:cs="Arial"/>
          <w:color w:val="00B050"/>
          <w:sz w:val="20"/>
          <w:szCs w:val="20"/>
        </w:rPr>
        <w:t>34D0240734</w:t>
      </w:r>
      <w:r w:rsidRPr="00B01F9E">
        <w:rPr>
          <w:rFonts w:ascii="Arial" w:hAnsi="Arial" w:cs="Arial"/>
          <w:sz w:val="20"/>
          <w:szCs w:val="20"/>
        </w:rPr>
        <w:t>|DUKE RALEIGH CLINICAL LABORATORY</w:t>
      </w:r>
    </w:p>
    <w:p w14:paraId="010BA107" w14:textId="3F33DF62" w:rsidR="00AA3529" w:rsidRPr="00B01F9E" w:rsidRDefault="00AA3529" w:rsidP="000C156B">
      <w:pPr>
        <w:rPr>
          <w:rFonts w:ascii="Arial" w:hAnsi="Arial" w:cs="Arial"/>
          <w:sz w:val="20"/>
          <w:szCs w:val="20"/>
        </w:rPr>
      </w:pPr>
      <w:r w:rsidRPr="00B01F9E">
        <w:rPr>
          <w:rFonts w:ascii="Arial" w:hAnsi="Arial" w:cs="Arial"/>
          <w:sz w:val="20"/>
          <w:szCs w:val="20"/>
        </w:rPr>
        <w:t>SPM|1|||</w:t>
      </w:r>
      <w:r w:rsidRPr="00B01F9E">
        <w:rPr>
          <w:rFonts w:ascii="Arial" w:hAnsi="Arial" w:cs="Arial"/>
          <w:color w:val="00B050"/>
          <w:sz w:val="20"/>
          <w:szCs w:val="20"/>
          <w:highlight w:val="yellow"/>
        </w:rPr>
        <w:t>119361006</w:t>
      </w:r>
      <w:r w:rsidRPr="00B01F9E">
        <w:rPr>
          <w:rFonts w:ascii="Arial" w:hAnsi="Arial" w:cs="Arial"/>
          <w:sz w:val="20"/>
          <w:szCs w:val="20"/>
        </w:rPr>
        <w:t>^Blood, Arterial^^^^^^^Blood, Arterial|||</w:t>
      </w:r>
      <w:r w:rsidRPr="00B01F9E">
        <w:rPr>
          <w:rFonts w:ascii="Arial" w:hAnsi="Arial" w:cs="Arial"/>
          <w:color w:val="00B050"/>
          <w:sz w:val="20"/>
          <w:szCs w:val="20"/>
          <w:highlight w:val="yellow"/>
        </w:rPr>
        <w:t>16631761000119104</w:t>
      </w:r>
      <w:r w:rsidRPr="00B01F9E">
        <w:rPr>
          <w:rFonts w:ascii="Arial" w:hAnsi="Arial" w:cs="Arial"/>
          <w:sz w:val="20"/>
          <w:szCs w:val="20"/>
        </w:rPr>
        <w:t>|</w:t>
      </w:r>
      <w:r w:rsidRPr="00B01F9E">
        <w:rPr>
          <w:rFonts w:ascii="Arial" w:hAnsi="Arial" w:cs="Arial"/>
          <w:color w:val="00B050"/>
          <w:sz w:val="20"/>
          <w:szCs w:val="20"/>
          <w:highlight w:val="yellow"/>
        </w:rPr>
        <w:t>87612001</w:t>
      </w:r>
      <w:r w:rsidRPr="00B01F9E">
        <w:rPr>
          <w:rFonts w:ascii="Arial" w:hAnsi="Arial" w:cs="Arial"/>
          <w:sz w:val="20"/>
          <w:szCs w:val="20"/>
        </w:rPr>
        <w:t>^Plasma^^^^^^^Plasma|||||||||20240614094400|20240614094432</w:t>
      </w:r>
    </w:p>
    <w:p w14:paraId="293E4190" w14:textId="1B9AB4A3" w:rsidR="00360C92" w:rsidRPr="00B01F9E" w:rsidRDefault="00360C92" w:rsidP="00191BDF">
      <w:pPr>
        <w:rPr>
          <w:rFonts w:ascii="Arial" w:hAnsi="Arial" w:cs="Arial"/>
          <w:sz w:val="20"/>
          <w:szCs w:val="20"/>
        </w:rPr>
      </w:pPr>
      <w:r w:rsidRPr="00B01F9E">
        <w:rPr>
          <w:rFonts w:ascii="Arial" w:hAnsi="Arial" w:cs="Arial"/>
          <w:sz w:val="20"/>
          <w:szCs w:val="20"/>
        </w:rPr>
        <w:t>The above message is a</w:t>
      </w:r>
      <w:r w:rsidR="00522F38" w:rsidRPr="00B01F9E">
        <w:rPr>
          <w:rFonts w:ascii="Arial" w:hAnsi="Arial" w:cs="Arial"/>
          <w:sz w:val="20"/>
          <w:szCs w:val="20"/>
        </w:rPr>
        <w:t xml:space="preserve">n </w:t>
      </w:r>
      <w:r w:rsidRPr="00B01F9E">
        <w:rPr>
          <w:rFonts w:ascii="Arial" w:hAnsi="Arial" w:cs="Arial"/>
          <w:sz w:val="20"/>
          <w:szCs w:val="20"/>
        </w:rPr>
        <w:t xml:space="preserve">HL7 result message format based on the interface specifications developed for the POC. The LIDR elements are highlighted yellow in Figure </w:t>
      </w:r>
      <w:r w:rsidR="00E120AA" w:rsidRPr="00B01F9E">
        <w:rPr>
          <w:rFonts w:ascii="Arial" w:hAnsi="Arial" w:cs="Arial"/>
          <w:sz w:val="20"/>
          <w:szCs w:val="20"/>
        </w:rPr>
        <w:t>3</w:t>
      </w:r>
      <w:r w:rsidRPr="00B01F9E">
        <w:rPr>
          <w:rFonts w:ascii="Arial" w:hAnsi="Arial" w:cs="Arial"/>
          <w:sz w:val="20"/>
          <w:szCs w:val="20"/>
        </w:rPr>
        <w:t xml:space="preserve"> and appear in the following locations:</w:t>
      </w:r>
    </w:p>
    <w:p w14:paraId="54660CCD" w14:textId="1B061DCB" w:rsidR="00360C92" w:rsidRPr="00B01F9E" w:rsidRDefault="00360C92" w:rsidP="003F4BDC">
      <w:pPr>
        <w:pStyle w:val="paragraph"/>
        <w:numPr>
          <w:ilvl w:val="0"/>
          <w:numId w:val="7"/>
        </w:numPr>
        <w:spacing w:before="0" w:beforeAutospacing="0" w:after="120" w:afterAutospacing="0"/>
        <w:textAlignment w:val="baseline"/>
        <w:rPr>
          <w:rFonts w:ascii="Arial" w:hAnsi="Arial" w:cs="Arial"/>
          <w:sz w:val="20"/>
          <w:szCs w:val="20"/>
        </w:rPr>
      </w:pPr>
      <w:r w:rsidRPr="00B01F9E">
        <w:rPr>
          <w:rFonts w:ascii="Arial" w:hAnsi="Arial" w:cs="Arial"/>
          <w:sz w:val="20"/>
          <w:szCs w:val="20"/>
        </w:rPr>
        <w:t>Test Ordered analyte/observable (LOINC): OBR</w:t>
      </w:r>
      <w:r w:rsidR="006303B5" w:rsidRPr="00B01F9E">
        <w:rPr>
          <w:rFonts w:ascii="Arial" w:hAnsi="Arial" w:cs="Arial"/>
          <w:sz w:val="20"/>
          <w:szCs w:val="20"/>
        </w:rPr>
        <w:t>-</w:t>
      </w:r>
      <w:r w:rsidRPr="00B01F9E">
        <w:rPr>
          <w:rFonts w:ascii="Arial" w:hAnsi="Arial" w:cs="Arial"/>
          <w:sz w:val="20"/>
          <w:szCs w:val="20"/>
        </w:rPr>
        <w:t>4.</w:t>
      </w:r>
    </w:p>
    <w:p w14:paraId="6A05E5FE" w14:textId="54B1B64F"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Test Performed analyte/observable (LOINC): OBX</w:t>
      </w:r>
      <w:r w:rsidR="00163480" w:rsidRPr="00B01F9E">
        <w:rPr>
          <w:rFonts w:ascii="Arial" w:hAnsi="Arial" w:cs="Arial"/>
          <w:sz w:val="20"/>
          <w:szCs w:val="20"/>
        </w:rPr>
        <w:t>-</w:t>
      </w:r>
      <w:r w:rsidRPr="00B01F9E">
        <w:rPr>
          <w:rFonts w:ascii="Arial" w:hAnsi="Arial" w:cs="Arial"/>
          <w:sz w:val="20"/>
          <w:szCs w:val="20"/>
        </w:rPr>
        <w:t>3.</w:t>
      </w:r>
    </w:p>
    <w:p w14:paraId="7F553316" w14:textId="7C60DF06"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Specimen type SNOMED CT (at minimum): SPM</w:t>
      </w:r>
      <w:r w:rsidR="006303B5" w:rsidRPr="00B01F9E">
        <w:rPr>
          <w:rFonts w:ascii="Arial" w:hAnsi="Arial" w:cs="Arial"/>
          <w:sz w:val="20"/>
          <w:szCs w:val="20"/>
        </w:rPr>
        <w:t>-</w:t>
      </w:r>
      <w:r w:rsidRPr="00B01F9E">
        <w:rPr>
          <w:rFonts w:ascii="Arial" w:hAnsi="Arial" w:cs="Arial"/>
          <w:sz w:val="20"/>
          <w:szCs w:val="20"/>
        </w:rPr>
        <w:t>4.</w:t>
      </w:r>
    </w:p>
    <w:p w14:paraId="0295CFD4" w14:textId="2B58E15E"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Specimen source site SNOMED CT (topography inferred): SPM</w:t>
      </w:r>
      <w:r w:rsidR="006303B5" w:rsidRPr="00B01F9E">
        <w:rPr>
          <w:rFonts w:ascii="Arial" w:hAnsi="Arial" w:cs="Arial"/>
          <w:sz w:val="20"/>
          <w:szCs w:val="20"/>
        </w:rPr>
        <w:t>-</w:t>
      </w:r>
      <w:r w:rsidRPr="00B01F9E">
        <w:rPr>
          <w:rFonts w:ascii="Arial" w:hAnsi="Arial" w:cs="Arial"/>
          <w:sz w:val="20"/>
          <w:szCs w:val="20"/>
        </w:rPr>
        <w:t>8.</w:t>
      </w:r>
    </w:p>
    <w:p w14:paraId="48529CCE" w14:textId="3E452198"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Specimen collection method SNOMED CT (container / additive inferred</w:t>
      </w:r>
      <w:r w:rsidR="001C2F9C" w:rsidRPr="00B01F9E">
        <w:rPr>
          <w:rFonts w:ascii="Arial" w:hAnsi="Arial" w:cs="Arial"/>
          <w:sz w:val="20"/>
          <w:szCs w:val="20"/>
        </w:rPr>
        <w:t>):</w:t>
      </w:r>
      <w:r w:rsidRPr="00B01F9E">
        <w:rPr>
          <w:rFonts w:ascii="Arial" w:hAnsi="Arial" w:cs="Arial"/>
          <w:sz w:val="20"/>
          <w:szCs w:val="20"/>
        </w:rPr>
        <w:t xml:space="preserve"> SPM</w:t>
      </w:r>
      <w:r w:rsidR="006303B5" w:rsidRPr="00B01F9E">
        <w:rPr>
          <w:rFonts w:ascii="Arial" w:hAnsi="Arial" w:cs="Arial"/>
          <w:sz w:val="20"/>
          <w:szCs w:val="20"/>
        </w:rPr>
        <w:t>-</w:t>
      </w:r>
      <w:r w:rsidRPr="00B01F9E">
        <w:rPr>
          <w:rFonts w:ascii="Arial" w:hAnsi="Arial" w:cs="Arial"/>
          <w:sz w:val="20"/>
          <w:szCs w:val="20"/>
        </w:rPr>
        <w:t>7.</w:t>
      </w:r>
    </w:p>
    <w:p w14:paraId="24566BCC" w14:textId="75A0E284"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lastRenderedPageBreak/>
        <w:t>Test Kit UDI: OBX</w:t>
      </w:r>
      <w:r w:rsidR="00163480" w:rsidRPr="00B01F9E">
        <w:rPr>
          <w:rFonts w:ascii="Arial" w:hAnsi="Arial" w:cs="Arial"/>
          <w:sz w:val="20"/>
          <w:szCs w:val="20"/>
        </w:rPr>
        <w:t>-</w:t>
      </w:r>
      <w:r w:rsidRPr="00B01F9E">
        <w:rPr>
          <w:rFonts w:ascii="Arial" w:hAnsi="Arial" w:cs="Arial"/>
          <w:sz w:val="20"/>
          <w:szCs w:val="20"/>
        </w:rPr>
        <w:t>18 Subfield or a future designated field.</w:t>
      </w:r>
    </w:p>
    <w:p w14:paraId="22723D3D" w14:textId="381ED4D2"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Device UDI: OBX</w:t>
      </w:r>
      <w:r w:rsidR="00163480" w:rsidRPr="00B01F9E">
        <w:rPr>
          <w:rFonts w:ascii="Arial" w:hAnsi="Arial" w:cs="Arial"/>
          <w:sz w:val="20"/>
          <w:szCs w:val="20"/>
        </w:rPr>
        <w:t>-</w:t>
      </w:r>
      <w:r w:rsidRPr="00B01F9E">
        <w:rPr>
          <w:rFonts w:ascii="Arial" w:hAnsi="Arial" w:cs="Arial"/>
          <w:sz w:val="20"/>
          <w:szCs w:val="20"/>
        </w:rPr>
        <w:t>18 Subfield or a future designated field.</w:t>
      </w:r>
    </w:p>
    <w:p w14:paraId="13A4159E" w14:textId="440DCAB9"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Numeric Result Units of Measure (UCUM</w:t>
      </w:r>
      <w:r w:rsidR="00905831" w:rsidRPr="00B01F9E">
        <w:rPr>
          <w:rFonts w:ascii="Arial" w:hAnsi="Arial" w:cs="Arial"/>
          <w:sz w:val="20"/>
          <w:szCs w:val="20"/>
        </w:rPr>
        <w:t>®</w:t>
      </w:r>
      <w:r w:rsidRPr="00B01F9E">
        <w:rPr>
          <w:rFonts w:ascii="Arial" w:hAnsi="Arial" w:cs="Arial"/>
          <w:sz w:val="20"/>
          <w:szCs w:val="20"/>
        </w:rPr>
        <w:t>): OBX</w:t>
      </w:r>
      <w:r w:rsidR="00163480" w:rsidRPr="00B01F9E">
        <w:rPr>
          <w:rFonts w:ascii="Arial" w:hAnsi="Arial" w:cs="Arial"/>
          <w:sz w:val="20"/>
          <w:szCs w:val="20"/>
        </w:rPr>
        <w:t>-</w:t>
      </w:r>
      <w:r w:rsidRPr="00B01F9E">
        <w:rPr>
          <w:rFonts w:ascii="Arial" w:hAnsi="Arial" w:cs="Arial"/>
          <w:sz w:val="20"/>
          <w:szCs w:val="20"/>
        </w:rPr>
        <w:t>6.</w:t>
      </w:r>
    </w:p>
    <w:p w14:paraId="18DE1AAE" w14:textId="11D7414D"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Qualitative Result (SNOMED CT): Map the SNOMED CT OBX</w:t>
      </w:r>
      <w:r w:rsidR="00163480" w:rsidRPr="00B01F9E">
        <w:rPr>
          <w:rFonts w:ascii="Arial" w:hAnsi="Arial" w:cs="Arial"/>
          <w:sz w:val="20"/>
          <w:szCs w:val="20"/>
        </w:rPr>
        <w:t>-</w:t>
      </w:r>
      <w:r w:rsidRPr="00B01F9E">
        <w:rPr>
          <w:rFonts w:ascii="Arial" w:hAnsi="Arial" w:cs="Arial"/>
          <w:sz w:val="20"/>
          <w:szCs w:val="20"/>
        </w:rPr>
        <w:t>5.</w:t>
      </w:r>
    </w:p>
    <w:p w14:paraId="1BB2353E" w14:textId="79A58C2D"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CLIA Identifier of the Result Laboratory: OBX</w:t>
      </w:r>
      <w:r w:rsidR="00163480" w:rsidRPr="00B01F9E">
        <w:rPr>
          <w:rFonts w:ascii="Arial" w:hAnsi="Arial" w:cs="Arial"/>
          <w:sz w:val="20"/>
          <w:szCs w:val="20"/>
        </w:rPr>
        <w:t>-</w:t>
      </w:r>
      <w:r w:rsidRPr="00B01F9E">
        <w:rPr>
          <w:rFonts w:ascii="Arial" w:hAnsi="Arial" w:cs="Arial"/>
          <w:sz w:val="20"/>
          <w:szCs w:val="20"/>
        </w:rPr>
        <w:t>23.</w:t>
      </w:r>
    </w:p>
    <w:p w14:paraId="1EB14F90" w14:textId="5EFF99E0" w:rsidR="00360C92" w:rsidRPr="00B01F9E" w:rsidRDefault="00360C92" w:rsidP="00FA32B2">
      <w:pPr>
        <w:pStyle w:val="paragraph"/>
        <w:numPr>
          <w:ilvl w:val="0"/>
          <w:numId w:val="7"/>
        </w:numPr>
        <w:spacing w:before="120" w:beforeAutospacing="0" w:after="120" w:afterAutospacing="0"/>
        <w:textAlignment w:val="baseline"/>
        <w:rPr>
          <w:rFonts w:ascii="Arial" w:hAnsi="Arial" w:cs="Arial"/>
          <w:sz w:val="20"/>
          <w:szCs w:val="20"/>
        </w:rPr>
      </w:pPr>
      <w:r w:rsidRPr="00B01F9E">
        <w:rPr>
          <w:rFonts w:ascii="Arial" w:hAnsi="Arial" w:cs="Arial"/>
          <w:sz w:val="20"/>
          <w:szCs w:val="20"/>
        </w:rPr>
        <w:t>Specimen Disposition: SPM</w:t>
      </w:r>
      <w:r w:rsidR="006303B5" w:rsidRPr="00B01F9E">
        <w:rPr>
          <w:rFonts w:ascii="Arial" w:hAnsi="Arial" w:cs="Arial"/>
          <w:sz w:val="20"/>
          <w:szCs w:val="20"/>
        </w:rPr>
        <w:t>-</w:t>
      </w:r>
      <w:r w:rsidRPr="00B01F9E">
        <w:rPr>
          <w:rFonts w:ascii="Arial" w:hAnsi="Arial" w:cs="Arial"/>
          <w:sz w:val="20"/>
          <w:szCs w:val="20"/>
        </w:rPr>
        <w:t>24. This is an element that typically would not be utilized for proficiency testing sample submissions and may or may not be sent with the result transmission.</w:t>
      </w:r>
    </w:p>
    <w:p w14:paraId="1345F818" w14:textId="77777777" w:rsidR="00360C92" w:rsidRPr="00B01F9E" w:rsidRDefault="00360C92" w:rsidP="003F4BDC">
      <w:pPr>
        <w:spacing w:after="120" w:line="240" w:lineRule="auto"/>
        <w:rPr>
          <w:rFonts w:ascii="Arial" w:hAnsi="Arial" w:cs="Arial"/>
          <w:sz w:val="20"/>
          <w:szCs w:val="20"/>
        </w:rPr>
      </w:pPr>
      <w:r w:rsidRPr="00B01F9E">
        <w:rPr>
          <w:rFonts w:ascii="Arial" w:hAnsi="Arial" w:cs="Arial"/>
          <w:sz w:val="20"/>
          <w:szCs w:val="20"/>
        </w:rPr>
        <w:t>CAP Identifiers:</w:t>
      </w:r>
    </w:p>
    <w:p w14:paraId="7E4B6DB5" w14:textId="3CD40370" w:rsidR="00360C92" w:rsidRPr="00B01F9E" w:rsidRDefault="00360C92" w:rsidP="003F4BDC">
      <w:pPr>
        <w:pStyle w:val="ListParagraph"/>
        <w:numPr>
          <w:ilvl w:val="0"/>
          <w:numId w:val="8"/>
        </w:numPr>
        <w:spacing w:after="120" w:line="240" w:lineRule="auto"/>
        <w:rPr>
          <w:rFonts w:ascii="Arial" w:hAnsi="Arial" w:cs="Arial"/>
          <w:b/>
          <w:bCs/>
          <w:sz w:val="20"/>
          <w:szCs w:val="20"/>
        </w:rPr>
      </w:pPr>
      <w:r w:rsidRPr="00B01F9E">
        <w:rPr>
          <w:rFonts w:ascii="Arial" w:eastAsia="Times New Roman" w:hAnsi="Arial" w:cs="Arial"/>
          <w:color w:val="000000"/>
          <w:sz w:val="20"/>
          <w:szCs w:val="20"/>
        </w:rPr>
        <w:t>CAP Number</w:t>
      </w:r>
      <w:r w:rsidR="00386515" w:rsidRPr="00B01F9E">
        <w:rPr>
          <w:rFonts w:ascii="Arial" w:eastAsia="Times New Roman" w:hAnsi="Arial" w:cs="Arial"/>
          <w:color w:val="000000"/>
          <w:sz w:val="20"/>
          <w:szCs w:val="20"/>
        </w:rPr>
        <w:t xml:space="preserve">: </w:t>
      </w:r>
      <w:r w:rsidRPr="00B01F9E">
        <w:rPr>
          <w:rFonts w:ascii="Arial" w:eastAsia="Times New Roman" w:hAnsi="Arial" w:cs="Arial"/>
          <w:color w:val="000000"/>
          <w:sz w:val="20"/>
          <w:szCs w:val="20"/>
        </w:rPr>
        <w:t>MSH</w:t>
      </w:r>
      <w:r w:rsidR="006303B5" w:rsidRPr="00B01F9E">
        <w:rPr>
          <w:rFonts w:ascii="Arial" w:eastAsia="Times New Roman" w:hAnsi="Arial" w:cs="Arial"/>
          <w:color w:val="000000"/>
          <w:sz w:val="20"/>
          <w:szCs w:val="20"/>
        </w:rPr>
        <w:t>-</w:t>
      </w:r>
      <w:r w:rsidRPr="00B01F9E">
        <w:rPr>
          <w:rFonts w:ascii="Arial" w:eastAsia="Times New Roman" w:hAnsi="Arial" w:cs="Arial"/>
          <w:color w:val="000000"/>
          <w:sz w:val="20"/>
          <w:szCs w:val="20"/>
        </w:rPr>
        <w:t>4</w:t>
      </w:r>
    </w:p>
    <w:p w14:paraId="2EBCB36A" w14:textId="4A10CAB1" w:rsidR="00360C92" w:rsidRPr="00B01F9E" w:rsidRDefault="00360C92" w:rsidP="003F4BDC">
      <w:pPr>
        <w:pStyle w:val="ListParagraph"/>
        <w:numPr>
          <w:ilvl w:val="0"/>
          <w:numId w:val="8"/>
        </w:numPr>
        <w:spacing w:after="120" w:line="240" w:lineRule="auto"/>
        <w:rPr>
          <w:rFonts w:ascii="Arial" w:hAnsi="Arial" w:cs="Arial"/>
          <w:b/>
          <w:bCs/>
          <w:sz w:val="20"/>
          <w:szCs w:val="20"/>
        </w:rPr>
      </w:pPr>
      <w:r w:rsidRPr="00B01F9E">
        <w:rPr>
          <w:rFonts w:ascii="Arial" w:eastAsia="Times New Roman" w:hAnsi="Arial" w:cs="Arial"/>
          <w:color w:val="000000"/>
          <w:sz w:val="20"/>
          <w:szCs w:val="20"/>
        </w:rPr>
        <w:t>CAP Kit number</w:t>
      </w:r>
      <w:r w:rsidR="00386515" w:rsidRPr="00B01F9E">
        <w:rPr>
          <w:rFonts w:ascii="Arial" w:eastAsia="Times New Roman" w:hAnsi="Arial" w:cs="Arial"/>
          <w:color w:val="000000"/>
          <w:sz w:val="20"/>
          <w:szCs w:val="20"/>
        </w:rPr>
        <w:t xml:space="preserve">: </w:t>
      </w:r>
      <w:r w:rsidRPr="00B01F9E">
        <w:rPr>
          <w:rFonts w:ascii="Arial" w:eastAsia="Times New Roman" w:hAnsi="Arial" w:cs="Arial"/>
          <w:color w:val="000000"/>
          <w:sz w:val="20"/>
          <w:szCs w:val="20"/>
        </w:rPr>
        <w:t>ORC</w:t>
      </w:r>
      <w:r w:rsidR="006303B5" w:rsidRPr="00B01F9E">
        <w:rPr>
          <w:rFonts w:ascii="Arial" w:eastAsia="Times New Roman" w:hAnsi="Arial" w:cs="Arial"/>
          <w:color w:val="000000"/>
          <w:sz w:val="20"/>
          <w:szCs w:val="20"/>
        </w:rPr>
        <w:t>-</w:t>
      </w:r>
      <w:r w:rsidRPr="00B01F9E">
        <w:rPr>
          <w:rFonts w:ascii="Arial" w:eastAsia="Times New Roman" w:hAnsi="Arial" w:cs="Arial"/>
          <w:color w:val="000000"/>
          <w:sz w:val="20"/>
          <w:szCs w:val="20"/>
        </w:rPr>
        <w:t>4</w:t>
      </w:r>
    </w:p>
    <w:p w14:paraId="0AF05F64" w14:textId="033F4839" w:rsidR="005B7A1B" w:rsidRPr="00B01F9E" w:rsidRDefault="00360C92" w:rsidP="003F4BDC">
      <w:pPr>
        <w:pStyle w:val="ListParagraph"/>
        <w:numPr>
          <w:ilvl w:val="0"/>
          <w:numId w:val="8"/>
        </w:numPr>
        <w:spacing w:after="120" w:line="240" w:lineRule="auto"/>
        <w:rPr>
          <w:rFonts w:ascii="Arial" w:hAnsi="Arial" w:cs="Arial"/>
          <w:b/>
          <w:bCs/>
          <w:sz w:val="20"/>
          <w:szCs w:val="20"/>
        </w:rPr>
      </w:pPr>
      <w:r w:rsidRPr="00B01F9E">
        <w:rPr>
          <w:rFonts w:ascii="Arial" w:eastAsia="Times New Roman" w:hAnsi="Arial" w:cs="Arial"/>
          <w:color w:val="000000"/>
          <w:sz w:val="20"/>
          <w:szCs w:val="20"/>
        </w:rPr>
        <w:t>CAP Specimen ID</w:t>
      </w:r>
      <w:r w:rsidR="00386515" w:rsidRPr="00B01F9E">
        <w:rPr>
          <w:rFonts w:ascii="Arial" w:eastAsia="Times New Roman" w:hAnsi="Arial" w:cs="Arial"/>
          <w:color w:val="000000"/>
          <w:sz w:val="20"/>
          <w:szCs w:val="20"/>
        </w:rPr>
        <w:t xml:space="preserve">: </w:t>
      </w:r>
      <w:r w:rsidRPr="00B01F9E">
        <w:rPr>
          <w:rFonts w:ascii="Arial" w:eastAsia="Times New Roman" w:hAnsi="Arial" w:cs="Arial"/>
          <w:color w:val="000000"/>
          <w:sz w:val="20"/>
          <w:szCs w:val="20"/>
        </w:rPr>
        <w:t>SPM</w:t>
      </w:r>
      <w:r w:rsidR="006303B5" w:rsidRPr="00B01F9E">
        <w:rPr>
          <w:rFonts w:ascii="Arial" w:eastAsia="Times New Roman" w:hAnsi="Arial" w:cs="Arial"/>
          <w:color w:val="000000"/>
          <w:sz w:val="20"/>
          <w:szCs w:val="20"/>
        </w:rPr>
        <w:t>-</w:t>
      </w:r>
      <w:r w:rsidRPr="00B01F9E">
        <w:rPr>
          <w:rFonts w:ascii="Arial" w:eastAsia="Times New Roman" w:hAnsi="Arial" w:cs="Arial"/>
          <w:color w:val="000000"/>
          <w:sz w:val="20"/>
          <w:szCs w:val="20"/>
        </w:rPr>
        <w:t>2.1</w:t>
      </w:r>
    </w:p>
    <w:p w14:paraId="351C2E75" w14:textId="214144E6" w:rsidR="008B1B28" w:rsidRPr="00B01F9E" w:rsidRDefault="005210A6" w:rsidP="4E92B765">
      <w:pPr>
        <w:spacing w:after="120"/>
        <w:rPr>
          <w:rFonts w:ascii="Arial" w:hAnsi="Arial" w:cs="Arial"/>
          <w:b/>
          <w:bCs/>
          <w:sz w:val="20"/>
          <w:szCs w:val="20"/>
        </w:rPr>
      </w:pPr>
      <w:r w:rsidRPr="00B01F9E">
        <w:rPr>
          <w:rFonts w:ascii="Arial" w:hAnsi="Arial" w:cs="Arial"/>
          <w:b/>
          <w:bCs/>
          <w:sz w:val="20"/>
          <w:szCs w:val="20"/>
        </w:rPr>
        <w:t xml:space="preserve">Interface Specification for the QA Program: </w:t>
      </w:r>
    </w:p>
    <w:p w14:paraId="79857BBA" w14:textId="77777777" w:rsidR="00BD521E" w:rsidRPr="00B01F9E" w:rsidRDefault="005210A6" w:rsidP="008B1B28">
      <w:pPr>
        <w:spacing w:after="120"/>
        <w:rPr>
          <w:rFonts w:ascii="Arial" w:hAnsi="Arial" w:cs="Arial"/>
          <w:sz w:val="20"/>
          <w:szCs w:val="20"/>
        </w:rPr>
        <w:sectPr w:rsidR="00BD521E" w:rsidRPr="00B01F9E" w:rsidSect="004043EB">
          <w:pgSz w:w="12240" w:h="15840"/>
          <w:pgMar w:top="1440" w:right="1440" w:bottom="1440" w:left="1440" w:header="0" w:footer="720" w:gutter="0"/>
          <w:cols w:space="720"/>
          <w:docGrid w:linePitch="360"/>
        </w:sectPr>
      </w:pPr>
      <w:r w:rsidRPr="00B01F9E">
        <w:rPr>
          <w:rFonts w:ascii="Arial" w:hAnsi="Arial" w:cs="Arial"/>
          <w:sz w:val="20"/>
          <w:szCs w:val="20"/>
        </w:rPr>
        <w:t xml:space="preserve">The interface specification provided for this project includes the typical segments utilized in an LRI </w:t>
      </w:r>
      <w:r w:rsidR="008A350B" w:rsidRPr="00B01F9E">
        <w:rPr>
          <w:rFonts w:ascii="Arial" w:hAnsi="Arial" w:cs="Arial"/>
          <w:sz w:val="20"/>
          <w:szCs w:val="20"/>
        </w:rPr>
        <w:t>HL7 message</w:t>
      </w:r>
      <w:r w:rsidRPr="00B01F9E">
        <w:rPr>
          <w:rFonts w:ascii="Arial" w:hAnsi="Arial" w:cs="Arial"/>
          <w:sz w:val="20"/>
          <w:szCs w:val="20"/>
        </w:rPr>
        <w:t xml:space="preserve"> and aligns with the proposed IHE </w:t>
      </w:r>
      <w:proofErr w:type="spellStart"/>
      <w:r w:rsidRPr="00B01F9E">
        <w:rPr>
          <w:rFonts w:ascii="Arial" w:hAnsi="Arial" w:cs="Arial"/>
          <w:sz w:val="20"/>
          <w:szCs w:val="20"/>
        </w:rPr>
        <w:t>PaLM</w:t>
      </w:r>
      <w:proofErr w:type="spellEnd"/>
      <w:r w:rsidRPr="00B01F9E">
        <w:rPr>
          <w:rFonts w:ascii="Arial" w:hAnsi="Arial" w:cs="Arial"/>
          <w:sz w:val="20"/>
          <w:szCs w:val="20"/>
        </w:rPr>
        <w:t xml:space="preserve"> PT Profile (</w:t>
      </w:r>
      <w:hyperlink r:id="rId20" w:history="1">
        <w:r w:rsidRPr="00B01F9E">
          <w:rPr>
            <w:rFonts w:ascii="Arial" w:hAnsi="Arial" w:cs="Arial"/>
            <w:sz w:val="20"/>
            <w:szCs w:val="20"/>
          </w:rPr>
          <w:t>Integrating the Healthcare Enterprise Pathology and Laboratory Medicine Proficiency Testing Profile</w:t>
        </w:r>
      </w:hyperlink>
      <w:r w:rsidRPr="00B01F9E">
        <w:rPr>
          <w:rFonts w:ascii="Arial" w:hAnsi="Arial" w:cs="Arial"/>
          <w:sz w:val="20"/>
          <w:szCs w:val="20"/>
        </w:rPr>
        <w:t xml:space="preserve">) (Figure </w:t>
      </w:r>
      <w:r w:rsidR="00E120AA" w:rsidRPr="00B01F9E">
        <w:rPr>
          <w:rFonts w:ascii="Arial" w:hAnsi="Arial" w:cs="Arial"/>
          <w:sz w:val="20"/>
          <w:szCs w:val="20"/>
        </w:rPr>
        <w:t>4</w:t>
      </w:r>
      <w:r w:rsidRPr="00B01F9E">
        <w:rPr>
          <w:rFonts w:ascii="Arial" w:hAnsi="Arial" w:cs="Arial"/>
          <w:sz w:val="20"/>
          <w:szCs w:val="20"/>
        </w:rPr>
        <w:t>). In addition, the headers</w:t>
      </w:r>
      <w:r w:rsidR="00FE1819" w:rsidRPr="00B01F9E">
        <w:rPr>
          <w:rFonts w:ascii="Arial" w:hAnsi="Arial" w:cs="Arial"/>
          <w:sz w:val="20"/>
          <w:szCs w:val="20"/>
        </w:rPr>
        <w:t xml:space="preserve"> in Figure </w:t>
      </w:r>
      <w:r w:rsidR="00E120AA" w:rsidRPr="00B01F9E">
        <w:rPr>
          <w:rFonts w:ascii="Arial" w:hAnsi="Arial" w:cs="Arial"/>
          <w:sz w:val="20"/>
          <w:szCs w:val="20"/>
        </w:rPr>
        <w:t>4</w:t>
      </w:r>
      <w:r w:rsidRPr="00B01F9E">
        <w:rPr>
          <w:rFonts w:ascii="Arial" w:hAnsi="Arial" w:cs="Arial"/>
          <w:sz w:val="20"/>
          <w:szCs w:val="20"/>
        </w:rPr>
        <w:t xml:space="preserve"> indicate the required locations of the various components of the electronic message that the Duke Epic System sen</w:t>
      </w:r>
      <w:r w:rsidR="006039AF" w:rsidRPr="00B01F9E">
        <w:rPr>
          <w:rFonts w:ascii="Arial" w:hAnsi="Arial" w:cs="Arial"/>
          <w:sz w:val="20"/>
          <w:szCs w:val="20"/>
        </w:rPr>
        <w:t>t</w:t>
      </w:r>
      <w:r w:rsidRPr="00B01F9E">
        <w:rPr>
          <w:rFonts w:ascii="Arial" w:hAnsi="Arial" w:cs="Arial"/>
          <w:sz w:val="20"/>
          <w:szCs w:val="20"/>
        </w:rPr>
        <w:t xml:space="preserve"> through their </w:t>
      </w:r>
      <w:r w:rsidR="00036A3F" w:rsidRPr="00B01F9E">
        <w:rPr>
          <w:rFonts w:ascii="Arial" w:hAnsi="Arial" w:cs="Arial"/>
          <w:sz w:val="20"/>
          <w:szCs w:val="20"/>
        </w:rPr>
        <w:t>i</w:t>
      </w:r>
      <w:r w:rsidRPr="00B01F9E">
        <w:rPr>
          <w:rFonts w:ascii="Arial" w:hAnsi="Arial" w:cs="Arial"/>
          <w:sz w:val="20"/>
          <w:szCs w:val="20"/>
        </w:rPr>
        <w:t xml:space="preserve">nterface </w:t>
      </w:r>
      <w:r w:rsidR="00036A3F" w:rsidRPr="00B01F9E">
        <w:rPr>
          <w:rFonts w:ascii="Arial" w:hAnsi="Arial" w:cs="Arial"/>
          <w:sz w:val="20"/>
          <w:szCs w:val="20"/>
        </w:rPr>
        <w:t xml:space="preserve">engine </w:t>
      </w:r>
      <w:r w:rsidRPr="00B01F9E">
        <w:rPr>
          <w:rFonts w:ascii="Arial" w:hAnsi="Arial" w:cs="Arial"/>
          <w:sz w:val="20"/>
          <w:szCs w:val="20"/>
        </w:rPr>
        <w:t>(</w:t>
      </w:r>
      <w:proofErr w:type="spellStart"/>
      <w:r w:rsidRPr="00B01F9E">
        <w:rPr>
          <w:rFonts w:ascii="Arial" w:hAnsi="Arial" w:cs="Arial"/>
          <w:sz w:val="20"/>
          <w:szCs w:val="20"/>
        </w:rPr>
        <w:t>InterSystems</w:t>
      </w:r>
      <w:proofErr w:type="spellEnd"/>
      <w:r w:rsidRPr="00B01F9E">
        <w:rPr>
          <w:rFonts w:ascii="Arial" w:hAnsi="Arial" w:cs="Arial"/>
          <w:sz w:val="20"/>
          <w:szCs w:val="20"/>
        </w:rPr>
        <w:t xml:space="preserve"> </w:t>
      </w:r>
      <w:proofErr w:type="spellStart"/>
      <w:r w:rsidRPr="00B01F9E">
        <w:rPr>
          <w:rFonts w:ascii="Arial" w:hAnsi="Arial" w:cs="Arial"/>
          <w:sz w:val="20"/>
          <w:szCs w:val="20"/>
        </w:rPr>
        <w:t>HealthShare</w:t>
      </w:r>
      <w:proofErr w:type="spellEnd"/>
      <w:r w:rsidRPr="00B01F9E">
        <w:rPr>
          <w:rFonts w:ascii="Arial" w:hAnsi="Arial" w:cs="Arial"/>
          <w:sz w:val="20"/>
          <w:szCs w:val="20"/>
        </w:rPr>
        <w:t>) to the CAP.</w:t>
      </w:r>
    </w:p>
    <w:p w14:paraId="2394A0F8" w14:textId="6E9B9A56" w:rsidR="005210A6" w:rsidRPr="00B01F9E" w:rsidRDefault="005210A6" w:rsidP="008B1B28">
      <w:pPr>
        <w:spacing w:after="120"/>
        <w:rPr>
          <w:rFonts w:ascii="Arial" w:hAnsi="Arial" w:cs="Arial"/>
          <w:b/>
          <w:bCs/>
          <w:sz w:val="20"/>
          <w:szCs w:val="20"/>
        </w:rPr>
      </w:pPr>
    </w:p>
    <w:tbl>
      <w:tblPr>
        <w:tblpPr w:leftFromText="180" w:rightFromText="180" w:vertAnchor="text" w:horzAnchor="margin" w:tblpXSpec="center" w:tblpY="339"/>
        <w:tblW w:w="15480" w:type="dxa"/>
        <w:tblLook w:val="04A0" w:firstRow="1" w:lastRow="0" w:firstColumn="1" w:lastColumn="0" w:noHBand="0" w:noVBand="1"/>
      </w:tblPr>
      <w:tblGrid>
        <w:gridCol w:w="1807"/>
        <w:gridCol w:w="1242"/>
        <w:gridCol w:w="1264"/>
        <w:gridCol w:w="1257"/>
        <w:gridCol w:w="1255"/>
        <w:gridCol w:w="1090"/>
        <w:gridCol w:w="1170"/>
        <w:gridCol w:w="1530"/>
        <w:gridCol w:w="1504"/>
        <w:gridCol w:w="1196"/>
        <w:gridCol w:w="2165"/>
      </w:tblGrid>
      <w:tr w:rsidR="00A37432" w:rsidRPr="00B01F9E" w14:paraId="20384C72" w14:textId="77777777" w:rsidTr="00A37432">
        <w:trPr>
          <w:trHeight w:val="660"/>
        </w:trPr>
        <w:tc>
          <w:tcPr>
            <w:tcW w:w="1807" w:type="dxa"/>
            <w:vMerge w:val="restart"/>
            <w:tcBorders>
              <w:top w:val="single" w:sz="4" w:space="0" w:color="auto"/>
              <w:left w:val="single" w:sz="4" w:space="0" w:color="auto"/>
              <w:bottom w:val="single" w:sz="4" w:space="0" w:color="auto"/>
              <w:right w:val="single" w:sz="4" w:space="0" w:color="auto"/>
            </w:tcBorders>
            <w:shd w:val="clear" w:color="000000" w:fill="009BBF"/>
            <w:vAlign w:val="center"/>
            <w:hideMark/>
          </w:tcPr>
          <w:p w14:paraId="4A888C73"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Seq</w:t>
            </w:r>
          </w:p>
        </w:tc>
        <w:tc>
          <w:tcPr>
            <w:tcW w:w="1242" w:type="dxa"/>
            <w:vMerge w:val="restart"/>
            <w:tcBorders>
              <w:top w:val="single" w:sz="4" w:space="0" w:color="auto"/>
              <w:left w:val="single" w:sz="4" w:space="0" w:color="auto"/>
              <w:bottom w:val="single" w:sz="4" w:space="0" w:color="auto"/>
              <w:right w:val="single" w:sz="4" w:space="0" w:color="auto"/>
            </w:tcBorders>
            <w:shd w:val="clear" w:color="000000" w:fill="009BBF"/>
            <w:vAlign w:val="center"/>
            <w:hideMark/>
          </w:tcPr>
          <w:p w14:paraId="7380F091"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Type</w:t>
            </w:r>
          </w:p>
        </w:tc>
        <w:tc>
          <w:tcPr>
            <w:tcW w:w="1264" w:type="dxa"/>
            <w:vMerge w:val="restart"/>
            <w:tcBorders>
              <w:top w:val="single" w:sz="4" w:space="0" w:color="auto"/>
              <w:left w:val="single" w:sz="4" w:space="0" w:color="auto"/>
              <w:bottom w:val="single" w:sz="4" w:space="0" w:color="auto"/>
              <w:right w:val="single" w:sz="4" w:space="0" w:color="auto"/>
            </w:tcBorders>
            <w:shd w:val="clear" w:color="000000" w:fill="009BBF"/>
            <w:vAlign w:val="center"/>
            <w:hideMark/>
          </w:tcPr>
          <w:p w14:paraId="3499CDE2"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Required by Receiving System?</w:t>
            </w:r>
          </w:p>
        </w:tc>
        <w:tc>
          <w:tcPr>
            <w:tcW w:w="1257" w:type="dxa"/>
            <w:vMerge w:val="restart"/>
            <w:tcBorders>
              <w:top w:val="single" w:sz="4" w:space="0" w:color="auto"/>
              <w:left w:val="single" w:sz="4" w:space="0" w:color="auto"/>
              <w:bottom w:val="single" w:sz="4" w:space="0" w:color="auto"/>
              <w:right w:val="single" w:sz="4" w:space="0" w:color="auto"/>
            </w:tcBorders>
            <w:shd w:val="clear" w:color="000000" w:fill="009BBF"/>
            <w:vAlign w:val="center"/>
            <w:hideMark/>
          </w:tcPr>
          <w:p w14:paraId="0B7C1D76"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Element Name</w:t>
            </w:r>
          </w:p>
        </w:tc>
        <w:tc>
          <w:tcPr>
            <w:tcW w:w="1255" w:type="dxa"/>
            <w:vMerge w:val="restart"/>
            <w:tcBorders>
              <w:top w:val="single" w:sz="4" w:space="0" w:color="auto"/>
              <w:left w:val="single" w:sz="4" w:space="0" w:color="auto"/>
              <w:bottom w:val="single" w:sz="4" w:space="0" w:color="auto"/>
              <w:right w:val="single" w:sz="4" w:space="0" w:color="auto"/>
            </w:tcBorders>
            <w:shd w:val="clear" w:color="000000" w:fill="009BBF"/>
            <w:vAlign w:val="center"/>
            <w:hideMark/>
          </w:tcPr>
          <w:p w14:paraId="338300D9"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Maestro Care Notes</w:t>
            </w:r>
          </w:p>
        </w:tc>
        <w:tc>
          <w:tcPr>
            <w:tcW w:w="5294" w:type="dxa"/>
            <w:gridSpan w:val="4"/>
            <w:tcBorders>
              <w:top w:val="single" w:sz="4" w:space="0" w:color="auto"/>
              <w:left w:val="nil"/>
              <w:bottom w:val="single" w:sz="4" w:space="0" w:color="auto"/>
              <w:right w:val="single" w:sz="4" w:space="0" w:color="auto"/>
            </w:tcBorders>
            <w:shd w:val="clear" w:color="000000" w:fill="009BBF"/>
            <w:vAlign w:val="center"/>
            <w:hideMark/>
          </w:tcPr>
          <w:p w14:paraId="43C45B86"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Formatting Notes</w:t>
            </w:r>
          </w:p>
        </w:tc>
        <w:tc>
          <w:tcPr>
            <w:tcW w:w="1196" w:type="dxa"/>
            <w:vMerge w:val="restart"/>
            <w:tcBorders>
              <w:top w:val="single" w:sz="4" w:space="0" w:color="auto"/>
              <w:left w:val="single" w:sz="4" w:space="0" w:color="auto"/>
              <w:bottom w:val="single" w:sz="4" w:space="0" w:color="auto"/>
              <w:right w:val="single" w:sz="4" w:space="0" w:color="auto"/>
            </w:tcBorders>
            <w:shd w:val="clear" w:color="000000" w:fill="009BBF"/>
            <w:vAlign w:val="center"/>
            <w:hideMark/>
          </w:tcPr>
          <w:p w14:paraId="5EF80396"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Testing Status</w:t>
            </w:r>
          </w:p>
        </w:tc>
        <w:tc>
          <w:tcPr>
            <w:tcW w:w="2165" w:type="dxa"/>
            <w:vMerge w:val="restart"/>
            <w:tcBorders>
              <w:top w:val="single" w:sz="4" w:space="0" w:color="auto"/>
              <w:left w:val="single" w:sz="4" w:space="0" w:color="auto"/>
              <w:bottom w:val="single" w:sz="4" w:space="0" w:color="auto"/>
              <w:right w:val="single" w:sz="4" w:space="0" w:color="auto"/>
            </w:tcBorders>
            <w:shd w:val="clear" w:color="000000" w:fill="009BBF"/>
            <w:vAlign w:val="center"/>
            <w:hideMark/>
          </w:tcPr>
          <w:p w14:paraId="6BAE7E83"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Comments</w:t>
            </w:r>
          </w:p>
        </w:tc>
      </w:tr>
      <w:tr w:rsidR="00A37432" w:rsidRPr="00B01F9E" w14:paraId="0F8D62D4" w14:textId="77777777" w:rsidTr="006A3A24">
        <w:trPr>
          <w:trHeight w:val="300"/>
        </w:trPr>
        <w:tc>
          <w:tcPr>
            <w:tcW w:w="1807" w:type="dxa"/>
            <w:vMerge/>
            <w:tcBorders>
              <w:top w:val="single" w:sz="4" w:space="0" w:color="auto"/>
              <w:left w:val="single" w:sz="4" w:space="0" w:color="auto"/>
              <w:bottom w:val="single" w:sz="4" w:space="0" w:color="auto"/>
              <w:right w:val="single" w:sz="4" w:space="0" w:color="auto"/>
            </w:tcBorders>
            <w:vAlign w:val="center"/>
            <w:hideMark/>
          </w:tcPr>
          <w:p w14:paraId="2AD977C6"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42" w:type="dxa"/>
            <w:vMerge/>
            <w:tcBorders>
              <w:top w:val="single" w:sz="4" w:space="0" w:color="auto"/>
              <w:left w:val="single" w:sz="4" w:space="0" w:color="auto"/>
              <w:bottom w:val="single" w:sz="4" w:space="0" w:color="auto"/>
              <w:right w:val="single" w:sz="4" w:space="0" w:color="auto"/>
            </w:tcBorders>
            <w:vAlign w:val="center"/>
            <w:hideMark/>
          </w:tcPr>
          <w:p w14:paraId="73D4AFE8"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64" w:type="dxa"/>
            <w:vMerge/>
            <w:tcBorders>
              <w:top w:val="single" w:sz="4" w:space="0" w:color="auto"/>
              <w:left w:val="single" w:sz="4" w:space="0" w:color="auto"/>
              <w:bottom w:val="single" w:sz="4" w:space="0" w:color="auto"/>
              <w:right w:val="single" w:sz="4" w:space="0" w:color="auto"/>
            </w:tcBorders>
            <w:vAlign w:val="center"/>
            <w:hideMark/>
          </w:tcPr>
          <w:p w14:paraId="416D5456"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1A49473A"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55" w:type="dxa"/>
            <w:vMerge/>
            <w:tcBorders>
              <w:top w:val="single" w:sz="4" w:space="0" w:color="auto"/>
              <w:left w:val="single" w:sz="4" w:space="0" w:color="auto"/>
              <w:bottom w:val="single" w:sz="4" w:space="0" w:color="auto"/>
              <w:right w:val="single" w:sz="4" w:space="0" w:color="auto"/>
            </w:tcBorders>
            <w:vAlign w:val="center"/>
            <w:hideMark/>
          </w:tcPr>
          <w:p w14:paraId="083E49B3"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2260" w:type="dxa"/>
            <w:gridSpan w:val="2"/>
            <w:tcBorders>
              <w:top w:val="single" w:sz="4" w:space="0" w:color="auto"/>
              <w:left w:val="nil"/>
              <w:bottom w:val="single" w:sz="4" w:space="0" w:color="auto"/>
              <w:right w:val="single" w:sz="4" w:space="0" w:color="auto"/>
            </w:tcBorders>
            <w:shd w:val="clear" w:color="000000" w:fill="009BBF"/>
            <w:hideMark/>
          </w:tcPr>
          <w:p w14:paraId="589E1265" w14:textId="77777777" w:rsidR="00A37432" w:rsidRPr="00B01F9E" w:rsidRDefault="00A37432" w:rsidP="006A3A24">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Maestro Care</w:t>
            </w:r>
          </w:p>
        </w:tc>
        <w:tc>
          <w:tcPr>
            <w:tcW w:w="1530" w:type="dxa"/>
            <w:vMerge w:val="restart"/>
            <w:tcBorders>
              <w:top w:val="nil"/>
              <w:left w:val="single" w:sz="4" w:space="0" w:color="auto"/>
              <w:bottom w:val="single" w:sz="4" w:space="0" w:color="auto"/>
              <w:right w:val="single" w:sz="4" w:space="0" w:color="auto"/>
            </w:tcBorders>
            <w:shd w:val="clear" w:color="000000" w:fill="009BBF"/>
            <w:hideMark/>
          </w:tcPr>
          <w:p w14:paraId="433499A3"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CAP</w:t>
            </w:r>
          </w:p>
        </w:tc>
        <w:tc>
          <w:tcPr>
            <w:tcW w:w="1504" w:type="dxa"/>
            <w:vMerge w:val="restart"/>
            <w:tcBorders>
              <w:top w:val="nil"/>
              <w:left w:val="single" w:sz="4" w:space="0" w:color="auto"/>
              <w:bottom w:val="single" w:sz="4" w:space="0" w:color="auto"/>
              <w:right w:val="single" w:sz="4" w:space="0" w:color="auto"/>
            </w:tcBorders>
            <w:shd w:val="clear" w:color="000000" w:fill="009BBF"/>
            <w:hideMark/>
          </w:tcPr>
          <w:p w14:paraId="53F6E019"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Interface Broker</w:t>
            </w: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41000FC6"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2165" w:type="dxa"/>
            <w:vMerge/>
            <w:tcBorders>
              <w:top w:val="single" w:sz="4" w:space="0" w:color="auto"/>
              <w:left w:val="single" w:sz="4" w:space="0" w:color="auto"/>
              <w:bottom w:val="single" w:sz="4" w:space="0" w:color="auto"/>
              <w:right w:val="single" w:sz="4" w:space="0" w:color="auto"/>
            </w:tcBorders>
            <w:vAlign w:val="center"/>
            <w:hideMark/>
          </w:tcPr>
          <w:p w14:paraId="3A69FFF6" w14:textId="77777777" w:rsidR="00A37432" w:rsidRPr="00B01F9E" w:rsidRDefault="00A37432" w:rsidP="00A37432">
            <w:pPr>
              <w:spacing w:after="0" w:line="240" w:lineRule="auto"/>
              <w:rPr>
                <w:rFonts w:ascii="Arial" w:eastAsia="Times New Roman" w:hAnsi="Arial" w:cs="Arial"/>
                <w:b/>
                <w:bCs/>
                <w:color w:val="FFFFFF"/>
                <w:sz w:val="20"/>
                <w:szCs w:val="20"/>
              </w:rPr>
            </w:pPr>
          </w:p>
        </w:tc>
      </w:tr>
      <w:tr w:rsidR="00A37432" w:rsidRPr="00B01F9E" w14:paraId="164E9644" w14:textId="77777777" w:rsidTr="00A14951">
        <w:trPr>
          <w:trHeight w:val="184"/>
        </w:trPr>
        <w:tc>
          <w:tcPr>
            <w:tcW w:w="1807" w:type="dxa"/>
            <w:vMerge/>
            <w:tcBorders>
              <w:top w:val="single" w:sz="4" w:space="0" w:color="auto"/>
              <w:left w:val="single" w:sz="4" w:space="0" w:color="auto"/>
              <w:bottom w:val="single" w:sz="4" w:space="0" w:color="auto"/>
              <w:right w:val="single" w:sz="4" w:space="0" w:color="auto"/>
            </w:tcBorders>
            <w:vAlign w:val="center"/>
            <w:hideMark/>
          </w:tcPr>
          <w:p w14:paraId="3E15060E"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42" w:type="dxa"/>
            <w:vMerge/>
            <w:tcBorders>
              <w:top w:val="single" w:sz="4" w:space="0" w:color="auto"/>
              <w:left w:val="single" w:sz="4" w:space="0" w:color="auto"/>
              <w:bottom w:val="single" w:sz="4" w:space="0" w:color="auto"/>
              <w:right w:val="single" w:sz="4" w:space="0" w:color="auto"/>
            </w:tcBorders>
            <w:vAlign w:val="center"/>
            <w:hideMark/>
          </w:tcPr>
          <w:p w14:paraId="479612EA"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64" w:type="dxa"/>
            <w:vMerge/>
            <w:tcBorders>
              <w:top w:val="single" w:sz="4" w:space="0" w:color="auto"/>
              <w:left w:val="single" w:sz="4" w:space="0" w:color="auto"/>
              <w:bottom w:val="single" w:sz="4" w:space="0" w:color="auto"/>
              <w:right w:val="single" w:sz="4" w:space="0" w:color="auto"/>
            </w:tcBorders>
            <w:vAlign w:val="center"/>
            <w:hideMark/>
          </w:tcPr>
          <w:p w14:paraId="63606DF4"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57" w:type="dxa"/>
            <w:vMerge/>
            <w:tcBorders>
              <w:top w:val="single" w:sz="4" w:space="0" w:color="auto"/>
              <w:left w:val="single" w:sz="4" w:space="0" w:color="auto"/>
              <w:bottom w:val="single" w:sz="4" w:space="0" w:color="auto"/>
              <w:right w:val="single" w:sz="4" w:space="0" w:color="auto"/>
            </w:tcBorders>
            <w:vAlign w:val="center"/>
            <w:hideMark/>
          </w:tcPr>
          <w:p w14:paraId="05670668"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255" w:type="dxa"/>
            <w:vMerge/>
            <w:tcBorders>
              <w:top w:val="single" w:sz="4" w:space="0" w:color="auto"/>
              <w:left w:val="single" w:sz="4" w:space="0" w:color="auto"/>
              <w:bottom w:val="single" w:sz="4" w:space="0" w:color="auto"/>
              <w:right w:val="single" w:sz="4" w:space="0" w:color="auto"/>
            </w:tcBorders>
            <w:vAlign w:val="center"/>
            <w:hideMark/>
          </w:tcPr>
          <w:p w14:paraId="5C6D724F"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090" w:type="dxa"/>
            <w:tcBorders>
              <w:top w:val="nil"/>
              <w:left w:val="nil"/>
              <w:bottom w:val="single" w:sz="4" w:space="0" w:color="auto"/>
              <w:right w:val="single" w:sz="4" w:space="0" w:color="auto"/>
            </w:tcBorders>
            <w:shd w:val="clear" w:color="000000" w:fill="009BBF"/>
            <w:vAlign w:val="center"/>
            <w:hideMark/>
          </w:tcPr>
          <w:p w14:paraId="6DC7392E"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Format</w:t>
            </w:r>
          </w:p>
        </w:tc>
        <w:tc>
          <w:tcPr>
            <w:tcW w:w="1170" w:type="dxa"/>
            <w:tcBorders>
              <w:top w:val="nil"/>
              <w:left w:val="nil"/>
              <w:bottom w:val="single" w:sz="4" w:space="0" w:color="auto"/>
              <w:right w:val="single" w:sz="4" w:space="0" w:color="auto"/>
            </w:tcBorders>
            <w:shd w:val="clear" w:color="000000" w:fill="009BBF"/>
            <w:vAlign w:val="center"/>
            <w:hideMark/>
          </w:tcPr>
          <w:p w14:paraId="0EE99CEA" w14:textId="77777777" w:rsidR="00A37432" w:rsidRPr="00B01F9E" w:rsidRDefault="00A37432" w:rsidP="00A37432">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Sample</w:t>
            </w:r>
          </w:p>
        </w:tc>
        <w:tc>
          <w:tcPr>
            <w:tcW w:w="1530" w:type="dxa"/>
            <w:vMerge/>
            <w:tcBorders>
              <w:top w:val="nil"/>
              <w:left w:val="single" w:sz="4" w:space="0" w:color="auto"/>
              <w:bottom w:val="single" w:sz="4" w:space="0" w:color="auto"/>
              <w:right w:val="single" w:sz="4" w:space="0" w:color="auto"/>
            </w:tcBorders>
            <w:vAlign w:val="center"/>
            <w:hideMark/>
          </w:tcPr>
          <w:p w14:paraId="33357295"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504" w:type="dxa"/>
            <w:vMerge/>
            <w:tcBorders>
              <w:top w:val="nil"/>
              <w:left w:val="single" w:sz="4" w:space="0" w:color="auto"/>
              <w:bottom w:val="single" w:sz="4" w:space="0" w:color="auto"/>
              <w:right w:val="single" w:sz="4" w:space="0" w:color="auto"/>
            </w:tcBorders>
            <w:vAlign w:val="center"/>
            <w:hideMark/>
          </w:tcPr>
          <w:p w14:paraId="24799319"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1196" w:type="dxa"/>
            <w:vMerge/>
            <w:tcBorders>
              <w:top w:val="single" w:sz="4" w:space="0" w:color="auto"/>
              <w:left w:val="single" w:sz="4" w:space="0" w:color="auto"/>
              <w:bottom w:val="single" w:sz="4" w:space="0" w:color="auto"/>
              <w:right w:val="single" w:sz="4" w:space="0" w:color="auto"/>
            </w:tcBorders>
            <w:vAlign w:val="center"/>
            <w:hideMark/>
          </w:tcPr>
          <w:p w14:paraId="670CFF2B" w14:textId="77777777" w:rsidR="00A37432" w:rsidRPr="00B01F9E" w:rsidRDefault="00A37432" w:rsidP="00A37432">
            <w:pPr>
              <w:spacing w:after="0" w:line="240" w:lineRule="auto"/>
              <w:rPr>
                <w:rFonts w:ascii="Arial" w:eastAsia="Times New Roman" w:hAnsi="Arial" w:cs="Arial"/>
                <w:b/>
                <w:bCs/>
                <w:color w:val="FFFFFF"/>
                <w:sz w:val="20"/>
                <w:szCs w:val="20"/>
              </w:rPr>
            </w:pPr>
          </w:p>
        </w:tc>
        <w:tc>
          <w:tcPr>
            <w:tcW w:w="2165" w:type="dxa"/>
            <w:vMerge/>
            <w:tcBorders>
              <w:top w:val="single" w:sz="4" w:space="0" w:color="auto"/>
              <w:left w:val="single" w:sz="4" w:space="0" w:color="auto"/>
              <w:bottom w:val="single" w:sz="4" w:space="0" w:color="auto"/>
              <w:right w:val="single" w:sz="4" w:space="0" w:color="auto"/>
            </w:tcBorders>
            <w:vAlign w:val="center"/>
            <w:hideMark/>
          </w:tcPr>
          <w:p w14:paraId="78A613B2" w14:textId="77777777" w:rsidR="00A37432" w:rsidRPr="00B01F9E" w:rsidRDefault="00A37432" w:rsidP="00A37432">
            <w:pPr>
              <w:spacing w:after="0" w:line="240" w:lineRule="auto"/>
              <w:rPr>
                <w:rFonts w:ascii="Arial" w:eastAsia="Times New Roman" w:hAnsi="Arial" w:cs="Arial"/>
                <w:b/>
                <w:bCs/>
                <w:color w:val="FFFFFF"/>
                <w:sz w:val="20"/>
                <w:szCs w:val="20"/>
              </w:rPr>
            </w:pPr>
          </w:p>
        </w:tc>
      </w:tr>
      <w:tr w:rsidR="00A37432" w:rsidRPr="00B01F9E" w14:paraId="64A72375" w14:textId="77777777" w:rsidTr="00DD2236">
        <w:trPr>
          <w:trHeight w:val="300"/>
        </w:trPr>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5FE77941" w14:textId="77777777" w:rsidR="00A37432" w:rsidRPr="00B01F9E" w:rsidRDefault="00A37432" w:rsidP="00DD2236">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MSH – Message Header</w:t>
            </w:r>
          </w:p>
        </w:tc>
        <w:tc>
          <w:tcPr>
            <w:tcW w:w="1242" w:type="dxa"/>
            <w:tcBorders>
              <w:top w:val="nil"/>
              <w:left w:val="nil"/>
              <w:bottom w:val="single" w:sz="4" w:space="0" w:color="auto"/>
              <w:right w:val="single" w:sz="4" w:space="0" w:color="auto"/>
            </w:tcBorders>
            <w:shd w:val="clear" w:color="auto" w:fill="auto"/>
            <w:noWrap/>
            <w:hideMark/>
          </w:tcPr>
          <w:p w14:paraId="4E23A88D"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64" w:type="dxa"/>
            <w:tcBorders>
              <w:top w:val="nil"/>
              <w:left w:val="nil"/>
              <w:bottom w:val="single" w:sz="4" w:space="0" w:color="auto"/>
              <w:right w:val="single" w:sz="4" w:space="0" w:color="auto"/>
            </w:tcBorders>
            <w:shd w:val="clear" w:color="auto" w:fill="auto"/>
            <w:noWrap/>
            <w:hideMark/>
          </w:tcPr>
          <w:p w14:paraId="4905FF51"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7" w:type="dxa"/>
            <w:tcBorders>
              <w:top w:val="nil"/>
              <w:left w:val="nil"/>
              <w:bottom w:val="single" w:sz="4" w:space="0" w:color="auto"/>
              <w:right w:val="single" w:sz="4" w:space="0" w:color="auto"/>
            </w:tcBorders>
            <w:shd w:val="clear" w:color="auto" w:fill="auto"/>
            <w:noWrap/>
            <w:hideMark/>
          </w:tcPr>
          <w:p w14:paraId="062094F4"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5" w:type="dxa"/>
            <w:tcBorders>
              <w:top w:val="nil"/>
              <w:left w:val="nil"/>
              <w:bottom w:val="single" w:sz="4" w:space="0" w:color="auto"/>
              <w:right w:val="single" w:sz="4" w:space="0" w:color="auto"/>
            </w:tcBorders>
            <w:shd w:val="clear" w:color="auto" w:fill="auto"/>
            <w:noWrap/>
            <w:hideMark/>
          </w:tcPr>
          <w:p w14:paraId="2AFF15E8"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090" w:type="dxa"/>
            <w:tcBorders>
              <w:top w:val="nil"/>
              <w:left w:val="nil"/>
              <w:bottom w:val="single" w:sz="4" w:space="0" w:color="auto"/>
              <w:right w:val="single" w:sz="4" w:space="0" w:color="auto"/>
            </w:tcBorders>
            <w:shd w:val="clear" w:color="auto" w:fill="auto"/>
            <w:noWrap/>
            <w:hideMark/>
          </w:tcPr>
          <w:p w14:paraId="16F820C7"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70" w:type="dxa"/>
            <w:tcBorders>
              <w:top w:val="nil"/>
              <w:left w:val="nil"/>
              <w:bottom w:val="single" w:sz="4" w:space="0" w:color="auto"/>
              <w:right w:val="single" w:sz="4" w:space="0" w:color="auto"/>
            </w:tcBorders>
            <w:shd w:val="clear" w:color="auto" w:fill="auto"/>
            <w:noWrap/>
            <w:hideMark/>
          </w:tcPr>
          <w:p w14:paraId="480E2E4F"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530" w:type="dxa"/>
            <w:tcBorders>
              <w:top w:val="nil"/>
              <w:left w:val="nil"/>
              <w:bottom w:val="single" w:sz="4" w:space="0" w:color="auto"/>
              <w:right w:val="single" w:sz="4" w:space="0" w:color="auto"/>
            </w:tcBorders>
            <w:shd w:val="clear" w:color="000000" w:fill="92D050"/>
            <w:noWrap/>
            <w:hideMark/>
          </w:tcPr>
          <w:p w14:paraId="6313797E"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504" w:type="dxa"/>
            <w:tcBorders>
              <w:top w:val="nil"/>
              <w:left w:val="nil"/>
              <w:bottom w:val="single" w:sz="4" w:space="0" w:color="auto"/>
              <w:right w:val="single" w:sz="4" w:space="0" w:color="auto"/>
            </w:tcBorders>
            <w:shd w:val="clear" w:color="auto" w:fill="auto"/>
            <w:noWrap/>
            <w:hideMark/>
          </w:tcPr>
          <w:p w14:paraId="7D28CD15"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96" w:type="dxa"/>
            <w:tcBorders>
              <w:top w:val="nil"/>
              <w:left w:val="nil"/>
              <w:bottom w:val="single" w:sz="4" w:space="0" w:color="auto"/>
              <w:right w:val="single" w:sz="4" w:space="0" w:color="auto"/>
            </w:tcBorders>
            <w:shd w:val="clear" w:color="auto" w:fill="auto"/>
            <w:noWrap/>
            <w:hideMark/>
          </w:tcPr>
          <w:p w14:paraId="21509791"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2165" w:type="dxa"/>
            <w:tcBorders>
              <w:top w:val="nil"/>
              <w:left w:val="nil"/>
              <w:bottom w:val="single" w:sz="4" w:space="0" w:color="auto"/>
              <w:right w:val="single" w:sz="4" w:space="0" w:color="auto"/>
            </w:tcBorders>
            <w:shd w:val="clear" w:color="auto" w:fill="auto"/>
            <w:noWrap/>
            <w:hideMark/>
          </w:tcPr>
          <w:p w14:paraId="2BD34FBF"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r>
      <w:tr w:rsidR="00A37432" w:rsidRPr="00B01F9E" w14:paraId="672A5448" w14:textId="77777777" w:rsidTr="00DD2236">
        <w:trPr>
          <w:trHeight w:val="540"/>
        </w:trPr>
        <w:tc>
          <w:tcPr>
            <w:tcW w:w="1807" w:type="dxa"/>
            <w:tcBorders>
              <w:top w:val="nil"/>
              <w:left w:val="single" w:sz="4" w:space="0" w:color="auto"/>
              <w:bottom w:val="single" w:sz="4" w:space="0" w:color="auto"/>
              <w:right w:val="single" w:sz="4" w:space="0" w:color="auto"/>
            </w:tcBorders>
            <w:shd w:val="clear" w:color="auto" w:fill="auto"/>
            <w:vAlign w:val="center"/>
            <w:hideMark/>
          </w:tcPr>
          <w:p w14:paraId="7B082DDF" w14:textId="77777777" w:rsidR="00A37432" w:rsidRPr="00B01F9E" w:rsidRDefault="00A37432" w:rsidP="00DD2236">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4</w:t>
            </w:r>
          </w:p>
        </w:tc>
        <w:tc>
          <w:tcPr>
            <w:tcW w:w="1242" w:type="dxa"/>
            <w:tcBorders>
              <w:top w:val="nil"/>
              <w:left w:val="nil"/>
              <w:bottom w:val="single" w:sz="4" w:space="0" w:color="auto"/>
              <w:right w:val="single" w:sz="4" w:space="0" w:color="auto"/>
            </w:tcBorders>
            <w:shd w:val="clear" w:color="auto" w:fill="auto"/>
            <w:vAlign w:val="center"/>
            <w:hideMark/>
          </w:tcPr>
          <w:p w14:paraId="03D4B336"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HD</w:t>
            </w:r>
          </w:p>
        </w:tc>
        <w:tc>
          <w:tcPr>
            <w:tcW w:w="1264" w:type="dxa"/>
            <w:tcBorders>
              <w:top w:val="nil"/>
              <w:left w:val="nil"/>
              <w:bottom w:val="single" w:sz="4" w:space="0" w:color="auto"/>
              <w:right w:val="single" w:sz="4" w:space="0" w:color="auto"/>
            </w:tcBorders>
            <w:shd w:val="clear" w:color="auto" w:fill="auto"/>
            <w:vAlign w:val="center"/>
            <w:hideMark/>
          </w:tcPr>
          <w:p w14:paraId="11EBC103" w14:textId="77777777" w:rsidR="00A37432" w:rsidRPr="00B01F9E" w:rsidRDefault="00A37432" w:rsidP="00A14951">
            <w:pPr>
              <w:spacing w:after="0" w:line="240" w:lineRule="auto"/>
              <w:rPr>
                <w:rFonts w:ascii="Arial" w:eastAsia="Times New Roman" w:hAnsi="Arial" w:cs="Arial"/>
                <w:sz w:val="20"/>
                <w:szCs w:val="20"/>
              </w:rPr>
            </w:pPr>
            <w:r w:rsidRPr="00B01F9E">
              <w:rPr>
                <w:rFonts w:ascii="Arial" w:eastAsia="Times New Roman" w:hAnsi="Arial" w:cs="Arial"/>
                <w:sz w:val="20"/>
                <w:szCs w:val="20"/>
              </w:rPr>
              <w:t>Required</w:t>
            </w:r>
          </w:p>
        </w:tc>
        <w:tc>
          <w:tcPr>
            <w:tcW w:w="1257" w:type="dxa"/>
            <w:tcBorders>
              <w:top w:val="nil"/>
              <w:left w:val="nil"/>
              <w:bottom w:val="single" w:sz="4" w:space="0" w:color="auto"/>
              <w:right w:val="single" w:sz="4" w:space="0" w:color="auto"/>
            </w:tcBorders>
            <w:shd w:val="clear" w:color="auto" w:fill="auto"/>
            <w:vAlign w:val="center"/>
            <w:hideMark/>
          </w:tcPr>
          <w:p w14:paraId="1C5851E1"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Sending Facility</w:t>
            </w:r>
          </w:p>
        </w:tc>
        <w:tc>
          <w:tcPr>
            <w:tcW w:w="1255" w:type="dxa"/>
            <w:tcBorders>
              <w:top w:val="nil"/>
              <w:left w:val="nil"/>
              <w:bottom w:val="single" w:sz="4" w:space="0" w:color="auto"/>
              <w:right w:val="single" w:sz="4" w:space="0" w:color="auto"/>
            </w:tcBorders>
            <w:shd w:val="clear" w:color="auto" w:fill="auto"/>
            <w:vAlign w:val="center"/>
            <w:hideMark/>
          </w:tcPr>
          <w:p w14:paraId="0349EAA7" w14:textId="4983CE1E" w:rsidR="00A37432" w:rsidRPr="00B01F9E" w:rsidRDefault="00A37432" w:rsidP="00A14951">
            <w:pPr>
              <w:spacing w:after="0" w:line="240" w:lineRule="auto"/>
              <w:rPr>
                <w:rFonts w:ascii="Arial" w:eastAsia="Times New Roman" w:hAnsi="Arial" w:cs="Arial"/>
                <w:color w:val="000000"/>
                <w:sz w:val="20"/>
                <w:szCs w:val="20"/>
              </w:rPr>
            </w:pPr>
          </w:p>
        </w:tc>
        <w:tc>
          <w:tcPr>
            <w:tcW w:w="1090" w:type="dxa"/>
            <w:tcBorders>
              <w:top w:val="nil"/>
              <w:left w:val="nil"/>
              <w:bottom w:val="single" w:sz="4" w:space="0" w:color="auto"/>
              <w:right w:val="single" w:sz="4" w:space="0" w:color="auto"/>
            </w:tcBorders>
            <w:shd w:val="clear" w:color="auto" w:fill="auto"/>
            <w:vAlign w:val="center"/>
            <w:hideMark/>
          </w:tcPr>
          <w:p w14:paraId="45BBA7D7"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Sending lab identifier</w:t>
            </w:r>
          </w:p>
        </w:tc>
        <w:tc>
          <w:tcPr>
            <w:tcW w:w="1170" w:type="dxa"/>
            <w:tcBorders>
              <w:top w:val="nil"/>
              <w:left w:val="nil"/>
              <w:bottom w:val="single" w:sz="4" w:space="0" w:color="auto"/>
              <w:right w:val="single" w:sz="4" w:space="0" w:color="auto"/>
            </w:tcBorders>
            <w:shd w:val="clear" w:color="auto" w:fill="auto"/>
            <w:noWrap/>
            <w:vAlign w:val="center"/>
            <w:hideMark/>
          </w:tcPr>
          <w:p w14:paraId="4B22AC2A" w14:textId="6087357B" w:rsidR="00A37432" w:rsidRPr="00B01F9E" w:rsidRDefault="00A37432" w:rsidP="00A14951">
            <w:pPr>
              <w:spacing w:after="0" w:line="240" w:lineRule="auto"/>
              <w:rPr>
                <w:rFonts w:ascii="Arial" w:eastAsia="Times New Roman" w:hAnsi="Arial" w:cs="Arial"/>
                <w:color w:val="000000"/>
                <w:sz w:val="20"/>
                <w:szCs w:val="20"/>
              </w:rPr>
            </w:pPr>
          </w:p>
        </w:tc>
        <w:tc>
          <w:tcPr>
            <w:tcW w:w="1530" w:type="dxa"/>
            <w:tcBorders>
              <w:top w:val="nil"/>
              <w:left w:val="nil"/>
              <w:bottom w:val="single" w:sz="4" w:space="0" w:color="auto"/>
              <w:right w:val="single" w:sz="4" w:space="0" w:color="auto"/>
            </w:tcBorders>
            <w:shd w:val="clear" w:color="000000" w:fill="92D050"/>
            <w:vAlign w:val="center"/>
            <w:hideMark/>
          </w:tcPr>
          <w:p w14:paraId="0C339590" w14:textId="77777777" w:rsidR="00A37432" w:rsidRPr="00B01F9E" w:rsidRDefault="00A37432" w:rsidP="00A14951">
            <w:pPr>
              <w:spacing w:after="0" w:line="240" w:lineRule="auto"/>
              <w:rPr>
                <w:rFonts w:ascii="Arial" w:eastAsia="Times New Roman" w:hAnsi="Arial" w:cs="Arial"/>
                <w:color w:val="000000"/>
                <w:sz w:val="20"/>
                <w:szCs w:val="20"/>
              </w:rPr>
            </w:pPr>
            <w:proofErr w:type="gramStart"/>
            <w:r w:rsidRPr="00B01F9E">
              <w:rPr>
                <w:rFonts w:ascii="Arial" w:eastAsia="Times New Roman" w:hAnsi="Arial" w:cs="Arial"/>
                <w:color w:val="000000"/>
                <w:sz w:val="20"/>
                <w:szCs w:val="20"/>
              </w:rPr>
              <w:t>{ CLIENT</w:t>
            </w:r>
            <w:proofErr w:type="gramEnd"/>
            <w:r w:rsidRPr="00B01F9E">
              <w:rPr>
                <w:rFonts w:ascii="Arial" w:eastAsia="Times New Roman" w:hAnsi="Arial" w:cs="Arial"/>
                <w:color w:val="000000"/>
                <w:sz w:val="20"/>
                <w:szCs w:val="20"/>
              </w:rPr>
              <w:t>#}</w:t>
            </w:r>
          </w:p>
        </w:tc>
        <w:tc>
          <w:tcPr>
            <w:tcW w:w="1504" w:type="dxa"/>
            <w:tcBorders>
              <w:top w:val="nil"/>
              <w:left w:val="nil"/>
              <w:bottom w:val="single" w:sz="4" w:space="0" w:color="auto"/>
              <w:right w:val="single" w:sz="4" w:space="0" w:color="auto"/>
            </w:tcBorders>
            <w:shd w:val="clear" w:color="000000" w:fill="92D050"/>
            <w:vAlign w:val="center"/>
            <w:hideMark/>
          </w:tcPr>
          <w:p w14:paraId="31FD61AC" w14:textId="77777777" w:rsidR="00A37432" w:rsidRPr="00B01F9E" w:rsidRDefault="00A37432" w:rsidP="00A14951">
            <w:pPr>
              <w:spacing w:after="0" w:line="240" w:lineRule="auto"/>
              <w:rPr>
                <w:rFonts w:ascii="Arial" w:eastAsia="Times New Roman" w:hAnsi="Arial" w:cs="Arial"/>
                <w:sz w:val="20"/>
                <w:szCs w:val="20"/>
              </w:rPr>
            </w:pPr>
            <w:r w:rsidRPr="00B01F9E">
              <w:rPr>
                <w:rFonts w:ascii="Arial" w:eastAsia="Times New Roman" w:hAnsi="Arial" w:cs="Arial"/>
                <w:sz w:val="20"/>
                <w:szCs w:val="20"/>
              </w:rPr>
              <w:t>set to cap #</w:t>
            </w:r>
          </w:p>
        </w:tc>
        <w:tc>
          <w:tcPr>
            <w:tcW w:w="1196" w:type="dxa"/>
            <w:tcBorders>
              <w:top w:val="nil"/>
              <w:left w:val="nil"/>
              <w:bottom w:val="single" w:sz="4" w:space="0" w:color="auto"/>
              <w:right w:val="single" w:sz="4" w:space="0" w:color="auto"/>
            </w:tcBorders>
            <w:shd w:val="clear" w:color="auto" w:fill="auto"/>
            <w:vAlign w:val="center"/>
            <w:hideMark/>
          </w:tcPr>
          <w:p w14:paraId="6098CB57" w14:textId="3E1B8EB1" w:rsidR="00A37432" w:rsidRPr="00B01F9E" w:rsidRDefault="00A37432" w:rsidP="00A14951">
            <w:pPr>
              <w:spacing w:after="0" w:line="240" w:lineRule="auto"/>
              <w:rPr>
                <w:rFonts w:ascii="Arial" w:eastAsia="Times New Roman" w:hAnsi="Arial" w:cs="Arial"/>
                <w:color w:val="000000"/>
                <w:sz w:val="20"/>
                <w:szCs w:val="20"/>
              </w:rPr>
            </w:pPr>
          </w:p>
        </w:tc>
        <w:tc>
          <w:tcPr>
            <w:tcW w:w="2165" w:type="dxa"/>
            <w:tcBorders>
              <w:top w:val="nil"/>
              <w:left w:val="nil"/>
              <w:bottom w:val="single" w:sz="4" w:space="0" w:color="auto"/>
              <w:right w:val="single" w:sz="4" w:space="0" w:color="auto"/>
            </w:tcBorders>
            <w:shd w:val="clear" w:color="000000" w:fill="92D050"/>
            <w:vAlign w:val="center"/>
            <w:hideMark/>
          </w:tcPr>
          <w:p w14:paraId="60BDA9DC"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xml:space="preserve">To match IHE </w:t>
            </w:r>
            <w:proofErr w:type="spellStart"/>
            <w:r w:rsidRPr="00B01F9E">
              <w:rPr>
                <w:rFonts w:ascii="Arial" w:eastAsia="Times New Roman" w:hAnsi="Arial" w:cs="Arial"/>
                <w:color w:val="000000"/>
                <w:sz w:val="20"/>
                <w:szCs w:val="20"/>
              </w:rPr>
              <w:t>PaLM</w:t>
            </w:r>
            <w:proofErr w:type="spellEnd"/>
            <w:r w:rsidRPr="00B01F9E">
              <w:rPr>
                <w:rFonts w:ascii="Arial" w:eastAsia="Times New Roman" w:hAnsi="Arial" w:cs="Arial"/>
                <w:color w:val="000000"/>
                <w:sz w:val="20"/>
                <w:szCs w:val="20"/>
              </w:rPr>
              <w:t xml:space="preserve"> PT profile</w:t>
            </w:r>
          </w:p>
        </w:tc>
      </w:tr>
      <w:tr w:rsidR="00A37432" w:rsidRPr="00B01F9E" w14:paraId="78EAA6E8" w14:textId="77777777" w:rsidTr="00DD2236">
        <w:trPr>
          <w:trHeight w:val="300"/>
        </w:trPr>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5DF0358E" w14:textId="77777777" w:rsidR="00A37432" w:rsidRPr="00B01F9E" w:rsidRDefault="00A37432" w:rsidP="00DD2236">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SFT – Software</w:t>
            </w:r>
          </w:p>
        </w:tc>
        <w:tc>
          <w:tcPr>
            <w:tcW w:w="1242" w:type="dxa"/>
            <w:tcBorders>
              <w:top w:val="nil"/>
              <w:left w:val="nil"/>
              <w:bottom w:val="single" w:sz="4" w:space="0" w:color="auto"/>
              <w:right w:val="single" w:sz="4" w:space="0" w:color="auto"/>
            </w:tcBorders>
            <w:shd w:val="clear" w:color="auto" w:fill="auto"/>
            <w:noWrap/>
            <w:hideMark/>
          </w:tcPr>
          <w:p w14:paraId="63437BE6"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64" w:type="dxa"/>
            <w:tcBorders>
              <w:top w:val="nil"/>
              <w:left w:val="nil"/>
              <w:bottom w:val="single" w:sz="4" w:space="0" w:color="auto"/>
              <w:right w:val="single" w:sz="4" w:space="0" w:color="auto"/>
            </w:tcBorders>
            <w:shd w:val="clear" w:color="auto" w:fill="auto"/>
            <w:noWrap/>
            <w:hideMark/>
          </w:tcPr>
          <w:p w14:paraId="2EF5154D"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7" w:type="dxa"/>
            <w:tcBorders>
              <w:top w:val="nil"/>
              <w:left w:val="nil"/>
              <w:bottom w:val="single" w:sz="4" w:space="0" w:color="auto"/>
              <w:right w:val="single" w:sz="4" w:space="0" w:color="auto"/>
            </w:tcBorders>
            <w:shd w:val="clear" w:color="auto" w:fill="auto"/>
            <w:noWrap/>
            <w:hideMark/>
          </w:tcPr>
          <w:p w14:paraId="0B3EF049"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5" w:type="dxa"/>
            <w:tcBorders>
              <w:top w:val="nil"/>
              <w:left w:val="nil"/>
              <w:bottom w:val="single" w:sz="4" w:space="0" w:color="auto"/>
              <w:right w:val="single" w:sz="4" w:space="0" w:color="auto"/>
            </w:tcBorders>
            <w:shd w:val="clear" w:color="auto" w:fill="auto"/>
            <w:noWrap/>
            <w:hideMark/>
          </w:tcPr>
          <w:p w14:paraId="0894D4AC"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090" w:type="dxa"/>
            <w:tcBorders>
              <w:top w:val="nil"/>
              <w:left w:val="nil"/>
              <w:bottom w:val="single" w:sz="4" w:space="0" w:color="auto"/>
              <w:right w:val="single" w:sz="4" w:space="0" w:color="auto"/>
            </w:tcBorders>
            <w:shd w:val="clear" w:color="auto" w:fill="auto"/>
            <w:noWrap/>
            <w:hideMark/>
          </w:tcPr>
          <w:p w14:paraId="50AF8E25"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70" w:type="dxa"/>
            <w:tcBorders>
              <w:top w:val="nil"/>
              <w:left w:val="nil"/>
              <w:bottom w:val="single" w:sz="4" w:space="0" w:color="auto"/>
              <w:right w:val="single" w:sz="4" w:space="0" w:color="auto"/>
            </w:tcBorders>
            <w:shd w:val="clear" w:color="auto" w:fill="auto"/>
            <w:noWrap/>
            <w:hideMark/>
          </w:tcPr>
          <w:p w14:paraId="79ECFC1A"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530" w:type="dxa"/>
            <w:tcBorders>
              <w:top w:val="nil"/>
              <w:left w:val="nil"/>
              <w:bottom w:val="single" w:sz="4" w:space="0" w:color="auto"/>
              <w:right w:val="single" w:sz="4" w:space="0" w:color="auto"/>
            </w:tcBorders>
            <w:shd w:val="clear" w:color="000000" w:fill="92D050"/>
            <w:noWrap/>
            <w:hideMark/>
          </w:tcPr>
          <w:p w14:paraId="13906969"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504" w:type="dxa"/>
            <w:tcBorders>
              <w:top w:val="nil"/>
              <w:left w:val="nil"/>
              <w:bottom w:val="single" w:sz="4" w:space="0" w:color="auto"/>
              <w:right w:val="single" w:sz="4" w:space="0" w:color="auto"/>
            </w:tcBorders>
            <w:shd w:val="clear" w:color="auto" w:fill="auto"/>
            <w:noWrap/>
            <w:hideMark/>
          </w:tcPr>
          <w:p w14:paraId="26288D47"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96" w:type="dxa"/>
            <w:tcBorders>
              <w:top w:val="nil"/>
              <w:left w:val="nil"/>
              <w:bottom w:val="single" w:sz="4" w:space="0" w:color="auto"/>
              <w:right w:val="single" w:sz="4" w:space="0" w:color="auto"/>
            </w:tcBorders>
            <w:shd w:val="clear" w:color="auto" w:fill="auto"/>
            <w:noWrap/>
            <w:hideMark/>
          </w:tcPr>
          <w:p w14:paraId="7CC0B61B"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2165" w:type="dxa"/>
            <w:tcBorders>
              <w:top w:val="nil"/>
              <w:left w:val="nil"/>
              <w:bottom w:val="single" w:sz="4" w:space="0" w:color="auto"/>
              <w:right w:val="single" w:sz="4" w:space="0" w:color="auto"/>
            </w:tcBorders>
            <w:shd w:val="clear" w:color="auto" w:fill="auto"/>
            <w:noWrap/>
            <w:hideMark/>
          </w:tcPr>
          <w:p w14:paraId="0817176F"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r>
      <w:tr w:rsidR="00A37432" w:rsidRPr="00B01F9E" w14:paraId="173B5B41" w14:textId="77777777" w:rsidTr="00DD2236">
        <w:trPr>
          <w:trHeight w:val="300"/>
        </w:trPr>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5D120B37" w14:textId="77777777" w:rsidR="00A37432" w:rsidRPr="00B01F9E" w:rsidRDefault="00A37432" w:rsidP="00DD2236">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PID - Patient Identification</w:t>
            </w:r>
          </w:p>
        </w:tc>
        <w:tc>
          <w:tcPr>
            <w:tcW w:w="1242" w:type="dxa"/>
            <w:tcBorders>
              <w:top w:val="nil"/>
              <w:left w:val="nil"/>
              <w:bottom w:val="single" w:sz="4" w:space="0" w:color="auto"/>
              <w:right w:val="single" w:sz="4" w:space="0" w:color="auto"/>
            </w:tcBorders>
            <w:shd w:val="clear" w:color="auto" w:fill="auto"/>
            <w:noWrap/>
            <w:hideMark/>
          </w:tcPr>
          <w:p w14:paraId="18451D6A"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64" w:type="dxa"/>
            <w:tcBorders>
              <w:top w:val="nil"/>
              <w:left w:val="nil"/>
              <w:bottom w:val="single" w:sz="4" w:space="0" w:color="auto"/>
              <w:right w:val="single" w:sz="4" w:space="0" w:color="auto"/>
            </w:tcBorders>
            <w:shd w:val="clear" w:color="auto" w:fill="auto"/>
            <w:noWrap/>
            <w:hideMark/>
          </w:tcPr>
          <w:p w14:paraId="2E863C95"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7" w:type="dxa"/>
            <w:tcBorders>
              <w:top w:val="nil"/>
              <w:left w:val="nil"/>
              <w:bottom w:val="single" w:sz="4" w:space="0" w:color="auto"/>
              <w:right w:val="single" w:sz="4" w:space="0" w:color="auto"/>
            </w:tcBorders>
            <w:shd w:val="clear" w:color="auto" w:fill="auto"/>
            <w:noWrap/>
            <w:hideMark/>
          </w:tcPr>
          <w:p w14:paraId="6ECEE822"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5" w:type="dxa"/>
            <w:tcBorders>
              <w:top w:val="nil"/>
              <w:left w:val="nil"/>
              <w:bottom w:val="single" w:sz="4" w:space="0" w:color="auto"/>
              <w:right w:val="single" w:sz="4" w:space="0" w:color="auto"/>
            </w:tcBorders>
            <w:shd w:val="clear" w:color="auto" w:fill="auto"/>
            <w:noWrap/>
            <w:hideMark/>
          </w:tcPr>
          <w:p w14:paraId="12AC4F8C"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090" w:type="dxa"/>
            <w:tcBorders>
              <w:top w:val="nil"/>
              <w:left w:val="nil"/>
              <w:bottom w:val="single" w:sz="4" w:space="0" w:color="auto"/>
              <w:right w:val="single" w:sz="4" w:space="0" w:color="auto"/>
            </w:tcBorders>
            <w:shd w:val="clear" w:color="auto" w:fill="auto"/>
            <w:noWrap/>
            <w:hideMark/>
          </w:tcPr>
          <w:p w14:paraId="7774769D"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70" w:type="dxa"/>
            <w:tcBorders>
              <w:top w:val="nil"/>
              <w:left w:val="nil"/>
              <w:bottom w:val="single" w:sz="4" w:space="0" w:color="auto"/>
              <w:right w:val="single" w:sz="4" w:space="0" w:color="auto"/>
            </w:tcBorders>
            <w:shd w:val="clear" w:color="auto" w:fill="auto"/>
            <w:noWrap/>
            <w:hideMark/>
          </w:tcPr>
          <w:p w14:paraId="49F74D2F"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530" w:type="dxa"/>
            <w:tcBorders>
              <w:top w:val="nil"/>
              <w:left w:val="nil"/>
              <w:bottom w:val="single" w:sz="4" w:space="0" w:color="auto"/>
              <w:right w:val="single" w:sz="4" w:space="0" w:color="auto"/>
            </w:tcBorders>
            <w:shd w:val="clear" w:color="000000" w:fill="92D050"/>
            <w:noWrap/>
            <w:hideMark/>
          </w:tcPr>
          <w:p w14:paraId="2F58F07F"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504" w:type="dxa"/>
            <w:tcBorders>
              <w:top w:val="nil"/>
              <w:left w:val="nil"/>
              <w:bottom w:val="single" w:sz="4" w:space="0" w:color="auto"/>
              <w:right w:val="single" w:sz="4" w:space="0" w:color="auto"/>
            </w:tcBorders>
            <w:shd w:val="clear" w:color="auto" w:fill="auto"/>
            <w:noWrap/>
            <w:hideMark/>
          </w:tcPr>
          <w:p w14:paraId="020F0B9C"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96" w:type="dxa"/>
            <w:tcBorders>
              <w:top w:val="nil"/>
              <w:left w:val="nil"/>
              <w:bottom w:val="single" w:sz="4" w:space="0" w:color="auto"/>
              <w:right w:val="single" w:sz="4" w:space="0" w:color="auto"/>
            </w:tcBorders>
            <w:shd w:val="clear" w:color="auto" w:fill="auto"/>
            <w:noWrap/>
            <w:hideMark/>
          </w:tcPr>
          <w:p w14:paraId="163D207D"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2165" w:type="dxa"/>
            <w:tcBorders>
              <w:top w:val="nil"/>
              <w:left w:val="nil"/>
              <w:bottom w:val="single" w:sz="4" w:space="0" w:color="auto"/>
              <w:right w:val="single" w:sz="4" w:space="0" w:color="auto"/>
            </w:tcBorders>
            <w:shd w:val="clear" w:color="auto" w:fill="auto"/>
            <w:noWrap/>
            <w:hideMark/>
          </w:tcPr>
          <w:p w14:paraId="42141376"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r>
      <w:tr w:rsidR="00A37432" w:rsidRPr="00B01F9E" w14:paraId="4E64CBCC" w14:textId="77777777" w:rsidTr="00DD2236">
        <w:trPr>
          <w:trHeight w:val="300"/>
        </w:trPr>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5B2887BB" w14:textId="77777777" w:rsidR="00A37432" w:rsidRPr="00B01F9E" w:rsidRDefault="00A37432" w:rsidP="00DD2236">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NTE - Notes Following PID</w:t>
            </w:r>
          </w:p>
        </w:tc>
        <w:tc>
          <w:tcPr>
            <w:tcW w:w="1242" w:type="dxa"/>
            <w:tcBorders>
              <w:top w:val="nil"/>
              <w:left w:val="nil"/>
              <w:bottom w:val="single" w:sz="4" w:space="0" w:color="auto"/>
              <w:right w:val="single" w:sz="4" w:space="0" w:color="auto"/>
            </w:tcBorders>
            <w:shd w:val="clear" w:color="auto" w:fill="auto"/>
            <w:noWrap/>
            <w:hideMark/>
          </w:tcPr>
          <w:p w14:paraId="3CEBF6D6"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64" w:type="dxa"/>
            <w:tcBorders>
              <w:top w:val="nil"/>
              <w:left w:val="nil"/>
              <w:bottom w:val="single" w:sz="4" w:space="0" w:color="auto"/>
              <w:right w:val="single" w:sz="4" w:space="0" w:color="auto"/>
            </w:tcBorders>
            <w:shd w:val="clear" w:color="auto" w:fill="auto"/>
            <w:noWrap/>
            <w:hideMark/>
          </w:tcPr>
          <w:p w14:paraId="43694AC8"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7" w:type="dxa"/>
            <w:tcBorders>
              <w:top w:val="nil"/>
              <w:left w:val="nil"/>
              <w:bottom w:val="single" w:sz="4" w:space="0" w:color="auto"/>
              <w:right w:val="single" w:sz="4" w:space="0" w:color="auto"/>
            </w:tcBorders>
            <w:shd w:val="clear" w:color="auto" w:fill="auto"/>
            <w:noWrap/>
            <w:hideMark/>
          </w:tcPr>
          <w:p w14:paraId="3966A8BB"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5" w:type="dxa"/>
            <w:tcBorders>
              <w:top w:val="nil"/>
              <w:left w:val="nil"/>
              <w:bottom w:val="single" w:sz="4" w:space="0" w:color="auto"/>
              <w:right w:val="single" w:sz="4" w:space="0" w:color="auto"/>
            </w:tcBorders>
            <w:shd w:val="clear" w:color="auto" w:fill="auto"/>
            <w:noWrap/>
            <w:hideMark/>
          </w:tcPr>
          <w:p w14:paraId="3263F21D"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090" w:type="dxa"/>
            <w:tcBorders>
              <w:top w:val="nil"/>
              <w:left w:val="nil"/>
              <w:bottom w:val="single" w:sz="4" w:space="0" w:color="auto"/>
              <w:right w:val="single" w:sz="4" w:space="0" w:color="auto"/>
            </w:tcBorders>
            <w:shd w:val="clear" w:color="auto" w:fill="auto"/>
            <w:noWrap/>
            <w:hideMark/>
          </w:tcPr>
          <w:p w14:paraId="3F4C16C1"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70" w:type="dxa"/>
            <w:tcBorders>
              <w:top w:val="nil"/>
              <w:left w:val="nil"/>
              <w:bottom w:val="single" w:sz="4" w:space="0" w:color="auto"/>
              <w:right w:val="single" w:sz="4" w:space="0" w:color="auto"/>
            </w:tcBorders>
            <w:shd w:val="clear" w:color="auto" w:fill="auto"/>
            <w:noWrap/>
            <w:vAlign w:val="bottom"/>
            <w:hideMark/>
          </w:tcPr>
          <w:p w14:paraId="6511CA3F"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30" w:type="dxa"/>
            <w:tcBorders>
              <w:top w:val="nil"/>
              <w:left w:val="nil"/>
              <w:bottom w:val="single" w:sz="4" w:space="0" w:color="auto"/>
              <w:right w:val="single" w:sz="4" w:space="0" w:color="auto"/>
            </w:tcBorders>
            <w:shd w:val="clear" w:color="000000" w:fill="92D050"/>
            <w:noWrap/>
            <w:vAlign w:val="bottom"/>
            <w:hideMark/>
          </w:tcPr>
          <w:p w14:paraId="7688AE72"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04" w:type="dxa"/>
            <w:tcBorders>
              <w:top w:val="nil"/>
              <w:left w:val="nil"/>
              <w:bottom w:val="single" w:sz="4" w:space="0" w:color="auto"/>
              <w:right w:val="single" w:sz="4" w:space="0" w:color="auto"/>
            </w:tcBorders>
            <w:shd w:val="clear" w:color="auto" w:fill="auto"/>
            <w:noWrap/>
            <w:vAlign w:val="bottom"/>
            <w:hideMark/>
          </w:tcPr>
          <w:p w14:paraId="74994A44"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96" w:type="dxa"/>
            <w:tcBorders>
              <w:top w:val="nil"/>
              <w:left w:val="nil"/>
              <w:bottom w:val="single" w:sz="4" w:space="0" w:color="auto"/>
              <w:right w:val="single" w:sz="4" w:space="0" w:color="auto"/>
            </w:tcBorders>
            <w:shd w:val="clear" w:color="auto" w:fill="auto"/>
            <w:noWrap/>
            <w:hideMark/>
          </w:tcPr>
          <w:p w14:paraId="37C30079"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2165" w:type="dxa"/>
            <w:tcBorders>
              <w:top w:val="nil"/>
              <w:left w:val="nil"/>
              <w:bottom w:val="single" w:sz="4" w:space="0" w:color="auto"/>
              <w:right w:val="single" w:sz="4" w:space="0" w:color="auto"/>
            </w:tcBorders>
            <w:shd w:val="clear" w:color="auto" w:fill="auto"/>
            <w:noWrap/>
            <w:vAlign w:val="bottom"/>
            <w:hideMark/>
          </w:tcPr>
          <w:p w14:paraId="4EF5FFD7"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r>
      <w:tr w:rsidR="00A37432" w:rsidRPr="00B01F9E" w14:paraId="6A4BC9D1" w14:textId="77777777" w:rsidTr="00DD2236">
        <w:trPr>
          <w:trHeight w:val="300"/>
        </w:trPr>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0BEB3225" w14:textId="77777777" w:rsidR="00A37432" w:rsidRPr="00B01F9E" w:rsidRDefault="00A37432" w:rsidP="00DD2236">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PV1 - Patient Visit</w:t>
            </w:r>
          </w:p>
        </w:tc>
        <w:tc>
          <w:tcPr>
            <w:tcW w:w="1242" w:type="dxa"/>
            <w:tcBorders>
              <w:top w:val="nil"/>
              <w:left w:val="nil"/>
              <w:bottom w:val="single" w:sz="4" w:space="0" w:color="auto"/>
              <w:right w:val="single" w:sz="4" w:space="0" w:color="auto"/>
            </w:tcBorders>
            <w:shd w:val="clear" w:color="auto" w:fill="auto"/>
            <w:noWrap/>
            <w:hideMark/>
          </w:tcPr>
          <w:p w14:paraId="58EF7188"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64" w:type="dxa"/>
            <w:tcBorders>
              <w:top w:val="nil"/>
              <w:left w:val="nil"/>
              <w:bottom w:val="single" w:sz="4" w:space="0" w:color="auto"/>
              <w:right w:val="single" w:sz="4" w:space="0" w:color="auto"/>
            </w:tcBorders>
            <w:shd w:val="clear" w:color="auto" w:fill="auto"/>
            <w:noWrap/>
            <w:hideMark/>
          </w:tcPr>
          <w:p w14:paraId="74E3622B"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7" w:type="dxa"/>
            <w:tcBorders>
              <w:top w:val="nil"/>
              <w:left w:val="nil"/>
              <w:bottom w:val="single" w:sz="4" w:space="0" w:color="auto"/>
              <w:right w:val="single" w:sz="4" w:space="0" w:color="auto"/>
            </w:tcBorders>
            <w:shd w:val="clear" w:color="auto" w:fill="auto"/>
            <w:noWrap/>
            <w:hideMark/>
          </w:tcPr>
          <w:p w14:paraId="5239FDD0"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5" w:type="dxa"/>
            <w:tcBorders>
              <w:top w:val="nil"/>
              <w:left w:val="nil"/>
              <w:bottom w:val="single" w:sz="4" w:space="0" w:color="auto"/>
              <w:right w:val="single" w:sz="4" w:space="0" w:color="auto"/>
            </w:tcBorders>
            <w:shd w:val="clear" w:color="auto" w:fill="auto"/>
            <w:noWrap/>
            <w:hideMark/>
          </w:tcPr>
          <w:p w14:paraId="15CAE783"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090" w:type="dxa"/>
            <w:tcBorders>
              <w:top w:val="nil"/>
              <w:left w:val="nil"/>
              <w:bottom w:val="single" w:sz="4" w:space="0" w:color="auto"/>
              <w:right w:val="single" w:sz="4" w:space="0" w:color="auto"/>
            </w:tcBorders>
            <w:shd w:val="clear" w:color="auto" w:fill="auto"/>
            <w:noWrap/>
            <w:hideMark/>
          </w:tcPr>
          <w:p w14:paraId="242042FD"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70" w:type="dxa"/>
            <w:tcBorders>
              <w:top w:val="nil"/>
              <w:left w:val="nil"/>
              <w:bottom w:val="single" w:sz="4" w:space="0" w:color="auto"/>
              <w:right w:val="single" w:sz="4" w:space="0" w:color="auto"/>
            </w:tcBorders>
            <w:shd w:val="clear" w:color="auto" w:fill="auto"/>
            <w:noWrap/>
            <w:vAlign w:val="bottom"/>
            <w:hideMark/>
          </w:tcPr>
          <w:p w14:paraId="04B6B8CF"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30" w:type="dxa"/>
            <w:tcBorders>
              <w:top w:val="nil"/>
              <w:left w:val="nil"/>
              <w:bottom w:val="single" w:sz="4" w:space="0" w:color="auto"/>
              <w:right w:val="single" w:sz="4" w:space="0" w:color="auto"/>
            </w:tcBorders>
            <w:shd w:val="clear" w:color="000000" w:fill="92D050"/>
            <w:noWrap/>
            <w:vAlign w:val="bottom"/>
            <w:hideMark/>
          </w:tcPr>
          <w:p w14:paraId="70DC88F4"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04" w:type="dxa"/>
            <w:tcBorders>
              <w:top w:val="nil"/>
              <w:left w:val="nil"/>
              <w:bottom w:val="single" w:sz="4" w:space="0" w:color="auto"/>
              <w:right w:val="single" w:sz="4" w:space="0" w:color="auto"/>
            </w:tcBorders>
            <w:shd w:val="clear" w:color="auto" w:fill="auto"/>
            <w:noWrap/>
            <w:vAlign w:val="bottom"/>
            <w:hideMark/>
          </w:tcPr>
          <w:p w14:paraId="577EFBD7" w14:textId="77777777" w:rsidR="00A37432" w:rsidRPr="00B01F9E" w:rsidRDefault="00A37432" w:rsidP="00A37432">
            <w:pPr>
              <w:spacing w:after="0" w:line="240" w:lineRule="auto"/>
              <w:rPr>
                <w:rFonts w:ascii="Arial" w:eastAsia="Times New Roman" w:hAnsi="Arial" w:cs="Arial"/>
                <w:b/>
                <w:bCs/>
                <w:color w:val="FF0000"/>
                <w:sz w:val="20"/>
                <w:szCs w:val="20"/>
              </w:rPr>
            </w:pPr>
            <w:r w:rsidRPr="00B01F9E">
              <w:rPr>
                <w:rFonts w:ascii="Arial" w:eastAsia="Times New Roman" w:hAnsi="Arial" w:cs="Arial"/>
                <w:b/>
                <w:bCs/>
                <w:color w:val="FF0000"/>
                <w:sz w:val="20"/>
                <w:szCs w:val="20"/>
              </w:rPr>
              <w:t> </w:t>
            </w:r>
          </w:p>
        </w:tc>
        <w:tc>
          <w:tcPr>
            <w:tcW w:w="1196" w:type="dxa"/>
            <w:tcBorders>
              <w:top w:val="nil"/>
              <w:left w:val="nil"/>
              <w:bottom w:val="single" w:sz="4" w:space="0" w:color="auto"/>
              <w:right w:val="single" w:sz="4" w:space="0" w:color="auto"/>
            </w:tcBorders>
            <w:shd w:val="clear" w:color="auto" w:fill="auto"/>
            <w:noWrap/>
            <w:hideMark/>
          </w:tcPr>
          <w:p w14:paraId="3D90430B"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2165" w:type="dxa"/>
            <w:tcBorders>
              <w:top w:val="nil"/>
              <w:left w:val="nil"/>
              <w:bottom w:val="single" w:sz="4" w:space="0" w:color="auto"/>
              <w:right w:val="single" w:sz="4" w:space="0" w:color="auto"/>
            </w:tcBorders>
            <w:shd w:val="clear" w:color="auto" w:fill="auto"/>
            <w:noWrap/>
            <w:vAlign w:val="bottom"/>
            <w:hideMark/>
          </w:tcPr>
          <w:p w14:paraId="6268D1F7"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r>
      <w:tr w:rsidR="00A37432" w:rsidRPr="00B01F9E" w14:paraId="06D77CF2" w14:textId="77777777" w:rsidTr="00DD2236">
        <w:trPr>
          <w:trHeight w:val="300"/>
        </w:trPr>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788A5600" w14:textId="77777777" w:rsidR="00A37432" w:rsidRPr="00B01F9E" w:rsidRDefault="00A37432" w:rsidP="00DD2236">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ORC - Common Order</w:t>
            </w:r>
          </w:p>
        </w:tc>
        <w:tc>
          <w:tcPr>
            <w:tcW w:w="1242" w:type="dxa"/>
            <w:tcBorders>
              <w:top w:val="nil"/>
              <w:left w:val="nil"/>
              <w:bottom w:val="single" w:sz="4" w:space="0" w:color="auto"/>
              <w:right w:val="single" w:sz="4" w:space="0" w:color="auto"/>
            </w:tcBorders>
            <w:shd w:val="clear" w:color="auto" w:fill="auto"/>
            <w:noWrap/>
            <w:hideMark/>
          </w:tcPr>
          <w:p w14:paraId="6E124099"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64" w:type="dxa"/>
            <w:tcBorders>
              <w:top w:val="nil"/>
              <w:left w:val="nil"/>
              <w:bottom w:val="single" w:sz="4" w:space="0" w:color="auto"/>
              <w:right w:val="single" w:sz="4" w:space="0" w:color="auto"/>
            </w:tcBorders>
            <w:shd w:val="clear" w:color="auto" w:fill="auto"/>
            <w:noWrap/>
            <w:hideMark/>
          </w:tcPr>
          <w:p w14:paraId="4D451E80"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7" w:type="dxa"/>
            <w:tcBorders>
              <w:top w:val="nil"/>
              <w:left w:val="nil"/>
              <w:bottom w:val="single" w:sz="4" w:space="0" w:color="auto"/>
              <w:right w:val="single" w:sz="4" w:space="0" w:color="auto"/>
            </w:tcBorders>
            <w:shd w:val="clear" w:color="auto" w:fill="auto"/>
            <w:noWrap/>
            <w:hideMark/>
          </w:tcPr>
          <w:p w14:paraId="6FAFE425"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5" w:type="dxa"/>
            <w:tcBorders>
              <w:top w:val="nil"/>
              <w:left w:val="nil"/>
              <w:bottom w:val="single" w:sz="4" w:space="0" w:color="auto"/>
              <w:right w:val="single" w:sz="4" w:space="0" w:color="auto"/>
            </w:tcBorders>
            <w:shd w:val="clear" w:color="auto" w:fill="auto"/>
            <w:noWrap/>
            <w:hideMark/>
          </w:tcPr>
          <w:p w14:paraId="49D062DE"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090" w:type="dxa"/>
            <w:tcBorders>
              <w:top w:val="nil"/>
              <w:left w:val="nil"/>
              <w:bottom w:val="single" w:sz="4" w:space="0" w:color="auto"/>
              <w:right w:val="single" w:sz="4" w:space="0" w:color="auto"/>
            </w:tcBorders>
            <w:shd w:val="clear" w:color="auto" w:fill="auto"/>
            <w:noWrap/>
            <w:hideMark/>
          </w:tcPr>
          <w:p w14:paraId="5A6DA933"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70" w:type="dxa"/>
            <w:tcBorders>
              <w:top w:val="nil"/>
              <w:left w:val="nil"/>
              <w:bottom w:val="single" w:sz="4" w:space="0" w:color="auto"/>
              <w:right w:val="single" w:sz="4" w:space="0" w:color="auto"/>
            </w:tcBorders>
            <w:shd w:val="clear" w:color="auto" w:fill="auto"/>
            <w:noWrap/>
            <w:vAlign w:val="bottom"/>
            <w:hideMark/>
          </w:tcPr>
          <w:p w14:paraId="3C00FF77"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30" w:type="dxa"/>
            <w:tcBorders>
              <w:top w:val="nil"/>
              <w:left w:val="nil"/>
              <w:bottom w:val="single" w:sz="4" w:space="0" w:color="auto"/>
              <w:right w:val="single" w:sz="4" w:space="0" w:color="auto"/>
            </w:tcBorders>
            <w:shd w:val="clear" w:color="000000" w:fill="92D050"/>
            <w:noWrap/>
            <w:vAlign w:val="bottom"/>
            <w:hideMark/>
          </w:tcPr>
          <w:p w14:paraId="0D554E54"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04" w:type="dxa"/>
            <w:tcBorders>
              <w:top w:val="nil"/>
              <w:left w:val="nil"/>
              <w:bottom w:val="single" w:sz="4" w:space="0" w:color="auto"/>
              <w:right w:val="single" w:sz="4" w:space="0" w:color="auto"/>
            </w:tcBorders>
            <w:shd w:val="clear" w:color="auto" w:fill="auto"/>
            <w:noWrap/>
            <w:vAlign w:val="bottom"/>
            <w:hideMark/>
          </w:tcPr>
          <w:p w14:paraId="1CAA94AE"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96" w:type="dxa"/>
            <w:tcBorders>
              <w:top w:val="nil"/>
              <w:left w:val="nil"/>
              <w:bottom w:val="single" w:sz="4" w:space="0" w:color="auto"/>
              <w:right w:val="single" w:sz="4" w:space="0" w:color="auto"/>
            </w:tcBorders>
            <w:shd w:val="clear" w:color="auto" w:fill="auto"/>
            <w:noWrap/>
            <w:hideMark/>
          </w:tcPr>
          <w:p w14:paraId="57169879"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2165" w:type="dxa"/>
            <w:tcBorders>
              <w:top w:val="nil"/>
              <w:left w:val="nil"/>
              <w:bottom w:val="single" w:sz="4" w:space="0" w:color="auto"/>
              <w:right w:val="single" w:sz="4" w:space="0" w:color="auto"/>
            </w:tcBorders>
            <w:shd w:val="clear" w:color="auto" w:fill="auto"/>
            <w:noWrap/>
            <w:vAlign w:val="bottom"/>
            <w:hideMark/>
          </w:tcPr>
          <w:p w14:paraId="18E43BD1"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r>
      <w:tr w:rsidR="00A37432" w:rsidRPr="00B01F9E" w14:paraId="44F15CFB" w14:textId="77777777" w:rsidTr="00DD2236">
        <w:trPr>
          <w:trHeight w:val="540"/>
        </w:trPr>
        <w:tc>
          <w:tcPr>
            <w:tcW w:w="1807" w:type="dxa"/>
            <w:tcBorders>
              <w:top w:val="nil"/>
              <w:left w:val="single" w:sz="4" w:space="0" w:color="auto"/>
              <w:bottom w:val="single" w:sz="4" w:space="0" w:color="auto"/>
              <w:right w:val="single" w:sz="4" w:space="0" w:color="auto"/>
            </w:tcBorders>
            <w:shd w:val="clear" w:color="auto" w:fill="auto"/>
            <w:vAlign w:val="center"/>
            <w:hideMark/>
          </w:tcPr>
          <w:p w14:paraId="13E1165A" w14:textId="77777777" w:rsidR="00A37432" w:rsidRPr="00B01F9E" w:rsidRDefault="00A37432" w:rsidP="00DD2236">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4</w:t>
            </w:r>
          </w:p>
        </w:tc>
        <w:tc>
          <w:tcPr>
            <w:tcW w:w="1242" w:type="dxa"/>
            <w:tcBorders>
              <w:top w:val="nil"/>
              <w:left w:val="nil"/>
              <w:bottom w:val="single" w:sz="4" w:space="0" w:color="auto"/>
              <w:right w:val="single" w:sz="4" w:space="0" w:color="auto"/>
            </w:tcBorders>
            <w:shd w:val="clear" w:color="auto" w:fill="auto"/>
            <w:vAlign w:val="center"/>
            <w:hideMark/>
          </w:tcPr>
          <w:p w14:paraId="3D232448"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EI</w:t>
            </w:r>
          </w:p>
        </w:tc>
        <w:tc>
          <w:tcPr>
            <w:tcW w:w="1264" w:type="dxa"/>
            <w:tcBorders>
              <w:top w:val="nil"/>
              <w:left w:val="nil"/>
              <w:bottom w:val="single" w:sz="4" w:space="0" w:color="auto"/>
              <w:right w:val="single" w:sz="4" w:space="0" w:color="auto"/>
            </w:tcBorders>
            <w:shd w:val="clear" w:color="auto" w:fill="auto"/>
            <w:vAlign w:val="center"/>
            <w:hideMark/>
          </w:tcPr>
          <w:p w14:paraId="0833B0BB" w14:textId="77777777" w:rsidR="00A37432" w:rsidRPr="00B01F9E" w:rsidRDefault="00A37432" w:rsidP="00A14951">
            <w:pPr>
              <w:spacing w:after="0" w:line="240" w:lineRule="auto"/>
              <w:rPr>
                <w:rFonts w:ascii="Arial" w:eastAsia="Times New Roman" w:hAnsi="Arial" w:cs="Arial"/>
                <w:sz w:val="20"/>
                <w:szCs w:val="20"/>
              </w:rPr>
            </w:pPr>
            <w:r w:rsidRPr="00B01F9E">
              <w:rPr>
                <w:rFonts w:ascii="Arial" w:eastAsia="Times New Roman" w:hAnsi="Arial" w:cs="Arial"/>
                <w:sz w:val="20"/>
                <w:szCs w:val="20"/>
              </w:rPr>
              <w:t>No</w:t>
            </w:r>
          </w:p>
        </w:tc>
        <w:tc>
          <w:tcPr>
            <w:tcW w:w="1257" w:type="dxa"/>
            <w:tcBorders>
              <w:top w:val="nil"/>
              <w:left w:val="nil"/>
              <w:bottom w:val="single" w:sz="4" w:space="0" w:color="auto"/>
              <w:right w:val="single" w:sz="4" w:space="0" w:color="auto"/>
            </w:tcBorders>
            <w:shd w:val="clear" w:color="auto" w:fill="auto"/>
            <w:vAlign w:val="center"/>
            <w:hideMark/>
          </w:tcPr>
          <w:p w14:paraId="420FAFDA"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Placer Group Number</w:t>
            </w:r>
          </w:p>
        </w:tc>
        <w:tc>
          <w:tcPr>
            <w:tcW w:w="1255" w:type="dxa"/>
            <w:tcBorders>
              <w:top w:val="nil"/>
              <w:left w:val="nil"/>
              <w:bottom w:val="single" w:sz="4" w:space="0" w:color="auto"/>
              <w:right w:val="single" w:sz="4" w:space="0" w:color="auto"/>
            </w:tcBorders>
            <w:shd w:val="clear" w:color="auto" w:fill="auto"/>
            <w:vAlign w:val="center"/>
            <w:hideMark/>
          </w:tcPr>
          <w:p w14:paraId="6EDA27B1"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090" w:type="dxa"/>
            <w:tcBorders>
              <w:top w:val="nil"/>
              <w:left w:val="nil"/>
              <w:bottom w:val="single" w:sz="4" w:space="0" w:color="auto"/>
              <w:right w:val="single" w:sz="4" w:space="0" w:color="auto"/>
            </w:tcBorders>
            <w:shd w:val="clear" w:color="auto" w:fill="auto"/>
            <w:vAlign w:val="center"/>
            <w:hideMark/>
          </w:tcPr>
          <w:p w14:paraId="4231A7EA"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170" w:type="dxa"/>
            <w:tcBorders>
              <w:top w:val="nil"/>
              <w:left w:val="nil"/>
              <w:bottom w:val="single" w:sz="4" w:space="0" w:color="auto"/>
              <w:right w:val="single" w:sz="4" w:space="0" w:color="auto"/>
            </w:tcBorders>
            <w:shd w:val="clear" w:color="auto" w:fill="auto"/>
            <w:noWrap/>
            <w:vAlign w:val="center"/>
            <w:hideMark/>
          </w:tcPr>
          <w:p w14:paraId="0603842B"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30" w:type="dxa"/>
            <w:tcBorders>
              <w:top w:val="nil"/>
              <w:left w:val="nil"/>
              <w:bottom w:val="single" w:sz="4" w:space="0" w:color="auto"/>
              <w:right w:val="single" w:sz="4" w:space="0" w:color="auto"/>
            </w:tcBorders>
            <w:shd w:val="clear" w:color="000000" w:fill="92D050"/>
            <w:noWrap/>
            <w:vAlign w:val="center"/>
            <w:hideMark/>
          </w:tcPr>
          <w:p w14:paraId="4FF21606"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CAP KIT #</w:t>
            </w:r>
          </w:p>
        </w:tc>
        <w:tc>
          <w:tcPr>
            <w:tcW w:w="1504" w:type="dxa"/>
            <w:tcBorders>
              <w:top w:val="nil"/>
              <w:left w:val="nil"/>
              <w:bottom w:val="single" w:sz="4" w:space="0" w:color="auto"/>
              <w:right w:val="single" w:sz="4" w:space="0" w:color="auto"/>
            </w:tcBorders>
            <w:shd w:val="clear" w:color="auto" w:fill="auto"/>
            <w:noWrap/>
            <w:vAlign w:val="center"/>
            <w:hideMark/>
          </w:tcPr>
          <w:p w14:paraId="1543CB0F"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196" w:type="dxa"/>
            <w:tcBorders>
              <w:top w:val="nil"/>
              <w:left w:val="nil"/>
              <w:bottom w:val="single" w:sz="4" w:space="0" w:color="auto"/>
              <w:right w:val="single" w:sz="4" w:space="0" w:color="auto"/>
            </w:tcBorders>
            <w:shd w:val="clear" w:color="auto" w:fill="auto"/>
            <w:vAlign w:val="center"/>
            <w:hideMark/>
          </w:tcPr>
          <w:p w14:paraId="64D1C0FC"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2165" w:type="dxa"/>
            <w:tcBorders>
              <w:top w:val="nil"/>
              <w:left w:val="nil"/>
              <w:bottom w:val="single" w:sz="4" w:space="0" w:color="auto"/>
              <w:right w:val="single" w:sz="4" w:space="0" w:color="auto"/>
            </w:tcBorders>
            <w:shd w:val="clear" w:color="000000" w:fill="92D050"/>
            <w:vAlign w:val="center"/>
            <w:hideMark/>
          </w:tcPr>
          <w:p w14:paraId="5DE568C6" w14:textId="77777777" w:rsidR="00A37432" w:rsidRPr="00B01F9E" w:rsidRDefault="00A37432" w:rsidP="00A14951">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xml:space="preserve">To match IHE </w:t>
            </w:r>
            <w:proofErr w:type="spellStart"/>
            <w:r w:rsidRPr="00B01F9E">
              <w:rPr>
                <w:rFonts w:ascii="Arial" w:eastAsia="Times New Roman" w:hAnsi="Arial" w:cs="Arial"/>
                <w:color w:val="000000"/>
                <w:sz w:val="20"/>
                <w:szCs w:val="20"/>
              </w:rPr>
              <w:t>PaLM</w:t>
            </w:r>
            <w:proofErr w:type="spellEnd"/>
            <w:r w:rsidRPr="00B01F9E">
              <w:rPr>
                <w:rFonts w:ascii="Arial" w:eastAsia="Times New Roman" w:hAnsi="Arial" w:cs="Arial"/>
                <w:color w:val="000000"/>
                <w:sz w:val="20"/>
                <w:szCs w:val="20"/>
              </w:rPr>
              <w:t xml:space="preserve"> PT profile</w:t>
            </w:r>
          </w:p>
        </w:tc>
      </w:tr>
      <w:tr w:rsidR="00A37432" w:rsidRPr="00B01F9E" w14:paraId="0B292604" w14:textId="77777777" w:rsidTr="00DD2236">
        <w:trPr>
          <w:trHeight w:val="300"/>
        </w:trPr>
        <w:tc>
          <w:tcPr>
            <w:tcW w:w="1807" w:type="dxa"/>
            <w:tcBorders>
              <w:top w:val="nil"/>
              <w:left w:val="single" w:sz="4" w:space="0" w:color="auto"/>
              <w:bottom w:val="single" w:sz="4" w:space="0" w:color="auto"/>
              <w:right w:val="single" w:sz="4" w:space="0" w:color="auto"/>
            </w:tcBorders>
            <w:shd w:val="clear" w:color="auto" w:fill="auto"/>
            <w:noWrap/>
            <w:vAlign w:val="center"/>
            <w:hideMark/>
          </w:tcPr>
          <w:p w14:paraId="7A88D5FB" w14:textId="77777777" w:rsidR="00A37432" w:rsidRPr="00B01F9E" w:rsidRDefault="00A37432" w:rsidP="00DD2236">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OBR - Observation Request</w:t>
            </w:r>
          </w:p>
        </w:tc>
        <w:tc>
          <w:tcPr>
            <w:tcW w:w="1242" w:type="dxa"/>
            <w:tcBorders>
              <w:top w:val="nil"/>
              <w:left w:val="nil"/>
              <w:bottom w:val="single" w:sz="4" w:space="0" w:color="auto"/>
              <w:right w:val="single" w:sz="4" w:space="0" w:color="auto"/>
            </w:tcBorders>
            <w:shd w:val="clear" w:color="auto" w:fill="auto"/>
            <w:noWrap/>
            <w:hideMark/>
          </w:tcPr>
          <w:p w14:paraId="6E86055A"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64" w:type="dxa"/>
            <w:tcBorders>
              <w:top w:val="nil"/>
              <w:left w:val="nil"/>
              <w:bottom w:val="single" w:sz="4" w:space="0" w:color="auto"/>
              <w:right w:val="single" w:sz="4" w:space="0" w:color="auto"/>
            </w:tcBorders>
            <w:shd w:val="clear" w:color="auto" w:fill="auto"/>
            <w:noWrap/>
            <w:hideMark/>
          </w:tcPr>
          <w:p w14:paraId="2688419C"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7" w:type="dxa"/>
            <w:tcBorders>
              <w:top w:val="nil"/>
              <w:left w:val="nil"/>
              <w:bottom w:val="single" w:sz="4" w:space="0" w:color="auto"/>
              <w:right w:val="single" w:sz="4" w:space="0" w:color="auto"/>
            </w:tcBorders>
            <w:shd w:val="clear" w:color="auto" w:fill="auto"/>
            <w:noWrap/>
            <w:hideMark/>
          </w:tcPr>
          <w:p w14:paraId="5449D783"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255" w:type="dxa"/>
            <w:tcBorders>
              <w:top w:val="nil"/>
              <w:left w:val="nil"/>
              <w:bottom w:val="single" w:sz="4" w:space="0" w:color="auto"/>
              <w:right w:val="single" w:sz="4" w:space="0" w:color="auto"/>
            </w:tcBorders>
            <w:shd w:val="clear" w:color="auto" w:fill="auto"/>
            <w:noWrap/>
            <w:hideMark/>
          </w:tcPr>
          <w:p w14:paraId="2FDD8E43"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090" w:type="dxa"/>
            <w:tcBorders>
              <w:top w:val="nil"/>
              <w:left w:val="nil"/>
              <w:bottom w:val="single" w:sz="4" w:space="0" w:color="auto"/>
              <w:right w:val="single" w:sz="4" w:space="0" w:color="auto"/>
            </w:tcBorders>
            <w:shd w:val="clear" w:color="auto" w:fill="auto"/>
            <w:noWrap/>
            <w:hideMark/>
          </w:tcPr>
          <w:p w14:paraId="61A779BA"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1170" w:type="dxa"/>
            <w:tcBorders>
              <w:top w:val="nil"/>
              <w:left w:val="nil"/>
              <w:bottom w:val="single" w:sz="4" w:space="0" w:color="auto"/>
              <w:right w:val="single" w:sz="4" w:space="0" w:color="auto"/>
            </w:tcBorders>
            <w:shd w:val="clear" w:color="auto" w:fill="auto"/>
            <w:noWrap/>
            <w:vAlign w:val="bottom"/>
            <w:hideMark/>
          </w:tcPr>
          <w:p w14:paraId="70F5C928"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30" w:type="dxa"/>
            <w:tcBorders>
              <w:top w:val="nil"/>
              <w:left w:val="nil"/>
              <w:bottom w:val="single" w:sz="4" w:space="0" w:color="auto"/>
              <w:right w:val="single" w:sz="4" w:space="0" w:color="auto"/>
            </w:tcBorders>
            <w:shd w:val="clear" w:color="000000" w:fill="92D050"/>
            <w:noWrap/>
            <w:vAlign w:val="bottom"/>
            <w:hideMark/>
          </w:tcPr>
          <w:p w14:paraId="2032F5A6"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504" w:type="dxa"/>
            <w:tcBorders>
              <w:top w:val="nil"/>
              <w:left w:val="nil"/>
              <w:bottom w:val="single" w:sz="4" w:space="0" w:color="auto"/>
              <w:right w:val="single" w:sz="4" w:space="0" w:color="auto"/>
            </w:tcBorders>
            <w:shd w:val="clear" w:color="auto" w:fill="auto"/>
            <w:noWrap/>
            <w:vAlign w:val="bottom"/>
            <w:hideMark/>
          </w:tcPr>
          <w:p w14:paraId="5E06AD5B"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c>
          <w:tcPr>
            <w:tcW w:w="1196" w:type="dxa"/>
            <w:tcBorders>
              <w:top w:val="nil"/>
              <w:left w:val="nil"/>
              <w:bottom w:val="single" w:sz="4" w:space="0" w:color="auto"/>
              <w:right w:val="single" w:sz="4" w:space="0" w:color="auto"/>
            </w:tcBorders>
            <w:shd w:val="clear" w:color="auto" w:fill="auto"/>
            <w:noWrap/>
            <w:hideMark/>
          </w:tcPr>
          <w:p w14:paraId="413563E9" w14:textId="77777777" w:rsidR="00A37432" w:rsidRPr="00B01F9E" w:rsidRDefault="00A37432" w:rsidP="00A37432">
            <w:pPr>
              <w:spacing w:after="0" w:line="240" w:lineRule="auto"/>
              <w:rPr>
                <w:rFonts w:ascii="Arial" w:eastAsia="Times New Roman" w:hAnsi="Arial" w:cs="Arial"/>
                <w:b/>
                <w:bCs/>
                <w:color w:val="000080"/>
                <w:sz w:val="20"/>
                <w:szCs w:val="20"/>
              </w:rPr>
            </w:pPr>
            <w:r w:rsidRPr="00B01F9E">
              <w:rPr>
                <w:rFonts w:ascii="Arial" w:eastAsia="Times New Roman" w:hAnsi="Arial" w:cs="Arial"/>
                <w:b/>
                <w:bCs/>
                <w:color w:val="000080"/>
                <w:sz w:val="20"/>
                <w:szCs w:val="20"/>
              </w:rPr>
              <w:t> </w:t>
            </w:r>
          </w:p>
        </w:tc>
        <w:tc>
          <w:tcPr>
            <w:tcW w:w="2165" w:type="dxa"/>
            <w:tcBorders>
              <w:top w:val="nil"/>
              <w:left w:val="nil"/>
              <w:bottom w:val="single" w:sz="4" w:space="0" w:color="auto"/>
              <w:right w:val="single" w:sz="4" w:space="0" w:color="auto"/>
            </w:tcBorders>
            <w:shd w:val="clear" w:color="auto" w:fill="auto"/>
            <w:noWrap/>
            <w:vAlign w:val="bottom"/>
            <w:hideMark/>
          </w:tcPr>
          <w:p w14:paraId="3846B20B" w14:textId="77777777" w:rsidR="00A37432" w:rsidRPr="00B01F9E" w:rsidRDefault="00A37432" w:rsidP="00A37432">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w:t>
            </w:r>
          </w:p>
        </w:tc>
      </w:tr>
    </w:tbl>
    <w:p w14:paraId="755309A5" w14:textId="339B1DB4" w:rsidR="005B7A1B" w:rsidRPr="00B01F9E" w:rsidRDefault="00893A69" w:rsidP="000C30F9">
      <w:pPr>
        <w:ind w:left="-1152"/>
        <w:rPr>
          <w:rFonts w:ascii="Arial" w:hAnsi="Arial" w:cs="Arial"/>
          <w:b/>
          <w:bCs/>
          <w:color w:val="009BBF"/>
          <w:sz w:val="20"/>
          <w:szCs w:val="20"/>
        </w:rPr>
      </w:pPr>
      <w:r w:rsidRPr="00B01F9E">
        <w:rPr>
          <w:rFonts w:ascii="Arial" w:hAnsi="Arial" w:cs="Arial"/>
          <w:b/>
          <w:bCs/>
          <w:color w:val="009BBF"/>
          <w:sz w:val="20"/>
          <w:szCs w:val="20"/>
        </w:rPr>
        <w:t xml:space="preserve">Figure </w:t>
      </w:r>
      <w:r w:rsidR="00E120AA" w:rsidRPr="00B01F9E">
        <w:rPr>
          <w:rFonts w:ascii="Arial" w:hAnsi="Arial" w:cs="Arial"/>
          <w:b/>
          <w:bCs/>
          <w:color w:val="009BBF"/>
          <w:sz w:val="20"/>
          <w:szCs w:val="20"/>
        </w:rPr>
        <w:t>4</w:t>
      </w:r>
      <w:r w:rsidRPr="00B01F9E">
        <w:rPr>
          <w:rFonts w:ascii="Arial" w:hAnsi="Arial" w:cs="Arial"/>
          <w:b/>
          <w:bCs/>
          <w:color w:val="009BBF"/>
          <w:sz w:val="20"/>
          <w:szCs w:val="20"/>
        </w:rPr>
        <w:t xml:space="preserve">: </w:t>
      </w:r>
      <w:r w:rsidR="00755BA8" w:rsidRPr="00B01F9E">
        <w:rPr>
          <w:rFonts w:ascii="Arial" w:hAnsi="Arial" w:cs="Arial"/>
          <w:b/>
          <w:bCs/>
          <w:color w:val="009BBF"/>
          <w:sz w:val="20"/>
          <w:szCs w:val="20"/>
        </w:rPr>
        <w:t>P</w:t>
      </w:r>
      <w:r w:rsidR="00770A28" w:rsidRPr="00B01F9E">
        <w:rPr>
          <w:rFonts w:ascii="Arial" w:hAnsi="Arial" w:cs="Arial"/>
          <w:b/>
          <w:bCs/>
          <w:color w:val="009BBF"/>
          <w:sz w:val="20"/>
          <w:szCs w:val="20"/>
        </w:rPr>
        <w:t>ortion of the Interface Specifications for the Laboratory Result Interface (LRI)</w:t>
      </w:r>
    </w:p>
    <w:p w14:paraId="447A94CD" w14:textId="49E0A4AF" w:rsidR="002F7BB0" w:rsidRPr="00B01F9E" w:rsidRDefault="002F7BB0" w:rsidP="00397D75">
      <w:pPr>
        <w:ind w:left="-1152"/>
        <w:rPr>
          <w:rFonts w:ascii="Arial" w:hAnsi="Arial" w:cs="Arial"/>
          <w:b/>
          <w:bCs/>
          <w:sz w:val="20"/>
          <w:szCs w:val="20"/>
        </w:rPr>
      </w:pPr>
      <w:r w:rsidRPr="00B01F9E">
        <w:rPr>
          <w:rFonts w:ascii="Arial" w:hAnsi="Arial" w:cs="Arial"/>
          <w:sz w:val="20"/>
          <w:szCs w:val="20"/>
        </w:rPr>
        <w:t>Note:</w:t>
      </w:r>
      <w:r w:rsidRPr="00B01F9E">
        <w:rPr>
          <w:rFonts w:ascii="Arial" w:hAnsi="Arial" w:cs="Arial"/>
          <w:b/>
          <w:bCs/>
          <w:sz w:val="20"/>
          <w:szCs w:val="20"/>
        </w:rPr>
        <w:t xml:space="preserve"> </w:t>
      </w:r>
      <w:r w:rsidRPr="00B01F9E">
        <w:rPr>
          <w:rFonts w:ascii="Arial" w:hAnsi="Arial" w:cs="Arial"/>
          <w:sz w:val="20"/>
          <w:szCs w:val="20"/>
        </w:rPr>
        <w:t xml:space="preserve">For full interface specifications see details in </w:t>
      </w:r>
      <w:hyperlink w:anchor="_7.3.1.1_Environment_Development" w:history="1">
        <w:r w:rsidR="003955FD" w:rsidRPr="00B01F9E">
          <w:rPr>
            <w:rStyle w:val="Hyperlink"/>
            <w:rFonts w:ascii="Arial" w:hAnsi="Arial" w:cs="Arial"/>
            <w:sz w:val="20"/>
            <w:szCs w:val="20"/>
          </w:rPr>
          <w:t>Section</w:t>
        </w:r>
        <w:r w:rsidR="00136BBE" w:rsidRPr="00B01F9E">
          <w:rPr>
            <w:rStyle w:val="Hyperlink"/>
            <w:rFonts w:ascii="Arial" w:hAnsi="Arial" w:cs="Arial"/>
            <w:sz w:val="20"/>
            <w:szCs w:val="20"/>
          </w:rPr>
          <w:t xml:space="preserve"> </w:t>
        </w:r>
        <w:r w:rsidR="00905831" w:rsidRPr="00B01F9E">
          <w:rPr>
            <w:rStyle w:val="Hyperlink"/>
            <w:rFonts w:ascii="Arial" w:hAnsi="Arial" w:cs="Arial"/>
            <w:sz w:val="20"/>
            <w:szCs w:val="20"/>
          </w:rPr>
          <w:t>7</w:t>
        </w:r>
        <w:r w:rsidR="00136BBE" w:rsidRPr="00B01F9E">
          <w:rPr>
            <w:rStyle w:val="Hyperlink"/>
            <w:rFonts w:ascii="Arial" w:hAnsi="Arial" w:cs="Arial"/>
            <w:sz w:val="20"/>
            <w:szCs w:val="20"/>
          </w:rPr>
          <w:t>.</w:t>
        </w:r>
        <w:r w:rsidR="00AC4407" w:rsidRPr="00B01F9E">
          <w:rPr>
            <w:rStyle w:val="Hyperlink"/>
            <w:rFonts w:ascii="Arial" w:hAnsi="Arial" w:cs="Arial"/>
            <w:sz w:val="20"/>
            <w:szCs w:val="20"/>
          </w:rPr>
          <w:t>3</w:t>
        </w:r>
        <w:r w:rsidR="00136BBE" w:rsidRPr="00B01F9E">
          <w:rPr>
            <w:rStyle w:val="Hyperlink"/>
            <w:rFonts w:ascii="Arial" w:hAnsi="Arial" w:cs="Arial"/>
            <w:sz w:val="20"/>
            <w:szCs w:val="20"/>
          </w:rPr>
          <w:t>.1</w:t>
        </w:r>
        <w:r w:rsidR="00304EA1" w:rsidRPr="00B01F9E">
          <w:rPr>
            <w:rStyle w:val="Hyperlink"/>
            <w:rFonts w:ascii="Arial" w:hAnsi="Arial" w:cs="Arial"/>
            <w:sz w:val="20"/>
            <w:szCs w:val="20"/>
          </w:rPr>
          <w:t>.1</w:t>
        </w:r>
      </w:hyperlink>
      <w:r w:rsidR="00304EA1" w:rsidRPr="00B01F9E">
        <w:rPr>
          <w:rFonts w:ascii="Arial" w:hAnsi="Arial" w:cs="Arial"/>
          <w:sz w:val="20"/>
          <w:szCs w:val="20"/>
        </w:rPr>
        <w:t>.</w:t>
      </w:r>
    </w:p>
    <w:p w14:paraId="2B9C4D07" w14:textId="77777777" w:rsidR="00500D6D" w:rsidRPr="00B01F9E" w:rsidRDefault="00500D6D" w:rsidP="4E92B765">
      <w:pPr>
        <w:spacing w:after="120"/>
        <w:rPr>
          <w:rFonts w:ascii="Arial" w:hAnsi="Arial" w:cs="Arial"/>
          <w:b/>
          <w:bCs/>
          <w:sz w:val="20"/>
          <w:szCs w:val="20"/>
        </w:rPr>
        <w:sectPr w:rsidR="00500D6D" w:rsidRPr="00B01F9E" w:rsidSect="00500D6D">
          <w:headerReference w:type="default" r:id="rId21"/>
          <w:footerReference w:type="default" r:id="rId22"/>
          <w:pgSz w:w="15840" w:h="12240" w:orient="landscape"/>
          <w:pgMar w:top="1440" w:right="1440" w:bottom="1440" w:left="1440" w:header="0" w:footer="720" w:gutter="0"/>
          <w:cols w:space="720"/>
          <w:docGrid w:linePitch="360"/>
        </w:sectPr>
      </w:pPr>
    </w:p>
    <w:p w14:paraId="4A233A26" w14:textId="17E9B717" w:rsidR="002F7BB0" w:rsidRPr="00B01F9E" w:rsidRDefault="00B23664" w:rsidP="4E92B765">
      <w:pPr>
        <w:spacing w:after="120"/>
        <w:rPr>
          <w:rFonts w:ascii="Arial" w:hAnsi="Arial" w:cs="Arial"/>
          <w:b/>
          <w:bCs/>
          <w:sz w:val="20"/>
          <w:szCs w:val="20"/>
        </w:rPr>
      </w:pPr>
      <w:r w:rsidRPr="00B01F9E">
        <w:rPr>
          <w:rFonts w:ascii="Arial" w:hAnsi="Arial" w:cs="Arial"/>
          <w:b/>
          <w:bCs/>
          <w:sz w:val="20"/>
          <w:szCs w:val="20"/>
        </w:rPr>
        <w:lastRenderedPageBreak/>
        <w:t>Interface Engine (Duke)</w:t>
      </w:r>
    </w:p>
    <w:p w14:paraId="59F0CBBC" w14:textId="06AF87EB" w:rsidR="0094309B" w:rsidRPr="00B01F9E" w:rsidRDefault="0094309B" w:rsidP="003F4BDC">
      <w:pPr>
        <w:spacing w:after="120"/>
        <w:rPr>
          <w:rFonts w:ascii="Arial" w:hAnsi="Arial" w:cs="Arial"/>
          <w:sz w:val="20"/>
          <w:szCs w:val="20"/>
        </w:rPr>
      </w:pPr>
      <w:r w:rsidRPr="00B01F9E">
        <w:rPr>
          <w:rFonts w:ascii="Arial" w:hAnsi="Arial" w:cs="Arial"/>
          <w:sz w:val="20"/>
          <w:szCs w:val="20"/>
        </w:rPr>
        <w:t>Duke utilize</w:t>
      </w:r>
      <w:r w:rsidR="00B17E10" w:rsidRPr="00B01F9E">
        <w:rPr>
          <w:rFonts w:ascii="Arial" w:hAnsi="Arial" w:cs="Arial"/>
          <w:sz w:val="20"/>
          <w:szCs w:val="20"/>
        </w:rPr>
        <w:t>d</w:t>
      </w:r>
      <w:r w:rsidRPr="00B01F9E">
        <w:rPr>
          <w:rFonts w:ascii="Arial" w:hAnsi="Arial" w:cs="Arial"/>
          <w:sz w:val="20"/>
          <w:szCs w:val="20"/>
        </w:rPr>
        <w:t xml:space="preserve"> </w:t>
      </w:r>
      <w:proofErr w:type="spellStart"/>
      <w:r w:rsidRPr="00B01F9E">
        <w:rPr>
          <w:rFonts w:ascii="Arial" w:hAnsi="Arial" w:cs="Arial"/>
          <w:sz w:val="20"/>
          <w:szCs w:val="20"/>
        </w:rPr>
        <w:t>InterSystems</w:t>
      </w:r>
      <w:proofErr w:type="spellEnd"/>
      <w:r w:rsidRPr="00B01F9E">
        <w:rPr>
          <w:rFonts w:ascii="Arial" w:hAnsi="Arial" w:cs="Arial"/>
          <w:sz w:val="20"/>
          <w:szCs w:val="20"/>
        </w:rPr>
        <w:t xml:space="preserve"> </w:t>
      </w:r>
      <w:proofErr w:type="spellStart"/>
      <w:r w:rsidRPr="00B01F9E">
        <w:rPr>
          <w:rFonts w:ascii="Arial" w:hAnsi="Arial" w:cs="Arial"/>
          <w:sz w:val="20"/>
          <w:szCs w:val="20"/>
        </w:rPr>
        <w:t>HealthShare</w:t>
      </w:r>
      <w:proofErr w:type="spellEnd"/>
      <w:r w:rsidRPr="00B01F9E">
        <w:rPr>
          <w:rFonts w:ascii="Arial" w:hAnsi="Arial" w:cs="Arial"/>
          <w:sz w:val="20"/>
          <w:szCs w:val="20"/>
        </w:rPr>
        <w:t xml:space="preserve"> as its interface </w:t>
      </w:r>
      <w:r w:rsidR="003A55E0" w:rsidRPr="00B01F9E">
        <w:rPr>
          <w:rFonts w:ascii="Arial" w:hAnsi="Arial" w:cs="Arial"/>
          <w:sz w:val="20"/>
          <w:szCs w:val="20"/>
        </w:rPr>
        <w:t>engine</w:t>
      </w:r>
      <w:r w:rsidRPr="00B01F9E">
        <w:rPr>
          <w:rFonts w:ascii="Arial" w:hAnsi="Arial" w:cs="Arial"/>
          <w:sz w:val="20"/>
          <w:szCs w:val="20"/>
        </w:rPr>
        <w:t xml:space="preserve">. The engine </w:t>
      </w:r>
      <w:r w:rsidR="00905831" w:rsidRPr="00B01F9E">
        <w:rPr>
          <w:rFonts w:ascii="Arial" w:hAnsi="Arial" w:cs="Arial"/>
          <w:sz w:val="20"/>
          <w:szCs w:val="20"/>
        </w:rPr>
        <w:t>formatted</w:t>
      </w:r>
      <w:r w:rsidRPr="00B01F9E">
        <w:rPr>
          <w:rFonts w:ascii="Arial" w:hAnsi="Arial" w:cs="Arial"/>
          <w:sz w:val="20"/>
          <w:szCs w:val="20"/>
        </w:rPr>
        <w:t xml:space="preserve"> the received data into the required interface specifications, as the result messages from Epic c</w:t>
      </w:r>
      <w:r w:rsidR="00A31E5E" w:rsidRPr="00B01F9E">
        <w:rPr>
          <w:rFonts w:ascii="Arial" w:hAnsi="Arial" w:cs="Arial"/>
          <w:sz w:val="20"/>
          <w:szCs w:val="20"/>
        </w:rPr>
        <w:t>ould not</w:t>
      </w:r>
      <w:r w:rsidRPr="00B01F9E">
        <w:rPr>
          <w:rFonts w:ascii="Arial" w:hAnsi="Arial" w:cs="Arial"/>
          <w:sz w:val="20"/>
          <w:szCs w:val="20"/>
        </w:rPr>
        <w:t xml:space="preserve"> be configured to send all data elements in the requested HL7 fields. The transformation to the required fields, if necessary, </w:t>
      </w:r>
      <w:r w:rsidR="00A31E5E" w:rsidRPr="00B01F9E">
        <w:rPr>
          <w:rFonts w:ascii="Arial" w:hAnsi="Arial" w:cs="Arial"/>
          <w:sz w:val="20"/>
          <w:szCs w:val="20"/>
        </w:rPr>
        <w:t>were</w:t>
      </w:r>
      <w:r w:rsidRPr="00B01F9E">
        <w:rPr>
          <w:rFonts w:ascii="Arial" w:hAnsi="Arial" w:cs="Arial"/>
          <w:sz w:val="20"/>
          <w:szCs w:val="20"/>
        </w:rPr>
        <w:t xml:space="preserve"> summarized in </w:t>
      </w:r>
      <w:hyperlink w:anchor="Table_3" w:history="1">
        <w:r w:rsidR="00043465" w:rsidRPr="00B01F9E">
          <w:rPr>
            <w:rStyle w:val="Hyperlink"/>
            <w:rFonts w:ascii="Arial" w:hAnsi="Arial" w:cs="Arial"/>
            <w:sz w:val="20"/>
            <w:szCs w:val="20"/>
          </w:rPr>
          <w:t>Table 3.</w:t>
        </w:r>
      </w:hyperlink>
    </w:p>
    <w:p w14:paraId="606E2A9D" w14:textId="10DF0DF4" w:rsidR="0094309B" w:rsidRPr="00B01F9E" w:rsidRDefault="0094309B" w:rsidP="4E92B765">
      <w:pPr>
        <w:spacing w:after="120"/>
        <w:rPr>
          <w:rFonts w:ascii="Arial" w:hAnsi="Arial" w:cs="Arial"/>
          <w:b/>
          <w:bCs/>
          <w:sz w:val="20"/>
          <w:szCs w:val="20"/>
        </w:rPr>
      </w:pPr>
      <w:r w:rsidRPr="00B01F9E">
        <w:rPr>
          <w:rFonts w:ascii="Arial" w:hAnsi="Arial" w:cs="Arial"/>
          <w:b/>
          <w:bCs/>
          <w:sz w:val="20"/>
          <w:szCs w:val="20"/>
        </w:rPr>
        <w:t xml:space="preserve">Interface Engine (CAP) </w:t>
      </w:r>
    </w:p>
    <w:p w14:paraId="2C4132CF" w14:textId="68D2F5D5" w:rsidR="00DF247E" w:rsidRPr="00B01F9E" w:rsidRDefault="000E0223" w:rsidP="003F4BDC">
      <w:pPr>
        <w:spacing w:after="120"/>
        <w:rPr>
          <w:rFonts w:ascii="Arial" w:hAnsi="Arial" w:cs="Arial"/>
          <w:sz w:val="20"/>
          <w:szCs w:val="20"/>
        </w:rPr>
      </w:pPr>
      <w:r w:rsidRPr="00B01F9E">
        <w:rPr>
          <w:rFonts w:ascii="Arial" w:hAnsi="Arial" w:cs="Arial"/>
          <w:sz w:val="20"/>
          <w:szCs w:val="20"/>
        </w:rPr>
        <w:t>ELLKAY’s</w:t>
      </w:r>
      <w:r w:rsidR="00DF247E" w:rsidRPr="00B01F9E">
        <w:rPr>
          <w:rFonts w:ascii="Arial" w:hAnsi="Arial" w:cs="Arial"/>
          <w:sz w:val="20"/>
          <w:szCs w:val="20"/>
        </w:rPr>
        <w:t xml:space="preserve"> </w:t>
      </w:r>
      <w:proofErr w:type="spellStart"/>
      <w:r w:rsidR="00DF247E" w:rsidRPr="00B01F9E">
        <w:rPr>
          <w:rFonts w:ascii="Arial" w:hAnsi="Arial" w:cs="Arial"/>
          <w:sz w:val="20"/>
          <w:szCs w:val="20"/>
        </w:rPr>
        <w:t>LKOrbit</w:t>
      </w:r>
      <w:proofErr w:type="spellEnd"/>
      <w:r w:rsidR="00DF247E" w:rsidRPr="00B01F9E">
        <w:rPr>
          <w:rFonts w:ascii="Arial" w:hAnsi="Arial" w:cs="Arial"/>
          <w:sz w:val="20"/>
          <w:szCs w:val="20"/>
        </w:rPr>
        <w:t xml:space="preserve"> system </w:t>
      </w:r>
      <w:r w:rsidR="00A31E5E" w:rsidRPr="00B01F9E">
        <w:rPr>
          <w:rFonts w:ascii="Arial" w:hAnsi="Arial" w:cs="Arial"/>
          <w:sz w:val="20"/>
          <w:szCs w:val="20"/>
        </w:rPr>
        <w:t>was</w:t>
      </w:r>
      <w:r w:rsidR="00DF247E" w:rsidRPr="00B01F9E">
        <w:rPr>
          <w:rFonts w:ascii="Arial" w:hAnsi="Arial" w:cs="Arial"/>
          <w:sz w:val="20"/>
          <w:szCs w:val="20"/>
        </w:rPr>
        <w:t xml:space="preserve"> the interface engine for receiving the HL7 messages from Duke and passing through to the CAP. The CAP</w:t>
      </w:r>
      <w:r w:rsidR="00DF247E" w:rsidRPr="00B01F9E" w:rsidDel="002C0797">
        <w:rPr>
          <w:rFonts w:ascii="Arial" w:hAnsi="Arial" w:cs="Arial"/>
          <w:sz w:val="20"/>
          <w:szCs w:val="20"/>
        </w:rPr>
        <w:t xml:space="preserve"> </w:t>
      </w:r>
      <w:r w:rsidR="00DF247E" w:rsidRPr="00B01F9E">
        <w:rPr>
          <w:rFonts w:ascii="Arial" w:hAnsi="Arial" w:cs="Arial"/>
          <w:sz w:val="20"/>
          <w:szCs w:val="20"/>
        </w:rPr>
        <w:t>utilize</w:t>
      </w:r>
      <w:r w:rsidR="002C0797" w:rsidRPr="00B01F9E">
        <w:rPr>
          <w:rFonts w:ascii="Arial" w:hAnsi="Arial" w:cs="Arial"/>
          <w:sz w:val="20"/>
          <w:szCs w:val="20"/>
        </w:rPr>
        <w:t>d</w:t>
      </w:r>
      <w:r w:rsidR="00DF247E" w:rsidRPr="00B01F9E">
        <w:rPr>
          <w:rFonts w:ascii="Arial" w:hAnsi="Arial" w:cs="Arial"/>
          <w:sz w:val="20"/>
          <w:szCs w:val="20"/>
        </w:rPr>
        <w:t xml:space="preserve"> the LIDR elements instead of custom codes for this proof of concept. There</w:t>
      </w:r>
      <w:r w:rsidR="00DF247E" w:rsidRPr="00B01F9E" w:rsidDel="00FB3259">
        <w:rPr>
          <w:rFonts w:ascii="Arial" w:hAnsi="Arial" w:cs="Arial"/>
          <w:sz w:val="20"/>
          <w:szCs w:val="20"/>
        </w:rPr>
        <w:t xml:space="preserve"> </w:t>
      </w:r>
      <w:r w:rsidR="00FB3259" w:rsidRPr="00B01F9E">
        <w:rPr>
          <w:rFonts w:ascii="Arial" w:hAnsi="Arial" w:cs="Arial"/>
          <w:sz w:val="20"/>
          <w:szCs w:val="20"/>
        </w:rPr>
        <w:t>was no</w:t>
      </w:r>
      <w:r w:rsidR="00DF247E" w:rsidRPr="00B01F9E">
        <w:rPr>
          <w:rFonts w:ascii="Arial" w:hAnsi="Arial" w:cs="Arial"/>
          <w:sz w:val="20"/>
          <w:szCs w:val="20"/>
        </w:rPr>
        <w:t xml:space="preserve"> mapping or transformation of the information sent in the HL7 message</w:t>
      </w:r>
      <w:r w:rsidR="00476892" w:rsidRPr="00B01F9E">
        <w:rPr>
          <w:rFonts w:ascii="Arial" w:hAnsi="Arial" w:cs="Arial"/>
          <w:sz w:val="20"/>
          <w:szCs w:val="20"/>
        </w:rPr>
        <w:t xml:space="preserve"> by the </w:t>
      </w:r>
      <w:proofErr w:type="spellStart"/>
      <w:r w:rsidR="00476892" w:rsidRPr="00B01F9E">
        <w:rPr>
          <w:rFonts w:ascii="Arial" w:hAnsi="Arial" w:cs="Arial"/>
          <w:sz w:val="20"/>
          <w:szCs w:val="20"/>
        </w:rPr>
        <w:t>LKOrbit</w:t>
      </w:r>
      <w:proofErr w:type="spellEnd"/>
      <w:r w:rsidR="00476892" w:rsidRPr="00B01F9E">
        <w:rPr>
          <w:rFonts w:ascii="Arial" w:hAnsi="Arial" w:cs="Arial"/>
          <w:sz w:val="20"/>
          <w:szCs w:val="20"/>
        </w:rPr>
        <w:t xml:space="preserve"> system</w:t>
      </w:r>
      <w:r w:rsidR="00DF247E" w:rsidRPr="00B01F9E">
        <w:rPr>
          <w:rFonts w:ascii="Arial" w:hAnsi="Arial" w:cs="Arial"/>
          <w:sz w:val="20"/>
          <w:szCs w:val="20"/>
        </w:rPr>
        <w:t>.</w:t>
      </w:r>
    </w:p>
    <w:p w14:paraId="2A21A7F7" w14:textId="608D77C4" w:rsidR="00AD7D70" w:rsidRPr="00B01F9E" w:rsidRDefault="00AD7D70" w:rsidP="4E92B765">
      <w:pPr>
        <w:spacing w:after="120"/>
        <w:rPr>
          <w:rFonts w:ascii="Arial" w:hAnsi="Arial" w:cs="Arial"/>
          <w:b/>
          <w:bCs/>
          <w:sz w:val="20"/>
          <w:szCs w:val="20"/>
        </w:rPr>
      </w:pPr>
      <w:r w:rsidRPr="00B01F9E">
        <w:rPr>
          <w:rFonts w:ascii="Arial" w:hAnsi="Arial" w:cs="Arial"/>
          <w:b/>
          <w:bCs/>
          <w:sz w:val="20"/>
          <w:szCs w:val="20"/>
        </w:rPr>
        <w:t>VPN Port Connection</w:t>
      </w:r>
    </w:p>
    <w:p w14:paraId="67666A7D" w14:textId="281FBE16" w:rsidR="00AD7D70" w:rsidRPr="00B01F9E" w:rsidRDefault="00AD7D70" w:rsidP="4E92B765">
      <w:pPr>
        <w:spacing w:after="120"/>
        <w:rPr>
          <w:rFonts w:ascii="Arial" w:hAnsi="Arial" w:cs="Arial"/>
          <w:sz w:val="20"/>
          <w:szCs w:val="20"/>
        </w:rPr>
      </w:pPr>
      <w:r w:rsidRPr="00B01F9E">
        <w:rPr>
          <w:rFonts w:ascii="Arial" w:hAnsi="Arial" w:cs="Arial"/>
          <w:sz w:val="20"/>
          <w:szCs w:val="20"/>
        </w:rPr>
        <w:t xml:space="preserve">This section outlines the </w:t>
      </w:r>
      <w:proofErr w:type="gramStart"/>
      <w:r w:rsidRPr="00B01F9E">
        <w:rPr>
          <w:rFonts w:ascii="Arial" w:hAnsi="Arial" w:cs="Arial"/>
          <w:sz w:val="20"/>
          <w:szCs w:val="20"/>
        </w:rPr>
        <w:t>process</w:t>
      </w:r>
      <w:proofErr w:type="gramEnd"/>
      <w:r w:rsidRPr="00B01F9E">
        <w:rPr>
          <w:rFonts w:ascii="Arial" w:hAnsi="Arial" w:cs="Arial"/>
          <w:sz w:val="20"/>
          <w:szCs w:val="20"/>
        </w:rPr>
        <w:t xml:space="preserve"> and steps involved in establishing a VPN connection between</w:t>
      </w:r>
      <w:r w:rsidR="00333D5A" w:rsidRPr="00B01F9E">
        <w:rPr>
          <w:rFonts w:ascii="Arial" w:hAnsi="Arial" w:cs="Arial"/>
          <w:sz w:val="20"/>
          <w:szCs w:val="20"/>
        </w:rPr>
        <w:t xml:space="preserve"> the</w:t>
      </w:r>
      <w:r w:rsidRPr="00B01F9E">
        <w:rPr>
          <w:rFonts w:ascii="Arial" w:hAnsi="Arial" w:cs="Arial"/>
          <w:sz w:val="20"/>
          <w:szCs w:val="20"/>
        </w:rPr>
        <w:t xml:space="preserve"> lab</w:t>
      </w:r>
      <w:r w:rsidR="00333D5A" w:rsidRPr="00B01F9E">
        <w:rPr>
          <w:rFonts w:ascii="Arial" w:hAnsi="Arial" w:cs="Arial"/>
          <w:sz w:val="20"/>
          <w:szCs w:val="20"/>
        </w:rPr>
        <w:t>oratory</w:t>
      </w:r>
      <w:r w:rsidRPr="00B01F9E">
        <w:rPr>
          <w:rFonts w:ascii="Arial" w:hAnsi="Arial" w:cs="Arial"/>
          <w:sz w:val="20"/>
          <w:szCs w:val="20"/>
        </w:rPr>
        <w:t xml:space="preserve"> and interface vendor, specifically for the purpose of data transfer related to the </w:t>
      </w:r>
      <w:r w:rsidR="00446BE7" w:rsidRPr="00B01F9E">
        <w:rPr>
          <w:rFonts w:ascii="Arial" w:hAnsi="Arial" w:cs="Arial"/>
          <w:sz w:val="20"/>
          <w:szCs w:val="20"/>
        </w:rPr>
        <w:t>POC</w:t>
      </w:r>
      <w:r w:rsidRPr="00B01F9E">
        <w:rPr>
          <w:rFonts w:ascii="Arial" w:hAnsi="Arial" w:cs="Arial"/>
          <w:sz w:val="20"/>
          <w:szCs w:val="20"/>
        </w:rPr>
        <w:t xml:space="preserve">. </w:t>
      </w:r>
    </w:p>
    <w:p w14:paraId="5F101AD8" w14:textId="0AF711AA" w:rsidR="00AD7D70" w:rsidRPr="00B01F9E" w:rsidRDefault="00AD7D70" w:rsidP="00333D5A">
      <w:pPr>
        <w:pStyle w:val="ListParagraph"/>
        <w:numPr>
          <w:ilvl w:val="2"/>
          <w:numId w:val="2"/>
        </w:numPr>
        <w:spacing w:after="60"/>
        <w:ind w:left="360"/>
        <w:rPr>
          <w:rFonts w:ascii="Arial" w:hAnsi="Arial" w:cs="Arial"/>
          <w:b/>
          <w:bCs/>
          <w:sz w:val="20"/>
          <w:szCs w:val="20"/>
        </w:rPr>
      </w:pPr>
      <w:r w:rsidRPr="00B01F9E">
        <w:rPr>
          <w:rFonts w:ascii="Arial" w:hAnsi="Arial" w:cs="Arial"/>
          <w:b/>
          <w:bCs/>
          <w:sz w:val="20"/>
          <w:szCs w:val="20"/>
        </w:rPr>
        <w:t>VPN Connection Establishment:</w:t>
      </w:r>
    </w:p>
    <w:p w14:paraId="2094E8E1" w14:textId="7ACA3143" w:rsidR="00AD7D70" w:rsidRPr="00B01F9E" w:rsidRDefault="00AD7D70" w:rsidP="4E92B765">
      <w:pPr>
        <w:spacing w:after="120"/>
        <w:ind w:left="360"/>
        <w:rPr>
          <w:rFonts w:ascii="Arial" w:hAnsi="Arial" w:cs="Arial"/>
          <w:sz w:val="20"/>
          <w:szCs w:val="20"/>
        </w:rPr>
      </w:pPr>
      <w:r w:rsidRPr="00B01F9E">
        <w:rPr>
          <w:rFonts w:ascii="Arial" w:hAnsi="Arial" w:cs="Arial"/>
          <w:sz w:val="20"/>
          <w:szCs w:val="20"/>
        </w:rPr>
        <w:t xml:space="preserve">To facilitate secure data exchange between </w:t>
      </w:r>
      <w:r w:rsidR="00446BE7" w:rsidRPr="00B01F9E">
        <w:rPr>
          <w:rFonts w:ascii="Arial" w:hAnsi="Arial" w:cs="Arial"/>
          <w:sz w:val="20"/>
          <w:szCs w:val="20"/>
        </w:rPr>
        <w:t>Duke</w:t>
      </w:r>
      <w:r w:rsidRPr="00B01F9E">
        <w:rPr>
          <w:rFonts w:ascii="Arial" w:hAnsi="Arial" w:cs="Arial"/>
          <w:sz w:val="20"/>
          <w:szCs w:val="20"/>
        </w:rPr>
        <w:t xml:space="preserve"> and </w:t>
      </w:r>
      <w:r w:rsidR="005A1430" w:rsidRPr="00B01F9E">
        <w:rPr>
          <w:rFonts w:ascii="Arial" w:hAnsi="Arial" w:cs="Arial"/>
          <w:sz w:val="20"/>
          <w:szCs w:val="20"/>
        </w:rPr>
        <w:t xml:space="preserve">the </w:t>
      </w:r>
      <w:r w:rsidRPr="00B01F9E">
        <w:rPr>
          <w:rFonts w:ascii="Arial" w:hAnsi="Arial" w:cs="Arial"/>
          <w:sz w:val="20"/>
          <w:szCs w:val="20"/>
        </w:rPr>
        <w:t>interface vendor</w:t>
      </w:r>
      <w:r w:rsidR="005A1430" w:rsidRPr="00B01F9E">
        <w:rPr>
          <w:rFonts w:ascii="Arial" w:hAnsi="Arial" w:cs="Arial"/>
          <w:sz w:val="20"/>
          <w:szCs w:val="20"/>
        </w:rPr>
        <w:t xml:space="preserve"> (</w:t>
      </w:r>
      <w:r w:rsidR="00EC3012" w:rsidRPr="00B01F9E">
        <w:rPr>
          <w:rFonts w:ascii="Arial" w:hAnsi="Arial" w:cs="Arial"/>
          <w:sz w:val="20"/>
          <w:szCs w:val="20"/>
        </w:rPr>
        <w:t>ELLKAY</w:t>
      </w:r>
      <w:r w:rsidR="005A1430" w:rsidRPr="00B01F9E">
        <w:rPr>
          <w:rFonts w:ascii="Arial" w:hAnsi="Arial" w:cs="Arial"/>
          <w:sz w:val="20"/>
          <w:szCs w:val="20"/>
        </w:rPr>
        <w:t>)</w:t>
      </w:r>
      <w:r w:rsidRPr="00B01F9E">
        <w:rPr>
          <w:rFonts w:ascii="Arial" w:hAnsi="Arial" w:cs="Arial"/>
          <w:sz w:val="20"/>
          <w:szCs w:val="20"/>
        </w:rPr>
        <w:t>, a VPN tunnel was established. This involved collaborative efforts between the network teams at both institutions. The connection was configured to allow for secure file transfer, specifically using a VPN-based method.</w:t>
      </w:r>
    </w:p>
    <w:p w14:paraId="0BB6B996" w14:textId="605C6B50" w:rsidR="00AD7D70" w:rsidRPr="00B01F9E" w:rsidRDefault="00AD7D70" w:rsidP="00333D5A">
      <w:pPr>
        <w:pStyle w:val="ListParagraph"/>
        <w:numPr>
          <w:ilvl w:val="2"/>
          <w:numId w:val="2"/>
        </w:numPr>
        <w:spacing w:after="60"/>
        <w:ind w:left="360"/>
        <w:rPr>
          <w:rFonts w:ascii="Arial" w:hAnsi="Arial" w:cs="Arial"/>
          <w:b/>
          <w:bCs/>
          <w:sz w:val="20"/>
          <w:szCs w:val="20"/>
        </w:rPr>
      </w:pPr>
      <w:r w:rsidRPr="00B01F9E">
        <w:rPr>
          <w:rFonts w:ascii="Arial" w:hAnsi="Arial" w:cs="Arial"/>
          <w:b/>
          <w:bCs/>
          <w:sz w:val="20"/>
          <w:szCs w:val="20"/>
        </w:rPr>
        <w:t>Data Filtering and Transfer:</w:t>
      </w:r>
    </w:p>
    <w:p w14:paraId="510106C3" w14:textId="285A2879" w:rsidR="00AD7D70" w:rsidRPr="00B01F9E" w:rsidRDefault="00EC3012" w:rsidP="4E92B765">
      <w:pPr>
        <w:spacing w:after="120"/>
        <w:ind w:left="360"/>
        <w:rPr>
          <w:rFonts w:ascii="Arial" w:hAnsi="Arial" w:cs="Arial"/>
          <w:sz w:val="20"/>
          <w:szCs w:val="20"/>
        </w:rPr>
      </w:pPr>
      <w:r w:rsidRPr="00B01F9E">
        <w:rPr>
          <w:rFonts w:ascii="Arial" w:hAnsi="Arial" w:cs="Arial"/>
          <w:sz w:val="20"/>
          <w:szCs w:val="20"/>
        </w:rPr>
        <w:t>ELLKAY</w:t>
      </w:r>
      <w:r w:rsidR="00AD7D70" w:rsidRPr="00B01F9E">
        <w:rPr>
          <w:rFonts w:ascii="Arial" w:hAnsi="Arial" w:cs="Arial"/>
          <w:sz w:val="20"/>
          <w:szCs w:val="20"/>
        </w:rPr>
        <w:t xml:space="preserve"> employed a data filtering process based on specific identifiers associated with the FDA project. Data matching the criteria (MSH3=12300002560 </w:t>
      </w:r>
      <w:r w:rsidR="008321FA" w:rsidRPr="00B01F9E">
        <w:rPr>
          <w:rFonts w:ascii="Arial" w:hAnsi="Arial" w:cs="Arial"/>
          <w:sz w:val="20"/>
          <w:szCs w:val="20"/>
        </w:rPr>
        <w:t>[</w:t>
      </w:r>
      <w:r w:rsidR="00AD7D70" w:rsidRPr="00B01F9E">
        <w:rPr>
          <w:rFonts w:ascii="Arial" w:hAnsi="Arial" w:cs="Arial"/>
          <w:sz w:val="20"/>
          <w:szCs w:val="20"/>
        </w:rPr>
        <w:t>FDA</w:t>
      </w:r>
      <w:r w:rsidR="000C7AE2" w:rsidRPr="00B01F9E">
        <w:rPr>
          <w:rFonts w:ascii="Arial" w:hAnsi="Arial" w:cs="Arial"/>
          <w:sz w:val="20"/>
          <w:szCs w:val="20"/>
        </w:rPr>
        <w:t>]</w:t>
      </w:r>
      <w:r w:rsidR="00AD7D70" w:rsidRPr="00B01F9E">
        <w:rPr>
          <w:rFonts w:ascii="Arial" w:hAnsi="Arial" w:cs="Arial"/>
          <w:sz w:val="20"/>
          <w:szCs w:val="20"/>
        </w:rPr>
        <w:t xml:space="preserve">) </w:t>
      </w:r>
      <w:r w:rsidR="00AA7403" w:rsidRPr="00B01F9E">
        <w:rPr>
          <w:rFonts w:ascii="Arial" w:hAnsi="Arial" w:cs="Arial"/>
          <w:sz w:val="20"/>
          <w:szCs w:val="20"/>
        </w:rPr>
        <w:t xml:space="preserve">were </w:t>
      </w:r>
      <w:r w:rsidR="00AD7D70" w:rsidRPr="00B01F9E">
        <w:rPr>
          <w:rFonts w:ascii="Arial" w:hAnsi="Arial" w:cs="Arial"/>
          <w:sz w:val="20"/>
          <w:szCs w:val="20"/>
        </w:rPr>
        <w:t xml:space="preserve">extracted and prepared for transfer. The filtered data </w:t>
      </w:r>
      <w:r w:rsidR="005A1430" w:rsidRPr="00B01F9E">
        <w:rPr>
          <w:rFonts w:ascii="Arial" w:hAnsi="Arial" w:cs="Arial"/>
          <w:sz w:val="20"/>
          <w:szCs w:val="20"/>
        </w:rPr>
        <w:t>w</w:t>
      </w:r>
      <w:r w:rsidR="00AA7403" w:rsidRPr="00B01F9E">
        <w:rPr>
          <w:rFonts w:ascii="Arial" w:hAnsi="Arial" w:cs="Arial"/>
          <w:sz w:val="20"/>
          <w:szCs w:val="20"/>
        </w:rPr>
        <w:t>ere</w:t>
      </w:r>
      <w:r w:rsidR="00AD7D70" w:rsidRPr="00B01F9E">
        <w:rPr>
          <w:rFonts w:ascii="Arial" w:hAnsi="Arial" w:cs="Arial"/>
          <w:sz w:val="20"/>
          <w:szCs w:val="20"/>
        </w:rPr>
        <w:t xml:space="preserve"> then transmitted to </w:t>
      </w:r>
      <w:r w:rsidR="00297023" w:rsidRPr="00B01F9E">
        <w:rPr>
          <w:rFonts w:ascii="Arial" w:hAnsi="Arial" w:cs="Arial"/>
          <w:sz w:val="20"/>
          <w:szCs w:val="20"/>
        </w:rPr>
        <w:t xml:space="preserve">the </w:t>
      </w:r>
      <w:r w:rsidR="00AD7D70" w:rsidRPr="00B01F9E">
        <w:rPr>
          <w:rFonts w:ascii="Arial" w:hAnsi="Arial" w:cs="Arial"/>
          <w:sz w:val="20"/>
          <w:szCs w:val="20"/>
        </w:rPr>
        <w:t>CAP via the API.</w:t>
      </w:r>
    </w:p>
    <w:p w14:paraId="2F6D5510" w14:textId="71B1E439" w:rsidR="00AD7D70" w:rsidRPr="00B01F9E" w:rsidRDefault="00AD7D70" w:rsidP="005A1430">
      <w:pPr>
        <w:pStyle w:val="ListParagraph"/>
        <w:numPr>
          <w:ilvl w:val="1"/>
          <w:numId w:val="72"/>
        </w:numPr>
        <w:spacing w:after="60"/>
        <w:ind w:left="360"/>
        <w:rPr>
          <w:rFonts w:ascii="Arial" w:hAnsi="Arial" w:cs="Arial"/>
          <w:b/>
          <w:bCs/>
          <w:sz w:val="20"/>
          <w:szCs w:val="20"/>
        </w:rPr>
      </w:pPr>
      <w:r w:rsidRPr="00B01F9E">
        <w:rPr>
          <w:rFonts w:ascii="Arial" w:hAnsi="Arial" w:cs="Arial"/>
          <w:b/>
          <w:bCs/>
          <w:sz w:val="20"/>
          <w:szCs w:val="20"/>
        </w:rPr>
        <w:t>API Integration:</w:t>
      </w:r>
    </w:p>
    <w:p w14:paraId="0DFF4DC1" w14:textId="3ADA9024" w:rsidR="00AD7D70" w:rsidRPr="00B01F9E" w:rsidRDefault="00D67440" w:rsidP="4E92B765">
      <w:pPr>
        <w:spacing w:after="120"/>
        <w:ind w:left="360"/>
        <w:rPr>
          <w:rFonts w:ascii="Arial" w:hAnsi="Arial" w:cs="Arial"/>
          <w:sz w:val="20"/>
          <w:szCs w:val="20"/>
        </w:rPr>
      </w:pPr>
      <w:r w:rsidRPr="00B01F9E">
        <w:rPr>
          <w:rFonts w:ascii="Arial" w:hAnsi="Arial" w:cs="Arial"/>
          <w:sz w:val="20"/>
          <w:szCs w:val="20"/>
        </w:rPr>
        <w:t>A</w:t>
      </w:r>
      <w:r w:rsidR="00AD7D70" w:rsidRPr="00B01F9E">
        <w:rPr>
          <w:rFonts w:ascii="Arial" w:hAnsi="Arial" w:cs="Arial"/>
          <w:sz w:val="20"/>
          <w:szCs w:val="20"/>
        </w:rPr>
        <w:t>n API-based mechanism was implemented</w:t>
      </w:r>
      <w:r w:rsidRPr="00B01F9E">
        <w:rPr>
          <w:rFonts w:ascii="Arial" w:hAnsi="Arial" w:cs="Arial"/>
          <w:sz w:val="20"/>
          <w:szCs w:val="20"/>
        </w:rPr>
        <w:t xml:space="preserve"> to ensure efficient and automated data exchange</w:t>
      </w:r>
      <w:r w:rsidR="00AD7D70" w:rsidRPr="00B01F9E">
        <w:rPr>
          <w:rFonts w:ascii="Arial" w:hAnsi="Arial" w:cs="Arial"/>
          <w:sz w:val="20"/>
          <w:szCs w:val="20"/>
        </w:rPr>
        <w:t xml:space="preserve">. </w:t>
      </w:r>
      <w:r w:rsidR="00EC3012" w:rsidRPr="00B01F9E">
        <w:rPr>
          <w:rFonts w:ascii="Arial" w:hAnsi="Arial" w:cs="Arial"/>
          <w:sz w:val="20"/>
          <w:szCs w:val="20"/>
        </w:rPr>
        <w:t>ELLKAY</w:t>
      </w:r>
      <w:r w:rsidR="00AD7D70" w:rsidRPr="00B01F9E">
        <w:rPr>
          <w:rFonts w:ascii="Arial" w:hAnsi="Arial" w:cs="Arial"/>
          <w:sz w:val="20"/>
          <w:szCs w:val="20"/>
        </w:rPr>
        <w:t xml:space="preserve"> utilize</w:t>
      </w:r>
      <w:r w:rsidR="005A1430" w:rsidRPr="00B01F9E">
        <w:rPr>
          <w:rFonts w:ascii="Arial" w:hAnsi="Arial" w:cs="Arial"/>
          <w:sz w:val="20"/>
          <w:szCs w:val="20"/>
        </w:rPr>
        <w:t>d</w:t>
      </w:r>
      <w:r w:rsidR="00AD7D70" w:rsidRPr="00B01F9E">
        <w:rPr>
          <w:rFonts w:ascii="Arial" w:hAnsi="Arial" w:cs="Arial"/>
          <w:sz w:val="20"/>
          <w:szCs w:val="20"/>
        </w:rPr>
        <w:t xml:space="preserve"> a push method</w:t>
      </w:r>
      <w:r w:rsidR="00C71EB2" w:rsidRPr="00B01F9E">
        <w:rPr>
          <w:rFonts w:ascii="Arial" w:hAnsi="Arial" w:cs="Arial"/>
          <w:sz w:val="20"/>
          <w:szCs w:val="20"/>
        </w:rPr>
        <w:t xml:space="preserve"> which automatically sends data or updates as they are available</w:t>
      </w:r>
      <w:r w:rsidR="00AD7D70" w:rsidRPr="00B01F9E">
        <w:rPr>
          <w:rFonts w:ascii="Arial" w:hAnsi="Arial" w:cs="Arial"/>
          <w:sz w:val="20"/>
          <w:szCs w:val="20"/>
        </w:rPr>
        <w:t xml:space="preserve"> to transmit HL7 data</w:t>
      </w:r>
      <w:r w:rsidR="00156BA4" w:rsidRPr="00B01F9E">
        <w:rPr>
          <w:rFonts w:ascii="Arial" w:hAnsi="Arial" w:cs="Arial"/>
          <w:sz w:val="20"/>
          <w:szCs w:val="20"/>
        </w:rPr>
        <w:t xml:space="preserve">, leveraging </w:t>
      </w:r>
      <w:r w:rsidR="002B2E8C" w:rsidRPr="00B01F9E">
        <w:rPr>
          <w:rFonts w:ascii="Arial" w:hAnsi="Arial" w:cs="Arial"/>
          <w:sz w:val="20"/>
          <w:szCs w:val="20"/>
        </w:rPr>
        <w:t xml:space="preserve">CAP's </w:t>
      </w:r>
      <w:r w:rsidR="00AD7D70" w:rsidRPr="00B01F9E">
        <w:rPr>
          <w:rFonts w:ascii="Arial" w:hAnsi="Arial" w:cs="Arial"/>
          <w:sz w:val="20"/>
          <w:szCs w:val="20"/>
        </w:rPr>
        <w:t>API endpoint.</w:t>
      </w:r>
      <w:r w:rsidR="009974A0" w:rsidRPr="00B01F9E">
        <w:rPr>
          <w:rFonts w:ascii="Arial" w:hAnsi="Arial" w:cs="Arial"/>
          <w:sz w:val="20"/>
          <w:szCs w:val="20"/>
        </w:rPr>
        <w:t xml:space="preserve"> </w:t>
      </w:r>
    </w:p>
    <w:p w14:paraId="1656A627" w14:textId="07D6CC0D" w:rsidR="00AD7D70" w:rsidRPr="00B01F9E" w:rsidRDefault="00AD7D70" w:rsidP="005A1430">
      <w:pPr>
        <w:pStyle w:val="ListParagraph"/>
        <w:numPr>
          <w:ilvl w:val="0"/>
          <w:numId w:val="73"/>
        </w:numPr>
        <w:spacing w:after="0"/>
        <w:ind w:left="360"/>
        <w:rPr>
          <w:rFonts w:ascii="Arial" w:hAnsi="Arial" w:cs="Arial"/>
          <w:b/>
          <w:bCs/>
          <w:sz w:val="20"/>
          <w:szCs w:val="20"/>
        </w:rPr>
      </w:pPr>
      <w:r w:rsidRPr="00B01F9E">
        <w:rPr>
          <w:rFonts w:ascii="Arial" w:hAnsi="Arial" w:cs="Arial"/>
          <w:b/>
          <w:bCs/>
          <w:sz w:val="20"/>
          <w:szCs w:val="20"/>
        </w:rPr>
        <w:t>Onboarding a New Laboratory</w:t>
      </w:r>
      <w:r w:rsidR="004F1A9F" w:rsidRPr="00B01F9E">
        <w:rPr>
          <w:rFonts w:ascii="Arial" w:hAnsi="Arial" w:cs="Arial"/>
          <w:b/>
          <w:bCs/>
          <w:sz w:val="20"/>
          <w:szCs w:val="20"/>
        </w:rPr>
        <w:t xml:space="preserve">: </w:t>
      </w:r>
    </w:p>
    <w:p w14:paraId="11EBB4A5" w14:textId="69720553" w:rsidR="00AD7D70" w:rsidRPr="00B01F9E" w:rsidRDefault="00AD7D70" w:rsidP="4E92B765">
      <w:pPr>
        <w:spacing w:after="120"/>
        <w:ind w:left="360"/>
        <w:rPr>
          <w:rFonts w:ascii="Arial" w:hAnsi="Arial" w:cs="Arial"/>
          <w:sz w:val="20"/>
          <w:szCs w:val="20"/>
        </w:rPr>
      </w:pPr>
      <w:r w:rsidRPr="00B01F9E">
        <w:rPr>
          <w:rFonts w:ascii="Arial" w:hAnsi="Arial" w:cs="Arial"/>
          <w:sz w:val="20"/>
          <w:szCs w:val="20"/>
        </w:rPr>
        <w:t xml:space="preserve">The process of integrating a new laboratory into the data exchange framework will depend on the specific technical capabilities of the </w:t>
      </w:r>
      <w:r w:rsidR="006C0136" w:rsidRPr="00B01F9E">
        <w:rPr>
          <w:rFonts w:ascii="Arial" w:hAnsi="Arial" w:cs="Arial"/>
          <w:sz w:val="20"/>
          <w:szCs w:val="20"/>
        </w:rPr>
        <w:t>laboratory and the quality organization</w:t>
      </w:r>
      <w:r w:rsidRPr="00B01F9E">
        <w:rPr>
          <w:rFonts w:ascii="Arial" w:hAnsi="Arial" w:cs="Arial"/>
          <w:sz w:val="20"/>
          <w:szCs w:val="20"/>
        </w:rPr>
        <w:t>. Key steps typically include:</w:t>
      </w:r>
    </w:p>
    <w:p w14:paraId="1A7DE341" w14:textId="4B15AE3E" w:rsidR="00AD7D70" w:rsidRPr="00B01F9E" w:rsidRDefault="00AD7D70" w:rsidP="4E92B765">
      <w:pPr>
        <w:numPr>
          <w:ilvl w:val="0"/>
          <w:numId w:val="46"/>
        </w:numPr>
        <w:spacing w:after="120"/>
        <w:rPr>
          <w:rFonts w:ascii="Arial" w:hAnsi="Arial" w:cs="Arial"/>
          <w:sz w:val="20"/>
          <w:szCs w:val="20"/>
        </w:rPr>
      </w:pPr>
      <w:r w:rsidRPr="00B01F9E">
        <w:rPr>
          <w:rFonts w:ascii="Arial" w:hAnsi="Arial" w:cs="Arial"/>
          <w:b/>
          <w:sz w:val="20"/>
          <w:szCs w:val="20"/>
        </w:rPr>
        <w:t>Assessment of Network Infrastructure:</w:t>
      </w:r>
      <w:r w:rsidRPr="00B01F9E">
        <w:rPr>
          <w:rFonts w:ascii="Arial" w:hAnsi="Arial" w:cs="Arial"/>
          <w:sz w:val="20"/>
          <w:szCs w:val="20"/>
        </w:rPr>
        <w:t xml:space="preserve"> Evaluating the lab</w:t>
      </w:r>
      <w:r w:rsidR="00297023" w:rsidRPr="00B01F9E">
        <w:rPr>
          <w:rFonts w:ascii="Arial" w:hAnsi="Arial" w:cs="Arial"/>
          <w:sz w:val="20"/>
          <w:szCs w:val="20"/>
        </w:rPr>
        <w:t>oratory</w:t>
      </w:r>
      <w:r w:rsidRPr="00B01F9E">
        <w:rPr>
          <w:rFonts w:ascii="Arial" w:hAnsi="Arial" w:cs="Arial"/>
          <w:sz w:val="20"/>
          <w:szCs w:val="20"/>
        </w:rPr>
        <w:t xml:space="preserve"> network setup to determine the most suitable connection method (SFTP, VPN, API, etc.).</w:t>
      </w:r>
    </w:p>
    <w:p w14:paraId="6A83E8C3" w14:textId="198671FE" w:rsidR="00AD7D70" w:rsidRPr="00B01F9E" w:rsidRDefault="00AD7D70" w:rsidP="4E92B765">
      <w:pPr>
        <w:numPr>
          <w:ilvl w:val="0"/>
          <w:numId w:val="46"/>
        </w:numPr>
        <w:spacing w:after="120"/>
        <w:rPr>
          <w:rFonts w:ascii="Arial" w:hAnsi="Arial" w:cs="Arial"/>
          <w:sz w:val="20"/>
          <w:szCs w:val="20"/>
        </w:rPr>
      </w:pPr>
      <w:r w:rsidRPr="00B01F9E">
        <w:rPr>
          <w:rFonts w:ascii="Arial" w:hAnsi="Arial" w:cs="Arial"/>
          <w:b/>
          <w:sz w:val="20"/>
          <w:szCs w:val="20"/>
        </w:rPr>
        <w:t xml:space="preserve">Establishment of Secure Connection: </w:t>
      </w:r>
      <w:r w:rsidRPr="00B01F9E">
        <w:rPr>
          <w:rFonts w:ascii="Arial" w:hAnsi="Arial" w:cs="Arial"/>
          <w:sz w:val="20"/>
          <w:szCs w:val="20"/>
        </w:rPr>
        <w:t>Collaborating with the lab</w:t>
      </w:r>
      <w:r w:rsidR="00297023" w:rsidRPr="00B01F9E">
        <w:rPr>
          <w:rFonts w:ascii="Arial" w:hAnsi="Arial" w:cs="Arial"/>
          <w:sz w:val="20"/>
          <w:szCs w:val="20"/>
        </w:rPr>
        <w:t>oratory</w:t>
      </w:r>
      <w:r w:rsidRPr="00B01F9E">
        <w:rPr>
          <w:rFonts w:ascii="Arial" w:hAnsi="Arial" w:cs="Arial"/>
          <w:sz w:val="20"/>
          <w:szCs w:val="20"/>
        </w:rPr>
        <w:t xml:space="preserve"> IT team to establish a secure connection, </w:t>
      </w:r>
      <w:proofErr w:type="gramStart"/>
      <w:r w:rsidRPr="00B01F9E">
        <w:rPr>
          <w:rFonts w:ascii="Arial" w:hAnsi="Arial" w:cs="Arial"/>
          <w:sz w:val="20"/>
          <w:szCs w:val="20"/>
        </w:rPr>
        <w:t>similar to</w:t>
      </w:r>
      <w:proofErr w:type="gramEnd"/>
      <w:r w:rsidRPr="00B01F9E">
        <w:rPr>
          <w:rFonts w:ascii="Arial" w:hAnsi="Arial" w:cs="Arial"/>
          <w:sz w:val="20"/>
          <w:szCs w:val="20"/>
        </w:rPr>
        <w:t xml:space="preserve"> the process followed for </w:t>
      </w:r>
      <w:r w:rsidR="005D7596" w:rsidRPr="00B01F9E">
        <w:rPr>
          <w:rFonts w:ascii="Arial" w:hAnsi="Arial" w:cs="Arial"/>
          <w:sz w:val="20"/>
          <w:szCs w:val="20"/>
        </w:rPr>
        <w:t>the POC</w:t>
      </w:r>
      <w:r w:rsidRPr="00B01F9E">
        <w:rPr>
          <w:rFonts w:ascii="Arial" w:hAnsi="Arial" w:cs="Arial"/>
          <w:sz w:val="20"/>
          <w:szCs w:val="20"/>
        </w:rPr>
        <w:t>.</w:t>
      </w:r>
    </w:p>
    <w:p w14:paraId="2F66A11D" w14:textId="77777777" w:rsidR="00B27076" w:rsidRPr="00B01F9E" w:rsidRDefault="00AD7D70" w:rsidP="4E92B765">
      <w:pPr>
        <w:numPr>
          <w:ilvl w:val="0"/>
          <w:numId w:val="46"/>
        </w:numPr>
        <w:spacing w:after="120"/>
        <w:rPr>
          <w:rFonts w:ascii="Arial" w:hAnsi="Arial" w:cs="Arial"/>
          <w:sz w:val="20"/>
          <w:szCs w:val="20"/>
        </w:rPr>
      </w:pPr>
      <w:r w:rsidRPr="00B01F9E">
        <w:rPr>
          <w:rFonts w:ascii="Arial" w:hAnsi="Arial" w:cs="Arial"/>
          <w:b/>
          <w:sz w:val="20"/>
          <w:szCs w:val="20"/>
        </w:rPr>
        <w:t>Data Filtering Configuration (if applicable):</w:t>
      </w:r>
      <w:r w:rsidRPr="00B01F9E">
        <w:rPr>
          <w:rFonts w:ascii="Arial" w:hAnsi="Arial" w:cs="Arial"/>
          <w:sz w:val="20"/>
          <w:szCs w:val="20"/>
        </w:rPr>
        <w:t xml:space="preserve"> Implementing appropriate data filtering mechanisms based on the specific project requirements (if any).</w:t>
      </w:r>
    </w:p>
    <w:p w14:paraId="1D8FABA1" w14:textId="359E9D65" w:rsidR="00AD7D70" w:rsidRPr="00B01F9E" w:rsidRDefault="00AD7D70" w:rsidP="4E92B765">
      <w:pPr>
        <w:numPr>
          <w:ilvl w:val="0"/>
          <w:numId w:val="46"/>
        </w:numPr>
        <w:spacing w:after="120"/>
        <w:rPr>
          <w:rFonts w:ascii="Arial" w:hAnsi="Arial" w:cs="Arial"/>
          <w:sz w:val="20"/>
          <w:szCs w:val="20"/>
        </w:rPr>
      </w:pPr>
      <w:r w:rsidRPr="00B01F9E">
        <w:rPr>
          <w:rFonts w:ascii="Arial" w:hAnsi="Arial" w:cs="Arial"/>
          <w:sz w:val="20"/>
          <w:szCs w:val="20"/>
        </w:rPr>
        <w:lastRenderedPageBreak/>
        <w:t xml:space="preserve">API Integration (if applicable): </w:t>
      </w:r>
      <w:r w:rsidR="001C54D5" w:rsidRPr="00B01F9E">
        <w:rPr>
          <w:rFonts w:ascii="Arial" w:hAnsi="Arial" w:cs="Arial"/>
          <w:sz w:val="20"/>
          <w:szCs w:val="20"/>
        </w:rPr>
        <w:t>Ensure that</w:t>
      </w:r>
      <w:r w:rsidRPr="00B01F9E">
        <w:rPr>
          <w:rFonts w:ascii="Arial" w:hAnsi="Arial" w:cs="Arial"/>
          <w:sz w:val="20"/>
          <w:szCs w:val="20"/>
        </w:rPr>
        <w:t xml:space="preserve"> the </w:t>
      </w:r>
      <w:r w:rsidR="001C54D5" w:rsidRPr="00B01F9E">
        <w:rPr>
          <w:rFonts w:ascii="Arial" w:hAnsi="Arial" w:cs="Arial"/>
          <w:sz w:val="20"/>
          <w:szCs w:val="20"/>
        </w:rPr>
        <w:t xml:space="preserve">quality organization’s </w:t>
      </w:r>
      <w:r w:rsidRPr="00B01F9E">
        <w:rPr>
          <w:rFonts w:ascii="Arial" w:hAnsi="Arial" w:cs="Arial"/>
          <w:sz w:val="20"/>
          <w:szCs w:val="20"/>
        </w:rPr>
        <w:t xml:space="preserve">API </w:t>
      </w:r>
      <w:r w:rsidR="001C54D5" w:rsidRPr="00B01F9E">
        <w:rPr>
          <w:rFonts w:ascii="Arial" w:hAnsi="Arial" w:cs="Arial"/>
          <w:sz w:val="20"/>
          <w:szCs w:val="20"/>
        </w:rPr>
        <w:t>can</w:t>
      </w:r>
      <w:r w:rsidRPr="00B01F9E">
        <w:rPr>
          <w:rFonts w:ascii="Arial" w:hAnsi="Arial" w:cs="Arial"/>
          <w:sz w:val="20"/>
          <w:szCs w:val="20"/>
        </w:rPr>
        <w:t xml:space="preserve"> accommodate data exchange with the new laboratory.</w:t>
      </w:r>
    </w:p>
    <w:p w14:paraId="7464E7C4" w14:textId="1857FDDC" w:rsidR="00DF247E" w:rsidRPr="00B01F9E" w:rsidRDefault="00D93C2C" w:rsidP="4E92B765">
      <w:pPr>
        <w:spacing w:after="120"/>
        <w:rPr>
          <w:rFonts w:ascii="Arial" w:hAnsi="Arial" w:cs="Arial"/>
          <w:sz w:val="20"/>
          <w:szCs w:val="20"/>
        </w:rPr>
      </w:pPr>
      <w:r w:rsidRPr="00B01F9E">
        <w:rPr>
          <w:rFonts w:ascii="Arial" w:hAnsi="Arial" w:cs="Arial"/>
          <w:b/>
          <w:bCs/>
          <w:sz w:val="20"/>
          <w:szCs w:val="20"/>
        </w:rPr>
        <w:t xml:space="preserve">Simulated </w:t>
      </w:r>
      <w:r w:rsidR="00DF247E" w:rsidRPr="00B01F9E">
        <w:rPr>
          <w:rFonts w:ascii="Arial" w:hAnsi="Arial" w:cs="Arial"/>
          <w:b/>
          <w:bCs/>
          <w:sz w:val="20"/>
          <w:szCs w:val="20"/>
        </w:rPr>
        <w:t>LIDR</w:t>
      </w:r>
    </w:p>
    <w:p w14:paraId="06B99959" w14:textId="3E021BEB" w:rsidR="00B638CB" w:rsidRPr="00B01F9E" w:rsidRDefault="00B638CB" w:rsidP="4E92B765">
      <w:pPr>
        <w:spacing w:after="120"/>
        <w:rPr>
          <w:rFonts w:ascii="Arial" w:hAnsi="Arial" w:cs="Arial"/>
          <w:sz w:val="20"/>
          <w:szCs w:val="20"/>
        </w:rPr>
      </w:pPr>
      <w:r w:rsidRPr="00B01F9E">
        <w:rPr>
          <w:rFonts w:ascii="Arial" w:hAnsi="Arial" w:cs="Arial"/>
          <w:sz w:val="20"/>
          <w:szCs w:val="20"/>
        </w:rPr>
        <w:t xml:space="preserve">Because LIDR is still conceptual in nature, a simulated LIDR </w:t>
      </w:r>
      <w:r w:rsidR="00FB3259" w:rsidRPr="00B01F9E">
        <w:rPr>
          <w:rFonts w:ascii="Arial" w:hAnsi="Arial" w:cs="Arial"/>
          <w:sz w:val="20"/>
          <w:szCs w:val="20"/>
        </w:rPr>
        <w:t>was</w:t>
      </w:r>
      <w:r w:rsidRPr="00B01F9E">
        <w:rPr>
          <w:rFonts w:ascii="Arial" w:hAnsi="Arial" w:cs="Arial"/>
          <w:sz w:val="20"/>
          <w:szCs w:val="20"/>
        </w:rPr>
        <w:t xml:space="preserve"> </w:t>
      </w:r>
      <w:r w:rsidR="008A59A8" w:rsidRPr="00B01F9E">
        <w:rPr>
          <w:rFonts w:ascii="Arial" w:hAnsi="Arial" w:cs="Arial"/>
          <w:sz w:val="20"/>
          <w:szCs w:val="20"/>
        </w:rPr>
        <w:t>developed and</w:t>
      </w:r>
      <w:r w:rsidRPr="00B01F9E">
        <w:rPr>
          <w:rFonts w:ascii="Arial" w:hAnsi="Arial" w:cs="Arial"/>
          <w:sz w:val="20"/>
          <w:szCs w:val="20"/>
        </w:rPr>
        <w:t xml:space="preserve"> stored within the CAP database for the subset of tests used in the POC</w:t>
      </w:r>
      <w:r w:rsidR="00226F47" w:rsidRPr="00B01F9E">
        <w:rPr>
          <w:rFonts w:ascii="Arial" w:hAnsi="Arial" w:cs="Arial"/>
          <w:sz w:val="20"/>
          <w:szCs w:val="20"/>
        </w:rPr>
        <w:t xml:space="preserve"> (</w:t>
      </w:r>
      <w:hyperlink w:anchor="Table_2" w:history="1">
        <w:r w:rsidR="00226F47" w:rsidRPr="00B01F9E">
          <w:rPr>
            <w:rStyle w:val="Hyperlink"/>
            <w:rFonts w:ascii="Arial" w:hAnsi="Arial" w:cs="Arial"/>
            <w:sz w:val="20"/>
            <w:szCs w:val="20"/>
          </w:rPr>
          <w:t xml:space="preserve">Table </w:t>
        </w:r>
        <w:bookmarkStart w:id="12" w:name="_Hlt175749980"/>
        <w:r w:rsidR="00226F47" w:rsidRPr="00B01F9E">
          <w:rPr>
            <w:rStyle w:val="Hyperlink"/>
            <w:rFonts w:ascii="Arial" w:hAnsi="Arial" w:cs="Arial"/>
            <w:sz w:val="20"/>
            <w:szCs w:val="20"/>
          </w:rPr>
          <w:t>2</w:t>
        </w:r>
        <w:bookmarkEnd w:id="12"/>
      </w:hyperlink>
      <w:r w:rsidR="00226F47" w:rsidRPr="00B01F9E">
        <w:rPr>
          <w:rFonts w:ascii="Arial" w:hAnsi="Arial" w:cs="Arial"/>
          <w:sz w:val="20"/>
          <w:szCs w:val="20"/>
        </w:rPr>
        <w:t>)</w:t>
      </w:r>
      <w:r w:rsidRPr="00B01F9E">
        <w:rPr>
          <w:rFonts w:ascii="Arial" w:hAnsi="Arial" w:cs="Arial"/>
          <w:sz w:val="20"/>
          <w:szCs w:val="20"/>
        </w:rPr>
        <w:t>. The</w:t>
      </w:r>
      <w:r w:rsidRPr="00B01F9E" w:rsidDel="00340A75">
        <w:rPr>
          <w:rFonts w:ascii="Arial" w:hAnsi="Arial" w:cs="Arial"/>
          <w:sz w:val="20"/>
          <w:szCs w:val="20"/>
        </w:rPr>
        <w:t xml:space="preserve"> </w:t>
      </w:r>
      <w:r w:rsidR="00340A75" w:rsidRPr="00B01F9E">
        <w:rPr>
          <w:rFonts w:ascii="Arial" w:hAnsi="Arial" w:cs="Arial"/>
          <w:sz w:val="20"/>
          <w:szCs w:val="20"/>
        </w:rPr>
        <w:t>simulated</w:t>
      </w:r>
      <w:r w:rsidRPr="00B01F9E">
        <w:rPr>
          <w:rFonts w:ascii="Arial" w:hAnsi="Arial" w:cs="Arial"/>
          <w:sz w:val="20"/>
          <w:szCs w:val="20"/>
        </w:rPr>
        <w:t xml:space="preserve"> LIDR </w:t>
      </w:r>
      <w:r w:rsidR="00226F47" w:rsidRPr="00B01F9E">
        <w:rPr>
          <w:rFonts w:ascii="Arial" w:hAnsi="Arial" w:cs="Arial"/>
          <w:sz w:val="20"/>
          <w:szCs w:val="20"/>
        </w:rPr>
        <w:t>was</w:t>
      </w:r>
      <w:r w:rsidRPr="00B01F9E">
        <w:rPr>
          <w:rFonts w:ascii="Arial" w:hAnsi="Arial" w:cs="Arial"/>
          <w:sz w:val="20"/>
          <w:szCs w:val="20"/>
        </w:rPr>
        <w:t xml:space="preserve"> based on research related to the subset of tests, the instruments, and methods in use at Duke, utilizing information found in Duke build exports from Epic Beaker, Duke’s online test catalog, searches completed on LOINC, SNOMED</w:t>
      </w:r>
      <w:r w:rsidR="000C1E01" w:rsidRPr="00B01F9E">
        <w:rPr>
          <w:rFonts w:ascii="Arial" w:hAnsi="Arial" w:cs="Arial"/>
          <w:sz w:val="20"/>
          <w:szCs w:val="20"/>
        </w:rPr>
        <w:t xml:space="preserve"> CT</w:t>
      </w:r>
      <w:r w:rsidRPr="00B01F9E">
        <w:rPr>
          <w:rFonts w:ascii="Arial" w:hAnsi="Arial" w:cs="Arial"/>
          <w:sz w:val="20"/>
          <w:szCs w:val="20"/>
        </w:rPr>
        <w:t xml:space="preserve">, </w:t>
      </w:r>
      <w:r w:rsidR="00476DAE" w:rsidRPr="00B01F9E">
        <w:rPr>
          <w:rFonts w:ascii="Arial" w:hAnsi="Arial" w:cs="Arial"/>
          <w:sz w:val="20"/>
          <w:szCs w:val="20"/>
        </w:rPr>
        <w:t xml:space="preserve">and </w:t>
      </w:r>
      <w:r w:rsidRPr="00B01F9E">
        <w:rPr>
          <w:rFonts w:ascii="Arial" w:hAnsi="Arial" w:cs="Arial"/>
          <w:sz w:val="20"/>
          <w:szCs w:val="20"/>
        </w:rPr>
        <w:t>GUDID (Global Unique Device Identification Database) websites, as well as manufacturer websites. Th</w:t>
      </w:r>
      <w:r w:rsidR="00133C4C" w:rsidRPr="00B01F9E">
        <w:rPr>
          <w:rFonts w:ascii="Arial" w:hAnsi="Arial" w:cs="Arial"/>
          <w:sz w:val="20"/>
          <w:szCs w:val="20"/>
        </w:rPr>
        <w:t>is</w:t>
      </w:r>
      <w:r w:rsidRPr="00B01F9E">
        <w:rPr>
          <w:rFonts w:ascii="Arial" w:hAnsi="Arial" w:cs="Arial"/>
          <w:sz w:val="20"/>
          <w:szCs w:val="20"/>
        </w:rPr>
        <w:t xml:space="preserve"> LIDR file </w:t>
      </w:r>
      <w:r w:rsidR="00FB3259" w:rsidRPr="00B01F9E">
        <w:rPr>
          <w:rFonts w:ascii="Arial" w:hAnsi="Arial" w:cs="Arial"/>
          <w:sz w:val="20"/>
          <w:szCs w:val="20"/>
        </w:rPr>
        <w:t>was</w:t>
      </w:r>
      <w:r w:rsidRPr="00B01F9E">
        <w:rPr>
          <w:rFonts w:ascii="Arial" w:hAnsi="Arial" w:cs="Arial"/>
          <w:sz w:val="20"/>
          <w:szCs w:val="20"/>
        </w:rPr>
        <w:t xml:space="preserve"> shared with Duke to allow the encoding of their test build and interface with the required elements. Logic </w:t>
      </w:r>
      <w:r w:rsidR="00226F47" w:rsidRPr="00B01F9E">
        <w:rPr>
          <w:rFonts w:ascii="Arial" w:hAnsi="Arial" w:cs="Arial"/>
          <w:sz w:val="20"/>
          <w:szCs w:val="20"/>
        </w:rPr>
        <w:t xml:space="preserve">was </w:t>
      </w:r>
      <w:r w:rsidRPr="00B01F9E">
        <w:rPr>
          <w:rFonts w:ascii="Arial" w:hAnsi="Arial" w:cs="Arial"/>
          <w:sz w:val="20"/>
          <w:szCs w:val="20"/>
        </w:rPr>
        <w:t>develop</w:t>
      </w:r>
      <w:r w:rsidR="00E929C1" w:rsidRPr="00B01F9E">
        <w:rPr>
          <w:rFonts w:ascii="Arial" w:hAnsi="Arial" w:cs="Arial"/>
          <w:sz w:val="20"/>
          <w:szCs w:val="20"/>
        </w:rPr>
        <w:t>ed</w:t>
      </w:r>
      <w:r w:rsidRPr="00B01F9E">
        <w:rPr>
          <w:rFonts w:ascii="Arial" w:hAnsi="Arial" w:cs="Arial"/>
          <w:sz w:val="20"/>
          <w:szCs w:val="20"/>
        </w:rPr>
        <w:t xml:space="preserve"> to compare the data transferred through the interface to the CAP for structural validation of the LIDR elements in the message, using </w:t>
      </w:r>
      <w:r w:rsidR="00241960" w:rsidRPr="00B01F9E">
        <w:rPr>
          <w:rFonts w:ascii="Arial" w:hAnsi="Arial" w:cs="Arial"/>
          <w:sz w:val="20"/>
          <w:szCs w:val="20"/>
        </w:rPr>
        <w:t xml:space="preserve">the </w:t>
      </w:r>
      <w:r w:rsidR="00CA3F52" w:rsidRPr="00B01F9E">
        <w:rPr>
          <w:rFonts w:ascii="Arial" w:hAnsi="Arial" w:cs="Arial"/>
          <w:sz w:val="20"/>
          <w:szCs w:val="20"/>
        </w:rPr>
        <w:t xml:space="preserve">simulated </w:t>
      </w:r>
      <w:r w:rsidRPr="00B01F9E">
        <w:rPr>
          <w:rFonts w:ascii="Arial" w:hAnsi="Arial" w:cs="Arial"/>
          <w:sz w:val="20"/>
          <w:szCs w:val="20"/>
        </w:rPr>
        <w:t>LIDR as the source of truth.</w:t>
      </w:r>
      <w:r w:rsidR="002731E3" w:rsidRPr="00B01F9E">
        <w:rPr>
          <w:rFonts w:ascii="Arial" w:hAnsi="Arial" w:cs="Arial"/>
          <w:sz w:val="20"/>
          <w:szCs w:val="20"/>
        </w:rPr>
        <w:t xml:space="preserve"> </w:t>
      </w:r>
      <w:r w:rsidR="007B564F" w:rsidRPr="00B01F9E">
        <w:rPr>
          <w:rFonts w:ascii="Arial" w:hAnsi="Arial" w:cs="Arial"/>
          <w:sz w:val="20"/>
          <w:szCs w:val="20"/>
        </w:rPr>
        <w:t xml:space="preserve">For the remainder of the document, </w:t>
      </w:r>
      <w:r w:rsidR="005E79EC" w:rsidRPr="00B01F9E">
        <w:rPr>
          <w:rFonts w:ascii="Arial" w:hAnsi="Arial" w:cs="Arial"/>
          <w:sz w:val="20"/>
          <w:szCs w:val="20"/>
        </w:rPr>
        <w:t xml:space="preserve">the simulated </w:t>
      </w:r>
      <w:r w:rsidR="00A82D51" w:rsidRPr="00B01F9E">
        <w:rPr>
          <w:rFonts w:ascii="Arial" w:hAnsi="Arial" w:cs="Arial"/>
          <w:sz w:val="20"/>
          <w:szCs w:val="20"/>
        </w:rPr>
        <w:t xml:space="preserve">LIDR </w:t>
      </w:r>
      <w:r w:rsidR="005E79EC" w:rsidRPr="00B01F9E">
        <w:rPr>
          <w:rFonts w:ascii="Arial" w:hAnsi="Arial" w:cs="Arial"/>
          <w:sz w:val="20"/>
          <w:szCs w:val="20"/>
        </w:rPr>
        <w:t xml:space="preserve">will be referred to </w:t>
      </w:r>
      <w:r w:rsidR="00D43A7E" w:rsidRPr="00B01F9E">
        <w:rPr>
          <w:rFonts w:ascii="Arial" w:hAnsi="Arial" w:cs="Arial"/>
          <w:sz w:val="20"/>
          <w:szCs w:val="20"/>
        </w:rPr>
        <w:t xml:space="preserve">simply </w:t>
      </w:r>
      <w:r w:rsidR="005E79EC" w:rsidRPr="00B01F9E">
        <w:rPr>
          <w:rFonts w:ascii="Arial" w:hAnsi="Arial" w:cs="Arial"/>
          <w:sz w:val="20"/>
          <w:szCs w:val="20"/>
        </w:rPr>
        <w:t>as “LIDR”.</w:t>
      </w:r>
      <w:r w:rsidR="00A82D51" w:rsidRPr="00B01F9E">
        <w:rPr>
          <w:rFonts w:ascii="Arial" w:hAnsi="Arial" w:cs="Arial"/>
          <w:sz w:val="20"/>
          <w:szCs w:val="20"/>
        </w:rPr>
        <w:t xml:space="preserve"> </w:t>
      </w:r>
    </w:p>
    <w:p w14:paraId="3209E9B5" w14:textId="0494895F" w:rsidR="00B23664" w:rsidRPr="00B01F9E" w:rsidRDefault="002A6FCC" w:rsidP="4E92B765">
      <w:pPr>
        <w:spacing w:after="120"/>
        <w:rPr>
          <w:rFonts w:ascii="Arial" w:eastAsiaTheme="majorEastAsia" w:hAnsi="Arial" w:cs="Arial"/>
          <w:b/>
          <w:bCs/>
          <w:color w:val="4BACC6"/>
          <w:sz w:val="20"/>
          <w:szCs w:val="20"/>
        </w:rPr>
      </w:pPr>
      <w:r w:rsidRPr="00B01F9E">
        <w:rPr>
          <w:rFonts w:ascii="Arial" w:hAnsi="Arial" w:cs="Arial"/>
          <w:b/>
          <w:bCs/>
          <w:sz w:val="20"/>
          <w:szCs w:val="20"/>
        </w:rPr>
        <w:t>Intake Interface (CAP)</w:t>
      </w:r>
      <w:r w:rsidRPr="00B01F9E">
        <w:rPr>
          <w:rFonts w:ascii="Arial" w:eastAsiaTheme="majorEastAsia" w:hAnsi="Arial" w:cs="Arial"/>
          <w:b/>
          <w:bCs/>
          <w:color w:val="4BACC6"/>
          <w:sz w:val="20"/>
          <w:szCs w:val="20"/>
        </w:rPr>
        <w:t xml:space="preserve"> </w:t>
      </w:r>
    </w:p>
    <w:p w14:paraId="7995DF17" w14:textId="0B021426" w:rsidR="00155185" w:rsidRPr="00B01F9E" w:rsidRDefault="00545FA8" w:rsidP="4E92B765">
      <w:pPr>
        <w:spacing w:after="120"/>
        <w:ind w:left="-14" w:right="-14"/>
        <w:rPr>
          <w:rFonts w:ascii="Arial" w:eastAsia="Arial" w:hAnsi="Arial" w:cs="Arial"/>
          <w:sz w:val="20"/>
          <w:szCs w:val="20"/>
        </w:rPr>
      </w:pPr>
      <w:r w:rsidRPr="00B01F9E">
        <w:rPr>
          <w:rFonts w:ascii="Arial" w:eastAsia="Arial" w:hAnsi="Arial" w:cs="Arial"/>
          <w:sz w:val="20"/>
          <w:szCs w:val="20"/>
        </w:rPr>
        <w:t xml:space="preserve">The </w:t>
      </w:r>
      <w:r w:rsidR="00155185" w:rsidRPr="00B01F9E">
        <w:rPr>
          <w:rFonts w:ascii="Arial" w:eastAsia="Arial" w:hAnsi="Arial" w:cs="Arial"/>
          <w:sz w:val="20"/>
          <w:szCs w:val="20"/>
        </w:rPr>
        <w:t xml:space="preserve">HL7 transmissions </w:t>
      </w:r>
      <w:r w:rsidR="00226F47" w:rsidRPr="00B01F9E">
        <w:rPr>
          <w:rFonts w:ascii="Arial" w:eastAsia="Arial" w:hAnsi="Arial" w:cs="Arial"/>
          <w:sz w:val="20"/>
          <w:szCs w:val="20"/>
        </w:rPr>
        <w:t>were</w:t>
      </w:r>
      <w:r w:rsidR="00155185" w:rsidRPr="00B01F9E">
        <w:rPr>
          <w:rFonts w:ascii="Arial" w:eastAsia="Arial" w:hAnsi="Arial" w:cs="Arial"/>
          <w:sz w:val="20"/>
          <w:szCs w:val="20"/>
        </w:rPr>
        <w:t xml:space="preserve"> received through the </w:t>
      </w:r>
      <w:r w:rsidR="00FF6FEB" w:rsidRPr="00B01F9E">
        <w:rPr>
          <w:rFonts w:ascii="Arial" w:eastAsia="Arial" w:hAnsi="Arial" w:cs="Arial"/>
          <w:sz w:val="20"/>
          <w:szCs w:val="20"/>
        </w:rPr>
        <w:t>w</w:t>
      </w:r>
      <w:r w:rsidR="00155185" w:rsidRPr="00B01F9E">
        <w:rPr>
          <w:rFonts w:ascii="Arial" w:eastAsia="Arial" w:hAnsi="Arial" w:cs="Arial"/>
          <w:sz w:val="20"/>
          <w:szCs w:val="20"/>
        </w:rPr>
        <w:t>eb services/application programing interface (API) embedded within the CAP POC environment. This API follow</w:t>
      </w:r>
      <w:r w:rsidR="00226F47" w:rsidRPr="00B01F9E">
        <w:rPr>
          <w:rFonts w:ascii="Arial" w:eastAsia="Arial" w:hAnsi="Arial" w:cs="Arial"/>
          <w:sz w:val="20"/>
          <w:szCs w:val="20"/>
        </w:rPr>
        <w:t>ed</w:t>
      </w:r>
      <w:r w:rsidR="00155185" w:rsidRPr="00B01F9E">
        <w:rPr>
          <w:rFonts w:ascii="Arial" w:eastAsia="Arial" w:hAnsi="Arial" w:cs="Arial"/>
          <w:sz w:val="20"/>
          <w:szCs w:val="20"/>
        </w:rPr>
        <w:t xml:space="preserve"> the principles of the REST (Representational State Transfer Application Programming Interface) architecture for communication between systems. The HL7 transmissions received in the API </w:t>
      </w:r>
      <w:r w:rsidR="00226F47" w:rsidRPr="00B01F9E">
        <w:rPr>
          <w:rFonts w:ascii="Arial" w:eastAsia="Arial" w:hAnsi="Arial" w:cs="Arial"/>
          <w:sz w:val="20"/>
          <w:szCs w:val="20"/>
        </w:rPr>
        <w:t>were</w:t>
      </w:r>
      <w:r w:rsidR="00155185" w:rsidRPr="00B01F9E">
        <w:rPr>
          <w:rFonts w:ascii="Arial" w:eastAsia="Arial" w:hAnsi="Arial" w:cs="Arial"/>
          <w:sz w:val="20"/>
          <w:szCs w:val="20"/>
        </w:rPr>
        <w:t xml:space="preserve"> validated against a local copy of the LIDR data elements. </w:t>
      </w:r>
    </w:p>
    <w:p w14:paraId="059C800D" w14:textId="6F9D5CEF" w:rsidR="00155185" w:rsidRPr="00B01F9E" w:rsidRDefault="00155185" w:rsidP="4E92B765">
      <w:pPr>
        <w:spacing w:after="120"/>
        <w:ind w:left="-20" w:right="-20"/>
        <w:rPr>
          <w:rFonts w:ascii="Arial" w:eastAsia="Arial" w:hAnsi="Arial" w:cs="Arial"/>
          <w:sz w:val="20"/>
          <w:szCs w:val="20"/>
        </w:rPr>
      </w:pPr>
      <w:r w:rsidRPr="00B01F9E">
        <w:rPr>
          <w:rFonts w:ascii="Arial" w:eastAsia="Arial" w:hAnsi="Arial" w:cs="Arial"/>
          <w:sz w:val="20"/>
          <w:szCs w:val="20"/>
        </w:rPr>
        <w:t xml:space="preserve">The LIDR data </w:t>
      </w:r>
      <w:r w:rsidR="00226F47" w:rsidRPr="00B01F9E">
        <w:rPr>
          <w:rFonts w:ascii="Arial" w:eastAsia="Arial" w:hAnsi="Arial" w:cs="Arial"/>
          <w:sz w:val="20"/>
          <w:szCs w:val="20"/>
        </w:rPr>
        <w:t>w</w:t>
      </w:r>
      <w:r w:rsidR="00D774AB" w:rsidRPr="00B01F9E">
        <w:rPr>
          <w:rFonts w:ascii="Arial" w:eastAsia="Arial" w:hAnsi="Arial" w:cs="Arial"/>
          <w:sz w:val="20"/>
          <w:szCs w:val="20"/>
        </w:rPr>
        <w:t>ere</w:t>
      </w:r>
      <w:r w:rsidRPr="00B01F9E">
        <w:rPr>
          <w:rFonts w:ascii="Arial" w:eastAsia="Arial" w:hAnsi="Arial" w:cs="Arial"/>
          <w:sz w:val="20"/>
          <w:szCs w:val="20"/>
        </w:rPr>
        <w:t xml:space="preserve"> pre-loaded in the CAP system and persisted in a dimensional matrix format. A custom rules engine validate</w:t>
      </w:r>
      <w:r w:rsidR="00226F47" w:rsidRPr="00B01F9E">
        <w:rPr>
          <w:rFonts w:ascii="Arial" w:eastAsia="Arial" w:hAnsi="Arial" w:cs="Arial"/>
          <w:sz w:val="20"/>
          <w:szCs w:val="20"/>
        </w:rPr>
        <w:t>d</w:t>
      </w:r>
      <w:r w:rsidRPr="00B01F9E">
        <w:rPr>
          <w:rFonts w:ascii="Arial" w:eastAsia="Arial" w:hAnsi="Arial" w:cs="Arial"/>
          <w:sz w:val="20"/>
          <w:szCs w:val="20"/>
        </w:rPr>
        <w:t xml:space="preserve"> the transmitted HL7 against preconfigured rules and provide</w:t>
      </w:r>
      <w:r w:rsidR="00226F47" w:rsidRPr="00B01F9E">
        <w:rPr>
          <w:rFonts w:ascii="Arial" w:eastAsia="Arial" w:hAnsi="Arial" w:cs="Arial"/>
          <w:sz w:val="20"/>
          <w:szCs w:val="20"/>
        </w:rPr>
        <w:t>d</w:t>
      </w:r>
      <w:r w:rsidRPr="00B01F9E">
        <w:rPr>
          <w:rFonts w:ascii="Arial" w:eastAsia="Arial" w:hAnsi="Arial" w:cs="Arial"/>
          <w:sz w:val="20"/>
          <w:szCs w:val="20"/>
        </w:rPr>
        <w:t xml:space="preserve"> a synchronous response back to </w:t>
      </w:r>
      <w:r w:rsidR="00EC3012" w:rsidRPr="00B01F9E">
        <w:rPr>
          <w:rFonts w:ascii="Arial" w:eastAsia="Arial" w:hAnsi="Arial" w:cs="Arial"/>
          <w:sz w:val="20"/>
          <w:szCs w:val="20"/>
        </w:rPr>
        <w:t>ELLKAY</w:t>
      </w:r>
      <w:r w:rsidRPr="00B01F9E">
        <w:rPr>
          <w:rFonts w:ascii="Arial" w:eastAsia="Arial" w:hAnsi="Arial" w:cs="Arial"/>
          <w:sz w:val="20"/>
          <w:szCs w:val="20"/>
        </w:rPr>
        <w:t>. The CAP use</w:t>
      </w:r>
      <w:r w:rsidR="00226F47" w:rsidRPr="00B01F9E">
        <w:rPr>
          <w:rFonts w:ascii="Arial" w:eastAsia="Arial" w:hAnsi="Arial" w:cs="Arial"/>
          <w:sz w:val="20"/>
          <w:szCs w:val="20"/>
        </w:rPr>
        <w:t>d</w:t>
      </w:r>
      <w:r w:rsidRPr="00B01F9E">
        <w:rPr>
          <w:rFonts w:ascii="Arial" w:eastAsia="Arial" w:hAnsi="Arial" w:cs="Arial"/>
          <w:sz w:val="20"/>
          <w:szCs w:val="20"/>
        </w:rPr>
        <w:t xml:space="preserve"> AWS-managed APIs as the intake interface. This interface accept</w:t>
      </w:r>
      <w:r w:rsidR="00226F47" w:rsidRPr="00B01F9E">
        <w:rPr>
          <w:rFonts w:ascii="Arial" w:eastAsia="Arial" w:hAnsi="Arial" w:cs="Arial"/>
          <w:sz w:val="20"/>
          <w:szCs w:val="20"/>
        </w:rPr>
        <w:t>ed</w:t>
      </w:r>
      <w:r w:rsidRPr="00B01F9E">
        <w:rPr>
          <w:rFonts w:ascii="Arial" w:eastAsia="Arial" w:hAnsi="Arial" w:cs="Arial"/>
          <w:sz w:val="20"/>
          <w:szCs w:val="20"/>
        </w:rPr>
        <w:t xml:space="preserve"> HL7 messages or files for the compendium report as input payloads and return</w:t>
      </w:r>
      <w:r w:rsidR="00226F47" w:rsidRPr="00B01F9E">
        <w:rPr>
          <w:rFonts w:ascii="Arial" w:eastAsia="Arial" w:hAnsi="Arial" w:cs="Arial"/>
          <w:sz w:val="20"/>
          <w:szCs w:val="20"/>
        </w:rPr>
        <w:t>ed</w:t>
      </w:r>
      <w:r w:rsidRPr="00B01F9E">
        <w:rPr>
          <w:rFonts w:ascii="Arial" w:eastAsia="Arial" w:hAnsi="Arial" w:cs="Arial"/>
          <w:sz w:val="20"/>
          <w:szCs w:val="20"/>
        </w:rPr>
        <w:t xml:space="preserve"> a JSON response. To secure the intake process, the API implement</w:t>
      </w:r>
      <w:r w:rsidR="00226F47" w:rsidRPr="00B01F9E">
        <w:rPr>
          <w:rFonts w:ascii="Arial" w:eastAsia="Arial" w:hAnsi="Arial" w:cs="Arial"/>
          <w:sz w:val="20"/>
          <w:szCs w:val="20"/>
        </w:rPr>
        <w:t>ed</w:t>
      </w:r>
      <w:r w:rsidRPr="00B01F9E">
        <w:rPr>
          <w:rFonts w:ascii="Arial" w:eastAsia="Arial" w:hAnsi="Arial" w:cs="Arial"/>
          <w:sz w:val="20"/>
          <w:szCs w:val="20"/>
        </w:rPr>
        <w:t xml:space="preserve"> token-based authentication and a mechanism to verify the identity of clients as well as restrict access to authorized users or applications.</w:t>
      </w:r>
    </w:p>
    <w:p w14:paraId="05425064" w14:textId="77777777" w:rsidR="00476DAE" w:rsidRPr="00B01F9E" w:rsidRDefault="00476DAE">
      <w:pPr>
        <w:rPr>
          <w:rFonts w:ascii="Arial" w:hAnsi="Arial" w:cs="Arial"/>
          <w:b/>
          <w:bCs/>
          <w:color w:val="009BBF"/>
          <w:sz w:val="20"/>
          <w:szCs w:val="20"/>
        </w:rPr>
      </w:pPr>
      <w:r w:rsidRPr="00B01F9E">
        <w:rPr>
          <w:rFonts w:ascii="Arial" w:hAnsi="Arial" w:cs="Arial"/>
          <w:b/>
          <w:bCs/>
          <w:color w:val="009BBF"/>
          <w:sz w:val="20"/>
          <w:szCs w:val="20"/>
        </w:rPr>
        <w:br w:type="page"/>
      </w:r>
    </w:p>
    <w:p w14:paraId="6440504D" w14:textId="66F94E6B" w:rsidR="00D2632C" w:rsidRPr="00B01F9E" w:rsidRDefault="00D2632C" w:rsidP="00490D8C">
      <w:pPr>
        <w:spacing w:after="0"/>
        <w:rPr>
          <w:rFonts w:ascii="Arial" w:hAnsi="Arial" w:cs="Arial"/>
          <w:b/>
          <w:bCs/>
          <w:color w:val="009BBF"/>
          <w:sz w:val="20"/>
          <w:szCs w:val="20"/>
        </w:rPr>
      </w:pPr>
      <w:r w:rsidRPr="00B01F9E">
        <w:rPr>
          <w:rFonts w:ascii="Arial" w:hAnsi="Arial" w:cs="Arial"/>
          <w:b/>
          <w:bCs/>
          <w:color w:val="009BBF"/>
          <w:sz w:val="20"/>
          <w:szCs w:val="20"/>
        </w:rPr>
        <w:lastRenderedPageBreak/>
        <w:t xml:space="preserve">Table </w:t>
      </w:r>
      <w:r w:rsidR="00D478FA" w:rsidRPr="00B01F9E">
        <w:rPr>
          <w:rFonts w:ascii="Arial" w:hAnsi="Arial" w:cs="Arial"/>
          <w:b/>
          <w:bCs/>
          <w:color w:val="009BBF"/>
          <w:sz w:val="20"/>
          <w:szCs w:val="20"/>
        </w:rPr>
        <w:t>4</w:t>
      </w:r>
      <w:r w:rsidRPr="00B01F9E">
        <w:rPr>
          <w:rFonts w:ascii="Arial" w:hAnsi="Arial" w:cs="Arial"/>
          <w:b/>
          <w:bCs/>
          <w:color w:val="009BBF"/>
          <w:sz w:val="20"/>
          <w:szCs w:val="20"/>
        </w:rPr>
        <w:t xml:space="preserve">: API Interface Specifications </w:t>
      </w:r>
    </w:p>
    <w:tbl>
      <w:tblPr>
        <w:tblStyle w:val="TableGrid2"/>
        <w:tblW w:w="9268" w:type="dxa"/>
        <w:tblLayout w:type="fixed"/>
        <w:tblLook w:val="06A0" w:firstRow="1" w:lastRow="0" w:firstColumn="1" w:lastColumn="0" w:noHBand="1" w:noVBand="1"/>
      </w:tblPr>
      <w:tblGrid>
        <w:gridCol w:w="2222"/>
        <w:gridCol w:w="7046"/>
      </w:tblGrid>
      <w:tr w:rsidR="00951739" w:rsidRPr="00B01F9E" w14:paraId="22481A01" w14:textId="77777777" w:rsidTr="00F97BEB">
        <w:trPr>
          <w:trHeight w:val="269"/>
        </w:trPr>
        <w:tc>
          <w:tcPr>
            <w:tcW w:w="9268" w:type="dxa"/>
            <w:gridSpan w:val="2"/>
            <w:shd w:val="clear" w:color="auto" w:fill="D9E2F3"/>
          </w:tcPr>
          <w:p w14:paraId="5B6DE71D" w14:textId="315778EC" w:rsidR="00951739" w:rsidRPr="00B01F9E" w:rsidRDefault="00951739" w:rsidP="00F97BEB">
            <w:pPr>
              <w:rPr>
                <w:rFonts w:ascii="Arial" w:eastAsia="Arial" w:hAnsi="Arial" w:cs="Arial"/>
                <w:b/>
                <w:color w:val="000000"/>
                <w:sz w:val="20"/>
                <w:szCs w:val="20"/>
              </w:rPr>
            </w:pPr>
            <w:r w:rsidRPr="00B01F9E">
              <w:rPr>
                <w:rFonts w:ascii="Arial" w:eastAsia="Arial" w:hAnsi="Arial" w:cs="Arial"/>
                <w:b/>
                <w:color w:val="000000"/>
                <w:sz w:val="20"/>
                <w:szCs w:val="20"/>
              </w:rPr>
              <w:t>Interface Name: PT Transmission API</w:t>
            </w:r>
          </w:p>
        </w:tc>
      </w:tr>
      <w:tr w:rsidR="00951739" w:rsidRPr="00B01F9E" w14:paraId="7A3EB559" w14:textId="77777777" w:rsidTr="00C576A2">
        <w:trPr>
          <w:trHeight w:val="288"/>
        </w:trPr>
        <w:tc>
          <w:tcPr>
            <w:tcW w:w="2222" w:type="dxa"/>
          </w:tcPr>
          <w:p w14:paraId="431A635E" w14:textId="77777777" w:rsidR="00951739" w:rsidRPr="00B01F9E" w:rsidRDefault="00951739" w:rsidP="00951739">
            <w:pPr>
              <w:rPr>
                <w:rFonts w:ascii="Arial" w:eastAsia="Arial" w:hAnsi="Arial" w:cs="Arial"/>
                <w:color w:val="000000"/>
                <w:sz w:val="20"/>
                <w:szCs w:val="20"/>
              </w:rPr>
            </w:pPr>
            <w:r w:rsidRPr="00B01F9E">
              <w:rPr>
                <w:rFonts w:ascii="Arial" w:eastAsia="Arial" w:hAnsi="Arial" w:cs="Arial"/>
                <w:color w:val="000000"/>
                <w:sz w:val="20"/>
                <w:szCs w:val="20"/>
              </w:rPr>
              <w:t>Method</w:t>
            </w:r>
          </w:p>
        </w:tc>
        <w:tc>
          <w:tcPr>
            <w:tcW w:w="7045" w:type="dxa"/>
          </w:tcPr>
          <w:p w14:paraId="6662E02B" w14:textId="77777777" w:rsidR="00951739" w:rsidRPr="00B01F9E" w:rsidRDefault="00951739" w:rsidP="00F97BEB">
            <w:pPr>
              <w:rPr>
                <w:rFonts w:ascii="Arial" w:eastAsia="Arial" w:hAnsi="Arial" w:cs="Arial"/>
                <w:color w:val="000000"/>
                <w:sz w:val="20"/>
                <w:szCs w:val="20"/>
              </w:rPr>
            </w:pPr>
            <w:r w:rsidRPr="00B01F9E">
              <w:rPr>
                <w:rFonts w:ascii="Arial" w:eastAsia="Arial" w:hAnsi="Arial" w:cs="Arial"/>
                <w:color w:val="000000"/>
                <w:sz w:val="20"/>
                <w:szCs w:val="20"/>
              </w:rPr>
              <w:t>POST</w:t>
            </w:r>
          </w:p>
        </w:tc>
      </w:tr>
      <w:tr w:rsidR="00951739" w:rsidRPr="00B01F9E" w14:paraId="3CFBDF69" w14:textId="77777777" w:rsidTr="00C576A2">
        <w:trPr>
          <w:trHeight w:val="288"/>
        </w:trPr>
        <w:tc>
          <w:tcPr>
            <w:tcW w:w="2222" w:type="dxa"/>
          </w:tcPr>
          <w:p w14:paraId="52C00E78" w14:textId="77777777" w:rsidR="00951739" w:rsidRPr="00B01F9E" w:rsidRDefault="00951739" w:rsidP="00951739">
            <w:pPr>
              <w:rPr>
                <w:rFonts w:ascii="Arial" w:eastAsia="Arial" w:hAnsi="Arial" w:cs="Arial"/>
                <w:color w:val="000000"/>
                <w:sz w:val="20"/>
                <w:szCs w:val="20"/>
              </w:rPr>
            </w:pPr>
            <w:r w:rsidRPr="00B01F9E">
              <w:rPr>
                <w:rFonts w:ascii="Arial" w:eastAsia="Arial" w:hAnsi="Arial" w:cs="Arial"/>
                <w:color w:val="000000"/>
                <w:sz w:val="20"/>
                <w:szCs w:val="20"/>
              </w:rPr>
              <w:t>API</w:t>
            </w:r>
          </w:p>
        </w:tc>
        <w:tc>
          <w:tcPr>
            <w:tcW w:w="7045" w:type="dxa"/>
          </w:tcPr>
          <w:p w14:paraId="2CF7E43E" w14:textId="77777777" w:rsidR="00951739" w:rsidRPr="00B01F9E" w:rsidRDefault="00000000" w:rsidP="00F97BEB">
            <w:pPr>
              <w:rPr>
                <w:rFonts w:ascii="Arial" w:eastAsia="Arial" w:hAnsi="Arial" w:cs="Arial"/>
                <w:color w:val="000000"/>
                <w:sz w:val="20"/>
                <w:szCs w:val="20"/>
                <w:u w:val="single"/>
              </w:rPr>
            </w:pPr>
            <w:hyperlink r:id="rId23">
              <w:r w:rsidR="00951739" w:rsidRPr="00B01F9E">
                <w:rPr>
                  <w:rFonts w:ascii="Arial" w:eastAsia="Arial" w:hAnsi="Arial" w:cs="Arial"/>
                  <w:color w:val="000000"/>
                  <w:sz w:val="20"/>
                  <w:szCs w:val="20"/>
                  <w:u w:val="single"/>
                </w:rPr>
                <w:t>https://capfdaapis.cap.org/data-load/fda-shield/pt-direct-trasmission</w:t>
              </w:r>
            </w:hyperlink>
          </w:p>
        </w:tc>
      </w:tr>
      <w:tr w:rsidR="00951739" w:rsidRPr="00B01F9E" w14:paraId="278469E6" w14:textId="77777777" w:rsidTr="00C576A2">
        <w:trPr>
          <w:trHeight w:val="288"/>
        </w:trPr>
        <w:tc>
          <w:tcPr>
            <w:tcW w:w="2222" w:type="dxa"/>
          </w:tcPr>
          <w:p w14:paraId="25B6A486" w14:textId="77777777" w:rsidR="00951739" w:rsidRPr="00B01F9E" w:rsidRDefault="00951739" w:rsidP="00951739">
            <w:pPr>
              <w:rPr>
                <w:rFonts w:ascii="Arial" w:eastAsia="Arial" w:hAnsi="Arial" w:cs="Arial"/>
                <w:color w:val="000000"/>
                <w:sz w:val="20"/>
                <w:szCs w:val="20"/>
              </w:rPr>
            </w:pPr>
            <w:r w:rsidRPr="00B01F9E">
              <w:rPr>
                <w:rFonts w:ascii="Arial" w:eastAsia="Arial" w:hAnsi="Arial" w:cs="Arial"/>
                <w:color w:val="000000"/>
                <w:sz w:val="20"/>
                <w:szCs w:val="20"/>
              </w:rPr>
              <w:t>Header</w:t>
            </w:r>
          </w:p>
        </w:tc>
        <w:tc>
          <w:tcPr>
            <w:tcW w:w="7045" w:type="dxa"/>
          </w:tcPr>
          <w:p w14:paraId="6AD2794D" w14:textId="77777777" w:rsidR="00951739" w:rsidRPr="00B01F9E" w:rsidRDefault="00951739" w:rsidP="00F97BEB">
            <w:pPr>
              <w:tabs>
                <w:tab w:val="left" w:pos="2160"/>
              </w:tabs>
              <w:rPr>
                <w:rFonts w:ascii="Arial" w:eastAsia="Arial" w:hAnsi="Arial" w:cs="Arial"/>
                <w:i/>
                <w:iCs/>
                <w:color w:val="000000"/>
                <w:sz w:val="20"/>
                <w:szCs w:val="20"/>
              </w:rPr>
            </w:pPr>
            <w:r w:rsidRPr="00B01F9E">
              <w:rPr>
                <w:rFonts w:ascii="Arial" w:eastAsia="Arial" w:hAnsi="Arial" w:cs="Arial"/>
                <w:color w:val="000000"/>
                <w:sz w:val="20"/>
                <w:szCs w:val="20"/>
              </w:rPr>
              <w:t>x-</w:t>
            </w:r>
            <w:proofErr w:type="spellStart"/>
            <w:r w:rsidRPr="00B01F9E">
              <w:rPr>
                <w:rFonts w:ascii="Arial" w:eastAsia="Arial" w:hAnsi="Arial" w:cs="Arial"/>
                <w:color w:val="000000"/>
                <w:sz w:val="20"/>
                <w:szCs w:val="20"/>
              </w:rPr>
              <w:t>api</w:t>
            </w:r>
            <w:proofErr w:type="spellEnd"/>
            <w:r w:rsidRPr="00B01F9E">
              <w:rPr>
                <w:rFonts w:ascii="Arial" w:eastAsia="Arial" w:hAnsi="Arial" w:cs="Arial"/>
                <w:color w:val="000000"/>
                <w:sz w:val="20"/>
                <w:szCs w:val="20"/>
              </w:rPr>
              <w:t xml:space="preserve">-key </w:t>
            </w:r>
          </w:p>
        </w:tc>
      </w:tr>
      <w:tr w:rsidR="00951739" w:rsidRPr="00B01F9E" w14:paraId="52D34FC9" w14:textId="77777777" w:rsidTr="00C576A2">
        <w:trPr>
          <w:trHeight w:val="288"/>
        </w:trPr>
        <w:tc>
          <w:tcPr>
            <w:tcW w:w="2222" w:type="dxa"/>
          </w:tcPr>
          <w:p w14:paraId="1DDF57D3" w14:textId="77777777" w:rsidR="00951739" w:rsidRPr="00B01F9E" w:rsidRDefault="00951739" w:rsidP="00951739">
            <w:pPr>
              <w:rPr>
                <w:rFonts w:ascii="Arial" w:eastAsia="Arial" w:hAnsi="Arial" w:cs="Arial"/>
                <w:color w:val="000000"/>
                <w:sz w:val="20"/>
                <w:szCs w:val="20"/>
              </w:rPr>
            </w:pPr>
            <w:r w:rsidRPr="00B01F9E">
              <w:rPr>
                <w:rFonts w:ascii="Arial" w:eastAsia="Arial" w:hAnsi="Arial" w:cs="Arial"/>
                <w:color w:val="000000"/>
                <w:sz w:val="20"/>
                <w:szCs w:val="20"/>
              </w:rPr>
              <w:t>Payload</w:t>
            </w:r>
          </w:p>
        </w:tc>
        <w:tc>
          <w:tcPr>
            <w:tcW w:w="7045" w:type="dxa"/>
          </w:tcPr>
          <w:p w14:paraId="1C390721" w14:textId="77777777" w:rsidR="00951739" w:rsidRPr="00B01F9E" w:rsidRDefault="00951739" w:rsidP="00F97BEB">
            <w:pPr>
              <w:rPr>
                <w:rFonts w:ascii="Arial" w:eastAsia="Arial" w:hAnsi="Arial" w:cs="Arial"/>
                <w:color w:val="000000"/>
                <w:sz w:val="20"/>
                <w:szCs w:val="20"/>
              </w:rPr>
            </w:pPr>
            <w:r w:rsidRPr="00B01F9E">
              <w:rPr>
                <w:rFonts w:ascii="Arial" w:eastAsia="Arial" w:hAnsi="Arial" w:cs="Arial"/>
                <w:color w:val="000000"/>
                <w:sz w:val="20"/>
                <w:szCs w:val="20"/>
              </w:rPr>
              <w:t>HL7</w:t>
            </w:r>
          </w:p>
        </w:tc>
      </w:tr>
      <w:tr w:rsidR="00951739" w:rsidRPr="00B01F9E" w14:paraId="7C3E6916" w14:textId="77777777" w:rsidTr="00F97BEB">
        <w:trPr>
          <w:trHeight w:val="282"/>
        </w:trPr>
        <w:tc>
          <w:tcPr>
            <w:tcW w:w="2222" w:type="dxa"/>
          </w:tcPr>
          <w:p w14:paraId="0FA8A0D9" w14:textId="77777777" w:rsidR="00951739" w:rsidRPr="00B01F9E" w:rsidRDefault="00951739" w:rsidP="00951739">
            <w:pPr>
              <w:rPr>
                <w:rFonts w:ascii="Arial" w:eastAsia="Arial" w:hAnsi="Arial" w:cs="Arial"/>
                <w:color w:val="000000"/>
                <w:sz w:val="20"/>
                <w:szCs w:val="20"/>
              </w:rPr>
            </w:pPr>
            <w:r w:rsidRPr="00B01F9E">
              <w:rPr>
                <w:rFonts w:ascii="Arial" w:eastAsia="Arial" w:hAnsi="Arial" w:cs="Arial"/>
                <w:color w:val="000000"/>
                <w:sz w:val="20"/>
                <w:szCs w:val="20"/>
              </w:rPr>
              <w:t>Response format</w:t>
            </w:r>
          </w:p>
        </w:tc>
        <w:tc>
          <w:tcPr>
            <w:tcW w:w="7045" w:type="dxa"/>
          </w:tcPr>
          <w:p w14:paraId="532F5B9B" w14:textId="77777777" w:rsidR="00951739" w:rsidRPr="00B01F9E" w:rsidRDefault="00951739" w:rsidP="00F97BEB">
            <w:pPr>
              <w:rPr>
                <w:rFonts w:ascii="Arial" w:eastAsia="Arial" w:hAnsi="Arial" w:cs="Arial"/>
                <w:color w:val="000000"/>
                <w:sz w:val="20"/>
                <w:szCs w:val="20"/>
              </w:rPr>
            </w:pPr>
            <w:r w:rsidRPr="00B01F9E">
              <w:rPr>
                <w:rFonts w:ascii="Arial" w:eastAsia="Arial" w:hAnsi="Arial" w:cs="Arial"/>
                <w:color w:val="000000"/>
                <w:sz w:val="20"/>
                <w:szCs w:val="20"/>
              </w:rPr>
              <w:t>JSON</w:t>
            </w:r>
          </w:p>
          <w:p w14:paraId="5ADA1AAE" w14:textId="77777777" w:rsidR="00951739" w:rsidRPr="00B01F9E" w:rsidRDefault="00951739" w:rsidP="00F97BEB">
            <w:pPr>
              <w:rPr>
                <w:rFonts w:ascii="Arial" w:eastAsia="Arial" w:hAnsi="Arial" w:cs="Arial"/>
                <w:color w:val="000000"/>
                <w:sz w:val="20"/>
                <w:szCs w:val="20"/>
              </w:rPr>
            </w:pPr>
            <w:r w:rsidRPr="00B01F9E">
              <w:rPr>
                <w:rFonts w:ascii="Arial" w:eastAsia="Arial" w:hAnsi="Arial" w:cs="Arial"/>
                <w:color w:val="000000"/>
                <w:sz w:val="20"/>
                <w:szCs w:val="20"/>
              </w:rPr>
              <w:t>Response body: Detailed JSON response with each data field status</w:t>
            </w:r>
          </w:p>
        </w:tc>
      </w:tr>
    </w:tbl>
    <w:tbl>
      <w:tblPr>
        <w:tblStyle w:val="TableGrid3"/>
        <w:tblW w:w="9268" w:type="dxa"/>
        <w:tblLayout w:type="fixed"/>
        <w:tblLook w:val="06A0" w:firstRow="1" w:lastRow="0" w:firstColumn="1" w:lastColumn="0" w:noHBand="1" w:noVBand="1"/>
      </w:tblPr>
      <w:tblGrid>
        <w:gridCol w:w="2222"/>
        <w:gridCol w:w="7046"/>
      </w:tblGrid>
      <w:tr w:rsidR="00A423F2" w:rsidRPr="00B01F9E" w14:paraId="6AFA6584" w14:textId="77777777" w:rsidTr="00A423F2">
        <w:trPr>
          <w:trHeight w:val="282"/>
        </w:trPr>
        <w:tc>
          <w:tcPr>
            <w:tcW w:w="9268" w:type="dxa"/>
            <w:gridSpan w:val="2"/>
            <w:shd w:val="clear" w:color="auto" w:fill="D9E2F3"/>
          </w:tcPr>
          <w:p w14:paraId="43BAA936" w14:textId="797A6172" w:rsidR="00A423F2" w:rsidRPr="00B01F9E" w:rsidRDefault="00A423F2">
            <w:pPr>
              <w:rPr>
                <w:rFonts w:ascii="Arial" w:eastAsia="Arial" w:hAnsi="Arial" w:cs="Arial"/>
                <w:b/>
                <w:sz w:val="20"/>
                <w:szCs w:val="20"/>
              </w:rPr>
            </w:pPr>
            <w:r w:rsidRPr="00B01F9E">
              <w:rPr>
                <w:rFonts w:ascii="Arial" w:eastAsia="Arial" w:hAnsi="Arial" w:cs="Arial"/>
                <w:b/>
                <w:sz w:val="20"/>
                <w:szCs w:val="20"/>
              </w:rPr>
              <w:t>Interface Name: Compendium Report API</w:t>
            </w:r>
          </w:p>
        </w:tc>
      </w:tr>
      <w:tr w:rsidR="00A423F2" w:rsidRPr="00B01F9E" w14:paraId="55F92C83" w14:textId="77777777" w:rsidTr="00A423F2">
        <w:trPr>
          <w:trHeight w:val="282"/>
        </w:trPr>
        <w:tc>
          <w:tcPr>
            <w:tcW w:w="2222" w:type="dxa"/>
          </w:tcPr>
          <w:p w14:paraId="23155E2F"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Method</w:t>
            </w:r>
          </w:p>
        </w:tc>
        <w:tc>
          <w:tcPr>
            <w:tcW w:w="7046" w:type="dxa"/>
          </w:tcPr>
          <w:p w14:paraId="05CAF3D7"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POST</w:t>
            </w:r>
          </w:p>
        </w:tc>
      </w:tr>
      <w:tr w:rsidR="00A423F2" w:rsidRPr="00B01F9E" w14:paraId="55394016" w14:textId="77777777" w:rsidTr="00A423F2">
        <w:trPr>
          <w:trHeight w:val="282"/>
        </w:trPr>
        <w:tc>
          <w:tcPr>
            <w:tcW w:w="2222" w:type="dxa"/>
          </w:tcPr>
          <w:p w14:paraId="532D7A46"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API</w:t>
            </w:r>
          </w:p>
        </w:tc>
        <w:tc>
          <w:tcPr>
            <w:tcW w:w="7046" w:type="dxa"/>
          </w:tcPr>
          <w:p w14:paraId="12B8C3B9" w14:textId="77777777" w:rsidR="00A423F2" w:rsidRPr="00B01F9E" w:rsidRDefault="00000000">
            <w:pPr>
              <w:rPr>
                <w:rFonts w:ascii="Arial" w:hAnsi="Arial" w:cs="Arial"/>
                <w:sz w:val="20"/>
                <w:szCs w:val="20"/>
              </w:rPr>
            </w:pPr>
            <w:hyperlink r:id="rId24">
              <w:r w:rsidR="00A423F2" w:rsidRPr="00B01F9E">
                <w:rPr>
                  <w:rStyle w:val="Hyperlink"/>
                  <w:rFonts w:ascii="Arial" w:eastAsia="Arial" w:hAnsi="Arial" w:cs="Arial"/>
                  <w:color w:val="auto"/>
                  <w:sz w:val="20"/>
                  <w:szCs w:val="20"/>
                </w:rPr>
                <w:t>https://capfdaapis.cap.org/data-load/fda-shield/compendium-report</w:t>
              </w:r>
            </w:hyperlink>
          </w:p>
        </w:tc>
      </w:tr>
      <w:tr w:rsidR="00A423F2" w:rsidRPr="00B01F9E" w14:paraId="1C1A3C4A" w14:textId="77777777" w:rsidTr="00A423F2">
        <w:trPr>
          <w:trHeight w:val="282"/>
        </w:trPr>
        <w:tc>
          <w:tcPr>
            <w:tcW w:w="2222" w:type="dxa"/>
          </w:tcPr>
          <w:p w14:paraId="105C6875"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Header</w:t>
            </w:r>
          </w:p>
        </w:tc>
        <w:tc>
          <w:tcPr>
            <w:tcW w:w="7046" w:type="dxa"/>
          </w:tcPr>
          <w:p w14:paraId="44200986" w14:textId="77777777" w:rsidR="00A423F2" w:rsidRPr="00B01F9E" w:rsidRDefault="00A423F2">
            <w:pPr>
              <w:tabs>
                <w:tab w:val="left" w:pos="2160"/>
              </w:tabs>
              <w:rPr>
                <w:rFonts w:ascii="Arial" w:eastAsia="Arial" w:hAnsi="Arial" w:cs="Arial"/>
                <w:sz w:val="20"/>
                <w:szCs w:val="20"/>
              </w:rPr>
            </w:pPr>
            <w:r w:rsidRPr="00B01F9E">
              <w:rPr>
                <w:rFonts w:ascii="Arial" w:eastAsia="Arial" w:hAnsi="Arial" w:cs="Arial"/>
                <w:sz w:val="20"/>
                <w:szCs w:val="20"/>
              </w:rPr>
              <w:t>x-</w:t>
            </w:r>
            <w:proofErr w:type="spellStart"/>
            <w:r w:rsidRPr="00B01F9E">
              <w:rPr>
                <w:rFonts w:ascii="Arial" w:eastAsia="Arial" w:hAnsi="Arial" w:cs="Arial"/>
                <w:sz w:val="20"/>
                <w:szCs w:val="20"/>
              </w:rPr>
              <w:t>api</w:t>
            </w:r>
            <w:proofErr w:type="spellEnd"/>
            <w:r w:rsidRPr="00B01F9E">
              <w:rPr>
                <w:rFonts w:ascii="Arial" w:eastAsia="Arial" w:hAnsi="Arial" w:cs="Arial"/>
                <w:sz w:val="20"/>
                <w:szCs w:val="20"/>
              </w:rPr>
              <w:t>-key</w:t>
            </w:r>
          </w:p>
        </w:tc>
      </w:tr>
      <w:tr w:rsidR="00A423F2" w:rsidRPr="00B01F9E" w14:paraId="0F6FCCED" w14:textId="77777777" w:rsidTr="00A423F2">
        <w:trPr>
          <w:trHeight w:val="282"/>
        </w:trPr>
        <w:tc>
          <w:tcPr>
            <w:tcW w:w="2222" w:type="dxa"/>
          </w:tcPr>
          <w:p w14:paraId="358797DC"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Input format</w:t>
            </w:r>
          </w:p>
        </w:tc>
        <w:tc>
          <w:tcPr>
            <w:tcW w:w="7046" w:type="dxa"/>
          </w:tcPr>
          <w:p w14:paraId="2DD99682"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CSV File</w:t>
            </w:r>
          </w:p>
        </w:tc>
      </w:tr>
      <w:tr w:rsidR="00A423F2" w:rsidRPr="00B01F9E" w14:paraId="34D2F24E" w14:textId="77777777" w:rsidTr="00A423F2">
        <w:trPr>
          <w:trHeight w:val="282"/>
        </w:trPr>
        <w:tc>
          <w:tcPr>
            <w:tcW w:w="2222" w:type="dxa"/>
          </w:tcPr>
          <w:p w14:paraId="4F154F74"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Input key</w:t>
            </w:r>
          </w:p>
        </w:tc>
        <w:tc>
          <w:tcPr>
            <w:tcW w:w="7046" w:type="dxa"/>
          </w:tcPr>
          <w:p w14:paraId="7F95E72F"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compendium-report-file</w:t>
            </w:r>
          </w:p>
        </w:tc>
      </w:tr>
      <w:tr w:rsidR="00A423F2" w:rsidRPr="00B01F9E" w14:paraId="5D51F983" w14:textId="77777777" w:rsidTr="00A423F2">
        <w:trPr>
          <w:trHeight w:val="282"/>
        </w:trPr>
        <w:tc>
          <w:tcPr>
            <w:tcW w:w="2222" w:type="dxa"/>
          </w:tcPr>
          <w:p w14:paraId="1BA67A79"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Output format</w:t>
            </w:r>
          </w:p>
        </w:tc>
        <w:tc>
          <w:tcPr>
            <w:tcW w:w="7046" w:type="dxa"/>
          </w:tcPr>
          <w:p w14:paraId="5CB52928" w14:textId="77777777" w:rsidR="00A423F2" w:rsidRPr="00B01F9E" w:rsidRDefault="00A423F2">
            <w:pPr>
              <w:rPr>
                <w:rFonts w:ascii="Arial" w:eastAsia="Arial" w:hAnsi="Arial" w:cs="Arial"/>
                <w:sz w:val="20"/>
                <w:szCs w:val="20"/>
              </w:rPr>
            </w:pPr>
            <w:r w:rsidRPr="00B01F9E">
              <w:rPr>
                <w:rFonts w:ascii="Arial" w:eastAsia="Arial" w:hAnsi="Arial" w:cs="Arial"/>
                <w:sz w:val="20"/>
                <w:szCs w:val="20"/>
              </w:rPr>
              <w:t>JSON</w:t>
            </w:r>
          </w:p>
          <w:p w14:paraId="2CF8BC06" w14:textId="77777777" w:rsidR="00A423F2" w:rsidRPr="00B01F9E" w:rsidRDefault="00A423F2">
            <w:pPr>
              <w:tabs>
                <w:tab w:val="left" w:pos="2160"/>
              </w:tabs>
              <w:rPr>
                <w:rFonts w:ascii="Arial" w:eastAsia="Arial" w:hAnsi="Arial" w:cs="Arial"/>
                <w:sz w:val="20"/>
                <w:szCs w:val="20"/>
              </w:rPr>
            </w:pPr>
            <w:r w:rsidRPr="00B01F9E">
              <w:rPr>
                <w:rFonts w:ascii="Arial" w:eastAsia="Arial" w:hAnsi="Arial" w:cs="Arial"/>
                <w:sz w:val="20"/>
                <w:szCs w:val="20"/>
              </w:rPr>
              <w:t>Response body: Success/Failure</w:t>
            </w:r>
          </w:p>
        </w:tc>
      </w:tr>
    </w:tbl>
    <w:p w14:paraId="112CA5E9" w14:textId="1E3A75E0" w:rsidR="00155185" w:rsidRPr="00B01F9E" w:rsidRDefault="00A423F2" w:rsidP="4E92B765">
      <w:pPr>
        <w:spacing w:before="120" w:after="120"/>
        <w:rPr>
          <w:rFonts w:ascii="Arial" w:eastAsiaTheme="majorEastAsia" w:hAnsi="Arial" w:cs="Arial"/>
          <w:b/>
          <w:bCs/>
          <w:sz w:val="20"/>
          <w:szCs w:val="20"/>
        </w:rPr>
      </w:pPr>
      <w:r w:rsidRPr="00B01F9E">
        <w:rPr>
          <w:rFonts w:ascii="Arial" w:eastAsiaTheme="majorEastAsia" w:hAnsi="Arial" w:cs="Arial"/>
          <w:b/>
          <w:bCs/>
          <w:sz w:val="20"/>
          <w:szCs w:val="20"/>
        </w:rPr>
        <w:t>Data Storage</w:t>
      </w:r>
      <w:r w:rsidR="00C212B7" w:rsidRPr="00B01F9E">
        <w:rPr>
          <w:rFonts w:ascii="Arial" w:eastAsiaTheme="majorEastAsia" w:hAnsi="Arial" w:cs="Arial"/>
          <w:b/>
          <w:bCs/>
          <w:sz w:val="20"/>
          <w:szCs w:val="20"/>
        </w:rPr>
        <w:t xml:space="preserve"> (CAP) </w:t>
      </w:r>
    </w:p>
    <w:p w14:paraId="34FFD64F" w14:textId="5BAE035D" w:rsidR="00C212B7" w:rsidRPr="00B01F9E" w:rsidRDefault="00C212B7" w:rsidP="4E92B765">
      <w:pPr>
        <w:spacing w:after="120"/>
        <w:rPr>
          <w:rFonts w:ascii="Arial" w:eastAsia="Arial" w:hAnsi="Arial" w:cs="Arial"/>
          <w:sz w:val="20"/>
          <w:szCs w:val="20"/>
        </w:rPr>
      </w:pPr>
      <w:r w:rsidRPr="00B01F9E">
        <w:rPr>
          <w:rFonts w:ascii="Arial" w:eastAsia="Arial" w:hAnsi="Arial" w:cs="Arial"/>
          <w:sz w:val="20"/>
          <w:szCs w:val="20"/>
        </w:rPr>
        <w:t>The CAP use</w:t>
      </w:r>
      <w:r w:rsidR="00223073" w:rsidRPr="00B01F9E">
        <w:rPr>
          <w:rFonts w:ascii="Arial" w:eastAsia="Arial" w:hAnsi="Arial" w:cs="Arial"/>
          <w:sz w:val="20"/>
          <w:szCs w:val="20"/>
        </w:rPr>
        <w:t>d</w:t>
      </w:r>
      <w:r w:rsidRPr="00B01F9E">
        <w:rPr>
          <w:rFonts w:ascii="Arial" w:eastAsia="Arial" w:hAnsi="Arial" w:cs="Arial"/>
          <w:sz w:val="20"/>
          <w:szCs w:val="20"/>
        </w:rPr>
        <w:t xml:space="preserve"> a cloud-based relational database as its primary data storage. The intake interface parse</w:t>
      </w:r>
      <w:r w:rsidR="00223073" w:rsidRPr="00B01F9E">
        <w:rPr>
          <w:rFonts w:ascii="Arial" w:eastAsia="Arial" w:hAnsi="Arial" w:cs="Arial"/>
          <w:sz w:val="20"/>
          <w:szCs w:val="20"/>
        </w:rPr>
        <w:t>d</w:t>
      </w:r>
      <w:r w:rsidRPr="00B01F9E">
        <w:rPr>
          <w:rFonts w:ascii="Arial" w:eastAsia="Arial" w:hAnsi="Arial" w:cs="Arial"/>
          <w:sz w:val="20"/>
          <w:szCs w:val="20"/>
        </w:rPr>
        <w:t xml:space="preserve"> and store</w:t>
      </w:r>
      <w:r w:rsidR="00223073" w:rsidRPr="00B01F9E">
        <w:rPr>
          <w:rFonts w:ascii="Arial" w:eastAsia="Arial" w:hAnsi="Arial" w:cs="Arial"/>
          <w:sz w:val="20"/>
          <w:szCs w:val="20"/>
        </w:rPr>
        <w:t>d</w:t>
      </w:r>
      <w:r w:rsidRPr="00B01F9E">
        <w:rPr>
          <w:rFonts w:ascii="Arial" w:eastAsia="Arial" w:hAnsi="Arial" w:cs="Arial"/>
          <w:sz w:val="20"/>
          <w:szCs w:val="20"/>
        </w:rPr>
        <w:t xml:space="preserve"> HL7 transmissions in a relational database schema following the CAP’s standard database design guidelines. </w:t>
      </w:r>
    </w:p>
    <w:p w14:paraId="55CD5B48" w14:textId="09ED9558" w:rsidR="00C212B7" w:rsidRPr="00B01F9E" w:rsidRDefault="00C212B7" w:rsidP="4E92B765">
      <w:pPr>
        <w:spacing w:after="120"/>
        <w:ind w:left="-14" w:right="-14"/>
        <w:rPr>
          <w:rFonts w:ascii="Arial" w:hAnsi="Arial" w:cs="Arial"/>
          <w:sz w:val="20"/>
          <w:szCs w:val="20"/>
        </w:rPr>
      </w:pPr>
      <w:r w:rsidRPr="00B01F9E">
        <w:rPr>
          <w:rFonts w:ascii="Arial" w:eastAsia="Arial" w:hAnsi="Arial" w:cs="Arial"/>
          <w:sz w:val="20"/>
          <w:szCs w:val="20"/>
        </w:rPr>
        <w:t>In addition to the relational database, the CAP store</w:t>
      </w:r>
      <w:r w:rsidR="00223073" w:rsidRPr="00B01F9E">
        <w:rPr>
          <w:rFonts w:ascii="Arial" w:eastAsia="Arial" w:hAnsi="Arial" w:cs="Arial"/>
          <w:sz w:val="20"/>
          <w:szCs w:val="20"/>
        </w:rPr>
        <w:t>d</w:t>
      </w:r>
      <w:r w:rsidRPr="00B01F9E">
        <w:rPr>
          <w:rFonts w:ascii="Arial" w:eastAsia="Arial" w:hAnsi="Arial" w:cs="Arial"/>
          <w:sz w:val="20"/>
          <w:szCs w:val="20"/>
        </w:rPr>
        <w:t xml:space="preserve"> HL7 transmissions on secondary cloud storage for auditing purposes. The data </w:t>
      </w:r>
      <w:r w:rsidR="00223073" w:rsidRPr="00B01F9E">
        <w:rPr>
          <w:rFonts w:ascii="Arial" w:eastAsia="Arial" w:hAnsi="Arial" w:cs="Arial"/>
          <w:sz w:val="20"/>
          <w:szCs w:val="20"/>
        </w:rPr>
        <w:t>w</w:t>
      </w:r>
      <w:r w:rsidR="001537F2" w:rsidRPr="00B01F9E">
        <w:rPr>
          <w:rFonts w:ascii="Arial" w:eastAsia="Arial" w:hAnsi="Arial" w:cs="Arial"/>
          <w:sz w:val="20"/>
          <w:szCs w:val="20"/>
        </w:rPr>
        <w:t>ere</w:t>
      </w:r>
      <w:r w:rsidRPr="00B01F9E">
        <w:rPr>
          <w:rFonts w:ascii="Arial" w:eastAsia="Arial" w:hAnsi="Arial" w:cs="Arial"/>
          <w:sz w:val="20"/>
          <w:szCs w:val="20"/>
        </w:rPr>
        <w:t xml:space="preserve"> portable and multiple local copies </w:t>
      </w:r>
      <w:r w:rsidR="00223073" w:rsidRPr="00B01F9E">
        <w:rPr>
          <w:rFonts w:ascii="Arial" w:eastAsia="Arial" w:hAnsi="Arial" w:cs="Arial"/>
          <w:sz w:val="20"/>
          <w:szCs w:val="20"/>
        </w:rPr>
        <w:t>were</w:t>
      </w:r>
      <w:r w:rsidRPr="00B01F9E">
        <w:rPr>
          <w:rFonts w:ascii="Arial" w:eastAsia="Arial" w:hAnsi="Arial" w:cs="Arial"/>
          <w:sz w:val="20"/>
          <w:szCs w:val="20"/>
        </w:rPr>
        <w:t xml:space="preserve"> created</w:t>
      </w:r>
      <w:r w:rsidR="00924852" w:rsidRPr="00B01F9E">
        <w:rPr>
          <w:rFonts w:ascii="Arial" w:eastAsia="Arial" w:hAnsi="Arial" w:cs="Arial"/>
          <w:sz w:val="20"/>
          <w:szCs w:val="20"/>
        </w:rPr>
        <w:t xml:space="preserve"> as backup.</w:t>
      </w:r>
    </w:p>
    <w:p w14:paraId="2A082BF2" w14:textId="5C13374C" w:rsidR="00A423F2" w:rsidRPr="00B01F9E" w:rsidRDefault="00C212B7" w:rsidP="4E92B765">
      <w:pPr>
        <w:spacing w:after="120"/>
        <w:rPr>
          <w:rFonts w:ascii="Arial" w:eastAsiaTheme="majorEastAsia" w:hAnsi="Arial" w:cs="Arial"/>
          <w:b/>
          <w:bCs/>
          <w:sz w:val="20"/>
          <w:szCs w:val="20"/>
        </w:rPr>
      </w:pPr>
      <w:r w:rsidRPr="00B01F9E">
        <w:rPr>
          <w:rFonts w:ascii="Arial" w:eastAsiaTheme="majorEastAsia" w:hAnsi="Arial" w:cs="Arial"/>
          <w:b/>
          <w:bCs/>
          <w:sz w:val="20"/>
          <w:szCs w:val="20"/>
        </w:rPr>
        <w:t xml:space="preserve">Data Warehouse (CAP) </w:t>
      </w:r>
    </w:p>
    <w:p w14:paraId="28B6647C" w14:textId="23CD092D" w:rsidR="00BD45E5" w:rsidRPr="00B01F9E" w:rsidRDefault="00BD45E5" w:rsidP="4E92B765">
      <w:pPr>
        <w:spacing w:after="120"/>
        <w:ind w:left="-14" w:right="-14"/>
        <w:rPr>
          <w:rFonts w:ascii="Arial" w:eastAsia="Arial" w:hAnsi="Arial" w:cs="Arial"/>
          <w:sz w:val="20"/>
          <w:szCs w:val="20"/>
        </w:rPr>
      </w:pPr>
      <w:r w:rsidRPr="00B01F9E">
        <w:rPr>
          <w:rFonts w:ascii="Arial" w:eastAsia="Arial" w:hAnsi="Arial" w:cs="Arial"/>
          <w:sz w:val="20"/>
          <w:szCs w:val="20"/>
        </w:rPr>
        <w:t>The CAP ha</w:t>
      </w:r>
      <w:r w:rsidR="00223073" w:rsidRPr="00B01F9E">
        <w:rPr>
          <w:rFonts w:ascii="Arial" w:eastAsia="Arial" w:hAnsi="Arial" w:cs="Arial"/>
          <w:sz w:val="20"/>
          <w:szCs w:val="20"/>
        </w:rPr>
        <w:t>d</w:t>
      </w:r>
      <w:r w:rsidRPr="00B01F9E">
        <w:rPr>
          <w:rFonts w:ascii="Arial" w:eastAsia="Arial" w:hAnsi="Arial" w:cs="Arial"/>
          <w:sz w:val="20"/>
          <w:szCs w:val="20"/>
        </w:rPr>
        <w:t xml:space="preserve"> a centralized data warehouse repository for storing, integrating, and analyzing large volumes of structured and unstructured data from various sources within the organization. This centralized repository act</w:t>
      </w:r>
      <w:r w:rsidR="00223073" w:rsidRPr="00B01F9E">
        <w:rPr>
          <w:rFonts w:ascii="Arial" w:eastAsia="Arial" w:hAnsi="Arial" w:cs="Arial"/>
          <w:sz w:val="20"/>
          <w:szCs w:val="20"/>
        </w:rPr>
        <w:t>ed</w:t>
      </w:r>
      <w:r w:rsidRPr="00B01F9E">
        <w:rPr>
          <w:rFonts w:ascii="Arial" w:eastAsia="Arial" w:hAnsi="Arial" w:cs="Arial"/>
          <w:sz w:val="20"/>
          <w:szCs w:val="20"/>
        </w:rPr>
        <w:t xml:space="preserve"> as a foundation for </w:t>
      </w:r>
      <w:r w:rsidR="00476DAE" w:rsidRPr="00B01F9E">
        <w:rPr>
          <w:rFonts w:ascii="Arial" w:eastAsia="Arial" w:hAnsi="Arial" w:cs="Arial"/>
          <w:sz w:val="20"/>
          <w:szCs w:val="20"/>
        </w:rPr>
        <w:t>QA analysis reporting</w:t>
      </w:r>
      <w:r w:rsidRPr="00B01F9E">
        <w:rPr>
          <w:rFonts w:ascii="Arial" w:eastAsia="Arial" w:hAnsi="Arial" w:cs="Arial"/>
          <w:sz w:val="20"/>
          <w:szCs w:val="20"/>
        </w:rPr>
        <w:t>. In this proof of concept, this repository serve</w:t>
      </w:r>
      <w:r w:rsidR="00223073" w:rsidRPr="00B01F9E">
        <w:rPr>
          <w:rFonts w:ascii="Arial" w:eastAsia="Arial" w:hAnsi="Arial" w:cs="Arial"/>
          <w:sz w:val="20"/>
          <w:szCs w:val="20"/>
        </w:rPr>
        <w:t>d</w:t>
      </w:r>
      <w:r w:rsidRPr="00B01F9E">
        <w:rPr>
          <w:rFonts w:ascii="Arial" w:eastAsia="Arial" w:hAnsi="Arial" w:cs="Arial"/>
          <w:sz w:val="20"/>
          <w:szCs w:val="20"/>
        </w:rPr>
        <w:t xml:space="preserve"> as a staging platform for the generation of detailed analytics. Data from the primary relational database </w:t>
      </w:r>
      <w:r w:rsidR="00223073" w:rsidRPr="00B01F9E">
        <w:rPr>
          <w:rFonts w:ascii="Arial" w:eastAsia="Arial" w:hAnsi="Arial" w:cs="Arial"/>
          <w:sz w:val="20"/>
          <w:szCs w:val="20"/>
        </w:rPr>
        <w:t>w</w:t>
      </w:r>
      <w:r w:rsidR="008939B7" w:rsidRPr="00B01F9E">
        <w:rPr>
          <w:rFonts w:ascii="Arial" w:eastAsia="Arial" w:hAnsi="Arial" w:cs="Arial"/>
          <w:sz w:val="20"/>
          <w:szCs w:val="20"/>
        </w:rPr>
        <w:t>ere</w:t>
      </w:r>
      <w:r w:rsidRPr="00B01F9E">
        <w:rPr>
          <w:rFonts w:ascii="Arial" w:eastAsia="Arial" w:hAnsi="Arial" w:cs="Arial"/>
          <w:sz w:val="20"/>
          <w:szCs w:val="20"/>
        </w:rPr>
        <w:t xml:space="preserve"> transformed and migrated into the data warehouse periodically.</w:t>
      </w:r>
    </w:p>
    <w:p w14:paraId="4D41C633" w14:textId="0885A1CC" w:rsidR="00BD45E5" w:rsidRPr="00B01F9E" w:rsidRDefault="006723A1" w:rsidP="4E92B765">
      <w:pPr>
        <w:spacing w:after="120"/>
        <w:rPr>
          <w:rFonts w:ascii="Arial" w:eastAsia="Arial" w:hAnsi="Arial" w:cs="Arial"/>
          <w:b/>
          <w:bCs/>
          <w:sz w:val="20"/>
          <w:szCs w:val="20"/>
        </w:rPr>
      </w:pPr>
      <w:r w:rsidRPr="00B01F9E">
        <w:rPr>
          <w:rFonts w:ascii="Arial" w:eastAsia="Arial" w:hAnsi="Arial" w:cs="Arial"/>
          <w:b/>
          <w:bCs/>
          <w:sz w:val="20"/>
          <w:szCs w:val="20"/>
        </w:rPr>
        <w:t>QA Analysis Report</w:t>
      </w:r>
      <w:r w:rsidR="00A76C0A" w:rsidRPr="00B01F9E">
        <w:rPr>
          <w:rFonts w:ascii="Arial" w:eastAsia="Arial" w:hAnsi="Arial" w:cs="Arial"/>
          <w:b/>
          <w:bCs/>
          <w:sz w:val="20"/>
          <w:szCs w:val="20"/>
        </w:rPr>
        <w:t>ing</w:t>
      </w:r>
      <w:r w:rsidR="00BD45E5" w:rsidRPr="00B01F9E">
        <w:rPr>
          <w:rFonts w:ascii="Arial" w:eastAsia="Arial" w:hAnsi="Arial" w:cs="Arial"/>
          <w:b/>
          <w:bCs/>
          <w:sz w:val="20"/>
          <w:szCs w:val="20"/>
        </w:rPr>
        <w:t xml:space="preserve"> (CAP) </w:t>
      </w:r>
    </w:p>
    <w:p w14:paraId="00610D06" w14:textId="7FD47D3F" w:rsidR="00A423F2" w:rsidRPr="00B01F9E" w:rsidRDefault="00CE0DF3" w:rsidP="4E92B765">
      <w:pPr>
        <w:spacing w:after="120"/>
        <w:rPr>
          <w:rFonts w:ascii="Arial" w:eastAsia="Arial" w:hAnsi="Arial" w:cs="Arial"/>
          <w:sz w:val="20"/>
          <w:szCs w:val="20"/>
        </w:rPr>
      </w:pPr>
      <w:r w:rsidRPr="00B01F9E">
        <w:rPr>
          <w:rFonts w:ascii="Arial" w:eastAsia="Arial" w:hAnsi="Arial" w:cs="Arial"/>
          <w:sz w:val="20"/>
          <w:szCs w:val="20"/>
        </w:rPr>
        <w:t xml:space="preserve">The accumulated data in the data warehouse repository </w:t>
      </w:r>
      <w:r w:rsidR="00223073" w:rsidRPr="00B01F9E">
        <w:rPr>
          <w:rFonts w:ascii="Arial" w:eastAsia="Arial" w:hAnsi="Arial" w:cs="Arial"/>
          <w:sz w:val="20"/>
          <w:szCs w:val="20"/>
        </w:rPr>
        <w:t>w</w:t>
      </w:r>
      <w:r w:rsidR="000A6A2B" w:rsidRPr="00B01F9E">
        <w:rPr>
          <w:rFonts w:ascii="Arial" w:eastAsia="Arial" w:hAnsi="Arial" w:cs="Arial"/>
          <w:sz w:val="20"/>
          <w:szCs w:val="20"/>
        </w:rPr>
        <w:t>ere</w:t>
      </w:r>
      <w:r w:rsidRPr="00B01F9E">
        <w:rPr>
          <w:rFonts w:ascii="Arial" w:eastAsia="Arial" w:hAnsi="Arial" w:cs="Arial"/>
          <w:sz w:val="20"/>
          <w:szCs w:val="20"/>
        </w:rPr>
        <w:t xml:space="preserve"> used for quality analytics. The CAP utilize</w:t>
      </w:r>
      <w:r w:rsidR="00223073" w:rsidRPr="00B01F9E">
        <w:rPr>
          <w:rFonts w:ascii="Arial" w:eastAsia="Arial" w:hAnsi="Arial" w:cs="Arial"/>
          <w:sz w:val="20"/>
          <w:szCs w:val="20"/>
        </w:rPr>
        <w:t>d</w:t>
      </w:r>
      <w:r w:rsidRPr="00B01F9E">
        <w:rPr>
          <w:rFonts w:ascii="Arial" w:eastAsia="Arial" w:hAnsi="Arial" w:cs="Arial"/>
          <w:sz w:val="20"/>
          <w:szCs w:val="20"/>
        </w:rPr>
        <w:t xml:space="preserve"> the enterprise data visualization tool, Tableau, for analyzing and presenting data in an intuitive manner. These analytical reports demonstrate</w:t>
      </w:r>
      <w:r w:rsidR="00223073" w:rsidRPr="00B01F9E">
        <w:rPr>
          <w:rFonts w:ascii="Arial" w:eastAsia="Arial" w:hAnsi="Arial" w:cs="Arial"/>
          <w:sz w:val="20"/>
          <w:szCs w:val="20"/>
        </w:rPr>
        <w:t>d</w:t>
      </w:r>
      <w:r w:rsidRPr="00B01F9E">
        <w:rPr>
          <w:rFonts w:ascii="Arial" w:eastAsia="Arial" w:hAnsi="Arial" w:cs="Arial"/>
          <w:sz w:val="20"/>
          <w:szCs w:val="20"/>
        </w:rPr>
        <w:t xml:space="preserve"> a laboratory's ability to encode the correct LIDR elements in their test compendium. Analytics include</w:t>
      </w:r>
      <w:r w:rsidR="00223073" w:rsidRPr="00B01F9E">
        <w:rPr>
          <w:rFonts w:ascii="Arial" w:eastAsia="Arial" w:hAnsi="Arial" w:cs="Arial"/>
          <w:sz w:val="20"/>
          <w:szCs w:val="20"/>
        </w:rPr>
        <w:t>d</w:t>
      </w:r>
      <w:r w:rsidRPr="00B01F9E">
        <w:rPr>
          <w:rFonts w:ascii="Arial" w:eastAsia="Arial" w:hAnsi="Arial" w:cs="Arial"/>
          <w:sz w:val="20"/>
          <w:szCs w:val="20"/>
        </w:rPr>
        <w:t xml:space="preserve"> but </w:t>
      </w:r>
      <w:r w:rsidR="00223073" w:rsidRPr="00B01F9E">
        <w:rPr>
          <w:rFonts w:ascii="Arial" w:eastAsia="Arial" w:hAnsi="Arial" w:cs="Arial"/>
          <w:sz w:val="20"/>
          <w:szCs w:val="20"/>
        </w:rPr>
        <w:t>were</w:t>
      </w:r>
      <w:r w:rsidRPr="00B01F9E">
        <w:rPr>
          <w:rFonts w:ascii="Arial" w:eastAsia="Arial" w:hAnsi="Arial" w:cs="Arial"/>
          <w:sz w:val="20"/>
          <w:szCs w:val="20"/>
        </w:rPr>
        <w:t xml:space="preserve"> not limited to individual laboratory error statistics, compiled statistics for all laboratory peer groups, and vendor instrument peer group reports.</w:t>
      </w:r>
      <w:r w:rsidR="00223073" w:rsidRPr="00B01F9E">
        <w:rPr>
          <w:rFonts w:ascii="Arial" w:eastAsia="Arial" w:hAnsi="Arial" w:cs="Arial"/>
          <w:sz w:val="20"/>
          <w:szCs w:val="20"/>
        </w:rPr>
        <w:t xml:space="preserve"> For more information, refer to Section </w:t>
      </w:r>
      <w:r w:rsidR="005F347B" w:rsidRPr="00B01F9E">
        <w:rPr>
          <w:rFonts w:ascii="Arial" w:eastAsia="Arial" w:hAnsi="Arial" w:cs="Arial"/>
          <w:sz w:val="20"/>
          <w:szCs w:val="20"/>
        </w:rPr>
        <w:t>3</w:t>
      </w:r>
      <w:r w:rsidR="00223073" w:rsidRPr="00B01F9E">
        <w:rPr>
          <w:rFonts w:ascii="Arial" w:eastAsia="Arial" w:hAnsi="Arial" w:cs="Arial"/>
          <w:sz w:val="20"/>
          <w:szCs w:val="20"/>
        </w:rPr>
        <w:t xml:space="preserve">.6 </w:t>
      </w:r>
      <w:r w:rsidR="00A24016" w:rsidRPr="00B01F9E">
        <w:rPr>
          <w:rFonts w:ascii="Arial" w:eastAsia="Arial" w:hAnsi="Arial" w:cs="Arial"/>
          <w:sz w:val="20"/>
          <w:szCs w:val="20"/>
        </w:rPr>
        <w:t>“</w:t>
      </w:r>
      <w:r w:rsidR="005A0655" w:rsidRPr="00B01F9E">
        <w:rPr>
          <w:rFonts w:ascii="Arial" w:eastAsia="Arial" w:hAnsi="Arial" w:cs="Arial"/>
          <w:sz w:val="20"/>
          <w:szCs w:val="20"/>
        </w:rPr>
        <w:t xml:space="preserve">QA </w:t>
      </w:r>
      <w:r w:rsidR="00F50E43" w:rsidRPr="00B01F9E">
        <w:rPr>
          <w:rFonts w:ascii="Arial" w:eastAsia="Arial" w:hAnsi="Arial" w:cs="Arial"/>
          <w:sz w:val="20"/>
          <w:szCs w:val="20"/>
        </w:rPr>
        <w:t>A</w:t>
      </w:r>
      <w:r w:rsidR="005A0655" w:rsidRPr="00B01F9E">
        <w:rPr>
          <w:rFonts w:ascii="Arial" w:eastAsia="Arial" w:hAnsi="Arial" w:cs="Arial"/>
          <w:sz w:val="20"/>
          <w:szCs w:val="20"/>
        </w:rPr>
        <w:t xml:space="preserve">nalysis </w:t>
      </w:r>
      <w:r w:rsidR="00F50E43" w:rsidRPr="00B01F9E">
        <w:rPr>
          <w:rFonts w:ascii="Arial" w:eastAsia="Arial" w:hAnsi="Arial" w:cs="Arial"/>
          <w:sz w:val="20"/>
          <w:szCs w:val="20"/>
        </w:rPr>
        <w:t>R</w:t>
      </w:r>
      <w:r w:rsidR="005A0655" w:rsidRPr="00B01F9E">
        <w:rPr>
          <w:rFonts w:ascii="Arial" w:eastAsia="Arial" w:hAnsi="Arial" w:cs="Arial"/>
          <w:sz w:val="20"/>
          <w:szCs w:val="20"/>
        </w:rPr>
        <w:t>eport</w:t>
      </w:r>
      <w:r w:rsidR="00A76C0A" w:rsidRPr="00B01F9E">
        <w:rPr>
          <w:rFonts w:ascii="Arial" w:eastAsia="Arial" w:hAnsi="Arial" w:cs="Arial"/>
          <w:sz w:val="20"/>
          <w:szCs w:val="20"/>
        </w:rPr>
        <w:t>ing</w:t>
      </w:r>
      <w:r w:rsidR="00A24016" w:rsidRPr="00B01F9E">
        <w:rPr>
          <w:rFonts w:ascii="Arial" w:eastAsia="Arial" w:hAnsi="Arial" w:cs="Arial"/>
          <w:sz w:val="20"/>
          <w:szCs w:val="20"/>
        </w:rPr>
        <w:t>”</w:t>
      </w:r>
      <w:r w:rsidR="00223073" w:rsidRPr="00B01F9E">
        <w:rPr>
          <w:rFonts w:ascii="Arial" w:eastAsia="Arial" w:hAnsi="Arial" w:cs="Arial"/>
          <w:sz w:val="20"/>
          <w:szCs w:val="20"/>
        </w:rPr>
        <w:t>.</w:t>
      </w:r>
    </w:p>
    <w:p w14:paraId="40C91700" w14:textId="1EDC512F" w:rsidR="00476DAE" w:rsidRPr="00B01F9E" w:rsidRDefault="00476DAE" w:rsidP="00476DAE">
      <w:pPr>
        <w:ind w:left="-20" w:right="-20"/>
        <w:rPr>
          <w:rFonts w:ascii="Arial" w:eastAsia="Arial" w:hAnsi="Arial" w:cs="Arial"/>
          <w:sz w:val="20"/>
          <w:szCs w:val="20"/>
        </w:rPr>
      </w:pPr>
      <w:r w:rsidRPr="00B01F9E">
        <w:rPr>
          <w:rFonts w:ascii="Arial" w:eastAsia="Arial" w:hAnsi="Arial" w:cs="Arial"/>
          <w:sz w:val="20"/>
          <w:szCs w:val="20"/>
        </w:rPr>
        <w:t xml:space="preserve">For a more comprehensive technical understanding of the CAP intake interface, please refer to </w:t>
      </w:r>
      <w:hyperlink w:anchor="_8.3.1.1_Environment_Development" w:history="1">
        <w:r w:rsidRPr="00B01F9E">
          <w:rPr>
            <w:rStyle w:val="Hyperlink"/>
            <w:rFonts w:ascii="Arial" w:eastAsia="Arial" w:hAnsi="Arial" w:cs="Arial"/>
            <w:sz w:val="20"/>
            <w:szCs w:val="20"/>
          </w:rPr>
          <w:t>Section 7.3.1.1</w:t>
        </w:r>
      </w:hyperlink>
      <w:r w:rsidRPr="00B01F9E">
        <w:rPr>
          <w:rFonts w:ascii="Arial" w:eastAsia="Arial" w:hAnsi="Arial" w:cs="Arial"/>
          <w:sz w:val="20"/>
          <w:szCs w:val="20"/>
        </w:rPr>
        <w:t xml:space="preserve">. </w:t>
      </w:r>
    </w:p>
    <w:p w14:paraId="3841ED43" w14:textId="3E62878A" w:rsidR="00CD68A9" w:rsidRPr="00B01F9E" w:rsidRDefault="00B84570" w:rsidP="4E92B765">
      <w:pPr>
        <w:pStyle w:val="Heading2"/>
        <w:spacing w:before="0" w:after="120"/>
        <w:rPr>
          <w:rFonts w:ascii="Arial" w:hAnsi="Arial" w:cs="Arial"/>
          <w:b/>
          <w:bCs/>
          <w:color w:val="009BBF"/>
          <w:sz w:val="20"/>
          <w:szCs w:val="20"/>
        </w:rPr>
      </w:pPr>
      <w:bookmarkStart w:id="13" w:name="_3.3_Implement_LIDR"/>
      <w:bookmarkStart w:id="14" w:name="_Toc177136985"/>
      <w:bookmarkEnd w:id="13"/>
      <w:r w:rsidRPr="00B01F9E">
        <w:rPr>
          <w:rFonts w:ascii="Arial" w:hAnsi="Arial" w:cs="Arial"/>
          <w:b/>
          <w:bCs/>
          <w:color w:val="009BBF"/>
          <w:sz w:val="20"/>
          <w:szCs w:val="20"/>
        </w:rPr>
        <w:lastRenderedPageBreak/>
        <w:t>3</w:t>
      </w:r>
      <w:r w:rsidR="00546F1D" w:rsidRPr="00B01F9E">
        <w:rPr>
          <w:rFonts w:ascii="Arial" w:hAnsi="Arial" w:cs="Arial"/>
          <w:b/>
          <w:bCs/>
          <w:color w:val="009BBF"/>
          <w:sz w:val="20"/>
          <w:szCs w:val="20"/>
        </w:rPr>
        <w:t xml:space="preserve">.3 Implement LIDR </w:t>
      </w:r>
      <w:r w:rsidR="000C1B65" w:rsidRPr="00B01F9E">
        <w:rPr>
          <w:rFonts w:ascii="Arial" w:hAnsi="Arial" w:cs="Arial"/>
          <w:b/>
          <w:bCs/>
          <w:color w:val="009BBF"/>
          <w:sz w:val="20"/>
          <w:szCs w:val="20"/>
        </w:rPr>
        <w:t>S</w:t>
      </w:r>
      <w:r w:rsidR="00546F1D" w:rsidRPr="00B01F9E">
        <w:rPr>
          <w:rFonts w:ascii="Arial" w:hAnsi="Arial" w:cs="Arial"/>
          <w:b/>
          <w:bCs/>
          <w:color w:val="009BBF"/>
          <w:sz w:val="20"/>
          <w:szCs w:val="20"/>
        </w:rPr>
        <w:t>ubset in Laboratory Information System</w:t>
      </w:r>
      <w:bookmarkEnd w:id="14"/>
      <w:r w:rsidR="00546F1D" w:rsidRPr="00B01F9E">
        <w:rPr>
          <w:rFonts w:ascii="Arial" w:hAnsi="Arial" w:cs="Arial"/>
          <w:b/>
          <w:bCs/>
          <w:color w:val="009BBF"/>
          <w:sz w:val="20"/>
          <w:szCs w:val="20"/>
        </w:rPr>
        <w:t xml:space="preserve"> </w:t>
      </w:r>
    </w:p>
    <w:p w14:paraId="00CABA88" w14:textId="6385C029" w:rsidR="006A7F2A" w:rsidRPr="00B01F9E" w:rsidRDefault="006A7F2A" w:rsidP="003F4BDC">
      <w:pPr>
        <w:spacing w:after="120"/>
        <w:rPr>
          <w:rStyle w:val="eop"/>
          <w:rFonts w:ascii="Arial" w:hAnsi="Arial" w:cs="Arial"/>
          <w:color w:val="000000"/>
          <w:sz w:val="20"/>
          <w:szCs w:val="20"/>
          <w:shd w:val="clear" w:color="auto" w:fill="FFFFFF"/>
        </w:rPr>
      </w:pPr>
      <w:r w:rsidRPr="00B01F9E">
        <w:rPr>
          <w:rStyle w:val="normaltextrun"/>
          <w:rFonts w:ascii="Arial" w:hAnsi="Arial" w:cs="Arial"/>
          <w:color w:val="000000"/>
          <w:sz w:val="20"/>
          <w:szCs w:val="20"/>
          <w:shd w:val="clear" w:color="auto" w:fill="FFFFFF"/>
        </w:rPr>
        <w:t>The objective of the POC</w:t>
      </w:r>
      <w:r w:rsidR="0097257D" w:rsidRPr="00B01F9E">
        <w:rPr>
          <w:rStyle w:val="normaltextrun"/>
          <w:rFonts w:ascii="Arial" w:hAnsi="Arial" w:cs="Arial"/>
          <w:color w:val="000000"/>
          <w:sz w:val="20"/>
          <w:szCs w:val="20"/>
          <w:shd w:val="clear" w:color="auto" w:fill="FFFFFF"/>
        </w:rPr>
        <w:t xml:space="preserve"> </w:t>
      </w:r>
      <w:r w:rsidR="004F40B5" w:rsidRPr="00B01F9E">
        <w:rPr>
          <w:rStyle w:val="normaltextrun"/>
          <w:rFonts w:ascii="Arial" w:hAnsi="Arial" w:cs="Arial"/>
          <w:color w:val="000000"/>
          <w:sz w:val="20"/>
          <w:szCs w:val="20"/>
          <w:shd w:val="clear" w:color="auto" w:fill="FFFFFF"/>
        </w:rPr>
        <w:t>was</w:t>
      </w:r>
      <w:r w:rsidRPr="00B01F9E">
        <w:rPr>
          <w:rStyle w:val="normaltextrun"/>
          <w:rFonts w:ascii="Arial" w:hAnsi="Arial" w:cs="Arial"/>
          <w:color w:val="000000"/>
          <w:sz w:val="20"/>
          <w:szCs w:val="20"/>
          <w:shd w:val="clear" w:color="auto" w:fill="FFFFFF"/>
        </w:rPr>
        <w:t xml:space="preserve"> to create an environment in which the test results encoded with the LIDR</w:t>
      </w:r>
      <w:r w:rsidRPr="00B01F9E" w:rsidDel="00486B46">
        <w:rPr>
          <w:rStyle w:val="normaltextrun"/>
          <w:rFonts w:ascii="Arial" w:hAnsi="Arial" w:cs="Arial"/>
          <w:color w:val="000000"/>
          <w:sz w:val="20"/>
          <w:szCs w:val="20"/>
          <w:shd w:val="clear" w:color="auto" w:fill="FFFFFF"/>
        </w:rPr>
        <w:t xml:space="preserve"> </w:t>
      </w:r>
      <w:r w:rsidRPr="00B01F9E">
        <w:rPr>
          <w:rStyle w:val="normaltextrun"/>
          <w:rFonts w:ascii="Arial" w:hAnsi="Arial" w:cs="Arial"/>
          <w:color w:val="000000"/>
          <w:sz w:val="20"/>
          <w:szCs w:val="20"/>
          <w:shd w:val="clear" w:color="auto" w:fill="FFFFFF"/>
        </w:rPr>
        <w:t xml:space="preserve">elements </w:t>
      </w:r>
      <w:r w:rsidR="00223073" w:rsidRPr="00B01F9E">
        <w:rPr>
          <w:rStyle w:val="normaltextrun"/>
          <w:rFonts w:ascii="Arial" w:hAnsi="Arial" w:cs="Arial"/>
          <w:color w:val="000000"/>
          <w:sz w:val="20"/>
          <w:szCs w:val="20"/>
          <w:shd w:val="clear" w:color="auto" w:fill="FFFFFF"/>
        </w:rPr>
        <w:t>were</w:t>
      </w:r>
      <w:r w:rsidRPr="00B01F9E">
        <w:rPr>
          <w:rStyle w:val="normaltextrun"/>
          <w:rFonts w:ascii="Arial" w:hAnsi="Arial" w:cs="Arial"/>
          <w:color w:val="000000"/>
          <w:sz w:val="20"/>
          <w:szCs w:val="20"/>
          <w:shd w:val="clear" w:color="auto" w:fill="FFFFFF"/>
        </w:rPr>
        <w:t xml:space="preserve"> transmitted between the selected POC laboratory and the CAP via an HL7 interface. This</w:t>
      </w:r>
      <w:r w:rsidRPr="00B01F9E" w:rsidDel="00F12216">
        <w:rPr>
          <w:rStyle w:val="normaltextrun"/>
          <w:rFonts w:ascii="Arial" w:hAnsi="Arial" w:cs="Arial"/>
          <w:color w:val="000000"/>
          <w:sz w:val="20"/>
          <w:szCs w:val="20"/>
          <w:shd w:val="clear" w:color="auto" w:fill="FFFFFF"/>
        </w:rPr>
        <w:t xml:space="preserve"> </w:t>
      </w:r>
      <w:r w:rsidR="00F12216" w:rsidRPr="00B01F9E">
        <w:rPr>
          <w:rStyle w:val="normaltextrun"/>
          <w:rFonts w:ascii="Arial" w:hAnsi="Arial" w:cs="Arial"/>
          <w:color w:val="000000"/>
          <w:sz w:val="20"/>
          <w:szCs w:val="20"/>
          <w:shd w:val="clear" w:color="auto" w:fill="FFFFFF"/>
        </w:rPr>
        <w:t xml:space="preserve">section </w:t>
      </w:r>
      <w:r w:rsidRPr="00B01F9E">
        <w:rPr>
          <w:rStyle w:val="normaltextrun"/>
          <w:rFonts w:ascii="Arial" w:hAnsi="Arial" w:cs="Arial"/>
          <w:color w:val="000000"/>
          <w:sz w:val="20"/>
          <w:szCs w:val="20"/>
          <w:shd w:val="clear" w:color="auto" w:fill="FFFFFF"/>
        </w:rPr>
        <w:t xml:space="preserve">defines and describes the configurations required to encode the LIDR elements into the test build of the LIS </w:t>
      </w:r>
      <w:r w:rsidR="001A2207" w:rsidRPr="00B01F9E">
        <w:rPr>
          <w:rStyle w:val="normaltextrun"/>
          <w:rFonts w:ascii="Arial" w:hAnsi="Arial" w:cs="Arial"/>
          <w:color w:val="000000"/>
          <w:sz w:val="20"/>
          <w:szCs w:val="20"/>
          <w:shd w:val="clear" w:color="auto" w:fill="FFFFFF"/>
        </w:rPr>
        <w:t>(</w:t>
      </w:r>
      <w:r w:rsidRPr="00B01F9E">
        <w:rPr>
          <w:rStyle w:val="normaltextrun"/>
          <w:rFonts w:ascii="Arial" w:hAnsi="Arial" w:cs="Arial"/>
          <w:color w:val="000000"/>
          <w:sz w:val="20"/>
          <w:szCs w:val="20"/>
          <w:shd w:val="clear" w:color="auto" w:fill="FFFFFF"/>
        </w:rPr>
        <w:t>Epic Beaker</w:t>
      </w:r>
      <w:r w:rsidR="001A2207" w:rsidRPr="00B01F9E">
        <w:rPr>
          <w:rStyle w:val="normaltextrun"/>
          <w:rFonts w:ascii="Arial" w:hAnsi="Arial" w:cs="Arial"/>
          <w:color w:val="000000"/>
          <w:sz w:val="20"/>
          <w:szCs w:val="20"/>
          <w:shd w:val="clear" w:color="auto" w:fill="FFFFFF"/>
        </w:rPr>
        <w:t>)</w:t>
      </w:r>
      <w:r w:rsidRPr="00B01F9E">
        <w:rPr>
          <w:rStyle w:val="normaltextrun"/>
          <w:rFonts w:ascii="Arial" w:hAnsi="Arial" w:cs="Arial"/>
          <w:color w:val="000000"/>
          <w:sz w:val="20"/>
          <w:szCs w:val="20"/>
          <w:shd w:val="clear" w:color="auto" w:fill="FFFFFF"/>
        </w:rPr>
        <w:t xml:space="preserve"> used at Duke</w:t>
      </w:r>
      <w:r w:rsidR="00A91A49" w:rsidRPr="00B01F9E">
        <w:rPr>
          <w:rStyle w:val="normaltextrun"/>
          <w:rFonts w:ascii="Arial" w:hAnsi="Arial" w:cs="Arial"/>
          <w:color w:val="000000"/>
          <w:sz w:val="20"/>
          <w:szCs w:val="20"/>
          <w:shd w:val="clear" w:color="auto" w:fill="FFFFFF"/>
        </w:rPr>
        <w:t>.</w:t>
      </w:r>
      <w:r w:rsidRPr="00B01F9E">
        <w:rPr>
          <w:rStyle w:val="normaltextrun"/>
          <w:rFonts w:ascii="Arial" w:hAnsi="Arial" w:cs="Arial"/>
          <w:color w:val="000000"/>
          <w:sz w:val="20"/>
          <w:szCs w:val="20"/>
          <w:shd w:val="clear" w:color="auto" w:fill="FFFFFF"/>
        </w:rPr>
        <w:t xml:space="preserve"> The selected subset of tests utilized in the POC </w:t>
      </w:r>
      <w:r w:rsidR="004C54A8" w:rsidRPr="00B01F9E">
        <w:rPr>
          <w:rStyle w:val="normaltextrun"/>
          <w:rFonts w:ascii="Arial" w:hAnsi="Arial" w:cs="Arial"/>
          <w:color w:val="000000"/>
          <w:sz w:val="20"/>
          <w:szCs w:val="20"/>
          <w:shd w:val="clear" w:color="auto" w:fill="FFFFFF"/>
        </w:rPr>
        <w:t>were</w:t>
      </w:r>
      <w:r w:rsidRPr="00B01F9E">
        <w:rPr>
          <w:rStyle w:val="normaltextrun"/>
          <w:rFonts w:ascii="Arial" w:hAnsi="Arial" w:cs="Arial"/>
          <w:color w:val="000000"/>
          <w:sz w:val="20"/>
          <w:szCs w:val="20"/>
          <w:shd w:val="clear" w:color="auto" w:fill="FFFFFF"/>
        </w:rPr>
        <w:t xml:space="preserve"> listed in </w:t>
      </w:r>
      <w:hyperlink w:anchor="Table_2" w:history="1">
        <w:r w:rsidR="00864F0F" w:rsidRPr="00B01F9E">
          <w:rPr>
            <w:rStyle w:val="Hyperlink"/>
            <w:rFonts w:ascii="Arial" w:hAnsi="Arial" w:cs="Arial"/>
            <w:sz w:val="20"/>
            <w:szCs w:val="20"/>
            <w:shd w:val="clear" w:color="auto" w:fill="FFFFFF"/>
          </w:rPr>
          <w:t>Table 2</w:t>
        </w:r>
      </w:hyperlink>
      <w:r w:rsidR="00864F0F" w:rsidRPr="00B01F9E">
        <w:rPr>
          <w:rStyle w:val="normaltextrun"/>
          <w:rFonts w:ascii="Arial" w:hAnsi="Arial" w:cs="Arial"/>
          <w:color w:val="000000"/>
          <w:sz w:val="20"/>
          <w:szCs w:val="20"/>
          <w:shd w:val="clear" w:color="auto" w:fill="FFFFFF"/>
        </w:rPr>
        <w:t xml:space="preserve">. </w:t>
      </w:r>
      <w:r w:rsidRPr="00B01F9E">
        <w:rPr>
          <w:rStyle w:val="normaltextrun"/>
          <w:rFonts w:ascii="Arial" w:hAnsi="Arial" w:cs="Arial"/>
          <w:color w:val="000000"/>
          <w:sz w:val="20"/>
          <w:szCs w:val="20"/>
          <w:shd w:val="clear" w:color="auto" w:fill="FFFFFF"/>
        </w:rPr>
        <w:t>This</w:t>
      </w:r>
      <w:r w:rsidRPr="00B01F9E" w:rsidDel="00F12216">
        <w:rPr>
          <w:rStyle w:val="normaltextrun"/>
          <w:rFonts w:ascii="Arial" w:hAnsi="Arial" w:cs="Arial"/>
          <w:color w:val="000000"/>
          <w:sz w:val="20"/>
          <w:szCs w:val="20"/>
          <w:shd w:val="clear" w:color="auto" w:fill="FFFFFF"/>
        </w:rPr>
        <w:t xml:space="preserve"> </w:t>
      </w:r>
      <w:r w:rsidR="00F12216" w:rsidRPr="00B01F9E">
        <w:rPr>
          <w:rStyle w:val="normaltextrun"/>
          <w:rFonts w:ascii="Arial" w:hAnsi="Arial" w:cs="Arial"/>
          <w:color w:val="000000"/>
          <w:sz w:val="20"/>
          <w:szCs w:val="20"/>
          <w:shd w:val="clear" w:color="auto" w:fill="FFFFFF"/>
        </w:rPr>
        <w:t xml:space="preserve">section </w:t>
      </w:r>
      <w:r w:rsidRPr="00B01F9E">
        <w:rPr>
          <w:rStyle w:val="normaltextrun"/>
          <w:rFonts w:ascii="Arial" w:hAnsi="Arial" w:cs="Arial"/>
          <w:color w:val="000000"/>
          <w:sz w:val="20"/>
          <w:szCs w:val="20"/>
          <w:shd w:val="clear" w:color="auto" w:fill="FFFFFF"/>
        </w:rPr>
        <w:t>includes a simulated LIDR file for the subset of tests</w:t>
      </w:r>
      <w:r w:rsidR="00D478FA" w:rsidRPr="00B01F9E">
        <w:rPr>
          <w:rStyle w:val="normaltextrun"/>
          <w:rFonts w:ascii="Arial" w:hAnsi="Arial" w:cs="Arial"/>
          <w:color w:val="000000"/>
          <w:sz w:val="20"/>
          <w:szCs w:val="20"/>
          <w:shd w:val="clear" w:color="auto" w:fill="FFFFFF"/>
        </w:rPr>
        <w:t xml:space="preserve"> and</w:t>
      </w:r>
      <w:r w:rsidRPr="00B01F9E">
        <w:rPr>
          <w:rStyle w:val="normaltextrun"/>
          <w:rFonts w:ascii="Arial" w:hAnsi="Arial" w:cs="Arial"/>
          <w:color w:val="000000"/>
          <w:sz w:val="20"/>
          <w:szCs w:val="20"/>
          <w:shd w:val="clear" w:color="auto" w:fill="FFFFFF"/>
        </w:rPr>
        <w:t xml:space="preserve"> proposed instructions for encoding the test dictionaries required for the data transmission of the LIDR elements</w:t>
      </w:r>
      <w:r w:rsidR="00D478FA" w:rsidRPr="00B01F9E">
        <w:rPr>
          <w:rStyle w:val="normaltextrun"/>
          <w:rFonts w:ascii="Arial" w:hAnsi="Arial" w:cs="Arial"/>
          <w:color w:val="000000"/>
          <w:sz w:val="20"/>
          <w:szCs w:val="20"/>
          <w:shd w:val="clear" w:color="auto" w:fill="FFFFFF"/>
        </w:rPr>
        <w:t xml:space="preserve">. </w:t>
      </w:r>
      <w:r w:rsidRPr="00B01F9E">
        <w:rPr>
          <w:rStyle w:val="normaltextrun"/>
          <w:rFonts w:ascii="Arial" w:hAnsi="Arial" w:cs="Arial"/>
          <w:color w:val="000000"/>
          <w:sz w:val="20"/>
          <w:szCs w:val="20"/>
          <w:shd w:val="clear" w:color="auto" w:fill="FFFFFF"/>
        </w:rPr>
        <w:t xml:space="preserve">In addition, the generation of the </w:t>
      </w:r>
      <w:r w:rsidR="00072A00" w:rsidRPr="00B01F9E">
        <w:rPr>
          <w:rStyle w:val="normaltextrun"/>
          <w:rFonts w:ascii="Arial" w:hAnsi="Arial" w:cs="Arial"/>
          <w:color w:val="000000"/>
          <w:sz w:val="20"/>
          <w:szCs w:val="20"/>
          <w:shd w:val="clear" w:color="auto" w:fill="FFFFFF"/>
        </w:rPr>
        <w:t xml:space="preserve">LIDR </w:t>
      </w:r>
      <w:r w:rsidRPr="00B01F9E">
        <w:rPr>
          <w:rStyle w:val="normaltextrun"/>
          <w:rFonts w:ascii="Arial" w:hAnsi="Arial" w:cs="Arial"/>
          <w:color w:val="000000"/>
          <w:sz w:val="20"/>
          <w:szCs w:val="20"/>
          <w:shd w:val="clear" w:color="auto" w:fill="FFFFFF"/>
        </w:rPr>
        <w:t>Test Compendium Report and its requirements are described. </w:t>
      </w:r>
      <w:r w:rsidRPr="00B01F9E">
        <w:rPr>
          <w:rStyle w:val="eop"/>
          <w:rFonts w:ascii="Arial" w:hAnsi="Arial" w:cs="Arial"/>
          <w:color w:val="000000"/>
          <w:sz w:val="20"/>
          <w:szCs w:val="20"/>
          <w:shd w:val="clear" w:color="auto" w:fill="FFFFFF"/>
        </w:rPr>
        <w:t> </w:t>
      </w:r>
    </w:p>
    <w:p w14:paraId="4C6213B5" w14:textId="517E75F2" w:rsidR="006A7F2A" w:rsidRPr="00B01F9E" w:rsidRDefault="003B07C2" w:rsidP="4E92B765">
      <w:pPr>
        <w:spacing w:after="120"/>
        <w:rPr>
          <w:rStyle w:val="eop"/>
          <w:rFonts w:ascii="Arial" w:hAnsi="Arial" w:cs="Arial"/>
          <w:b/>
          <w:bCs/>
          <w:color w:val="000000"/>
          <w:sz w:val="20"/>
          <w:szCs w:val="20"/>
          <w:shd w:val="clear" w:color="auto" w:fill="FFFFFF"/>
        </w:rPr>
      </w:pPr>
      <w:r w:rsidRPr="00B01F9E">
        <w:rPr>
          <w:rStyle w:val="eop"/>
          <w:rFonts w:ascii="Arial" w:hAnsi="Arial" w:cs="Arial"/>
          <w:b/>
          <w:bCs/>
          <w:color w:val="000000"/>
          <w:sz w:val="20"/>
          <w:szCs w:val="20"/>
          <w:shd w:val="clear" w:color="auto" w:fill="FFFFFF"/>
        </w:rPr>
        <w:t xml:space="preserve">Simulated </w:t>
      </w:r>
      <w:r w:rsidR="006C1E14" w:rsidRPr="00B01F9E">
        <w:rPr>
          <w:rStyle w:val="eop"/>
          <w:rFonts w:ascii="Arial" w:hAnsi="Arial" w:cs="Arial"/>
          <w:b/>
          <w:bCs/>
          <w:color w:val="000000"/>
          <w:sz w:val="20"/>
          <w:szCs w:val="20"/>
          <w:shd w:val="clear" w:color="auto" w:fill="FFFFFF"/>
        </w:rPr>
        <w:t xml:space="preserve">LIDR Development </w:t>
      </w:r>
    </w:p>
    <w:p w14:paraId="1B08BA71" w14:textId="48301D11" w:rsidR="005B4CD7" w:rsidRPr="00B01F9E" w:rsidRDefault="005B4CD7" w:rsidP="00191BDF">
      <w:pPr>
        <w:rPr>
          <w:rFonts w:ascii="Arial" w:hAnsi="Arial" w:cs="Arial"/>
          <w:sz w:val="20"/>
          <w:szCs w:val="20"/>
        </w:rPr>
      </w:pPr>
      <w:r w:rsidRPr="00B01F9E">
        <w:rPr>
          <w:rStyle w:val="normaltextrun"/>
          <w:rFonts w:ascii="Arial" w:hAnsi="Arial" w:cs="Arial"/>
          <w:color w:val="000000"/>
          <w:sz w:val="20"/>
          <w:szCs w:val="20"/>
        </w:rPr>
        <w:t xml:space="preserve">The </w:t>
      </w:r>
      <w:r w:rsidR="003B07C2" w:rsidRPr="00B01F9E">
        <w:rPr>
          <w:rStyle w:val="normaltextrun"/>
          <w:rFonts w:ascii="Arial" w:hAnsi="Arial" w:cs="Arial"/>
          <w:color w:val="000000"/>
          <w:sz w:val="20"/>
          <w:szCs w:val="20"/>
        </w:rPr>
        <w:t>simulated</w:t>
      </w:r>
      <w:r w:rsidRPr="00B01F9E">
        <w:rPr>
          <w:rStyle w:val="normaltextrun"/>
          <w:rFonts w:ascii="Arial" w:hAnsi="Arial" w:cs="Arial"/>
          <w:color w:val="000000"/>
          <w:sz w:val="20"/>
          <w:szCs w:val="20"/>
        </w:rPr>
        <w:t xml:space="preserve"> LIDR files </w:t>
      </w:r>
      <w:r w:rsidR="00223073" w:rsidRPr="00B01F9E">
        <w:rPr>
          <w:rStyle w:val="normaltextrun"/>
          <w:rFonts w:ascii="Arial" w:hAnsi="Arial" w:cs="Arial"/>
          <w:color w:val="000000"/>
          <w:sz w:val="20"/>
          <w:szCs w:val="20"/>
        </w:rPr>
        <w:t>were</w:t>
      </w:r>
      <w:r w:rsidRPr="00B01F9E">
        <w:rPr>
          <w:rStyle w:val="normaltextrun"/>
          <w:rFonts w:ascii="Arial" w:hAnsi="Arial" w:cs="Arial"/>
          <w:color w:val="000000"/>
          <w:sz w:val="20"/>
          <w:szCs w:val="20"/>
        </w:rPr>
        <w:t xml:space="preserve"> designed to utilize the LIVD files</w:t>
      </w:r>
      <w:r w:rsidR="009469F6" w:rsidRPr="00B01F9E">
        <w:rPr>
          <w:rStyle w:val="normaltextrun"/>
          <w:rFonts w:ascii="Arial" w:hAnsi="Arial" w:cs="Arial"/>
          <w:color w:val="000000"/>
          <w:sz w:val="20"/>
          <w:szCs w:val="20"/>
        </w:rPr>
        <w:t xml:space="preserve"> in Excel format</w:t>
      </w:r>
      <w:r w:rsidRPr="00B01F9E">
        <w:rPr>
          <w:rStyle w:val="normaltextrun"/>
          <w:rFonts w:ascii="Arial" w:hAnsi="Arial" w:cs="Arial"/>
          <w:color w:val="000000"/>
          <w:sz w:val="20"/>
          <w:szCs w:val="20"/>
        </w:rPr>
        <w:t>. LIVD files, introduced during the COVID-19 pandemic, are recommended to be provided by</w:t>
      </w:r>
      <w:r w:rsidR="00F02B4D" w:rsidRPr="00B01F9E">
        <w:rPr>
          <w:rStyle w:val="normaltextrun"/>
          <w:rFonts w:ascii="Arial" w:hAnsi="Arial" w:cs="Arial"/>
          <w:color w:val="000000"/>
          <w:sz w:val="20"/>
          <w:szCs w:val="20"/>
        </w:rPr>
        <w:t xml:space="preserve"> </w:t>
      </w:r>
      <w:r w:rsidRPr="00B01F9E">
        <w:rPr>
          <w:rStyle w:val="normaltextrun"/>
          <w:rFonts w:ascii="Arial" w:hAnsi="Arial" w:cs="Arial"/>
          <w:color w:val="000000"/>
          <w:sz w:val="20"/>
          <w:szCs w:val="20"/>
        </w:rPr>
        <w:t xml:space="preserve">IVD vendors. Currently, LIVD includes data elements used to electronically transfer results for SARS-CoV-2, </w:t>
      </w:r>
      <w:r w:rsidR="00E26411" w:rsidRPr="00B01F9E">
        <w:rPr>
          <w:rStyle w:val="normaltextrun"/>
          <w:rFonts w:ascii="Arial" w:hAnsi="Arial" w:cs="Arial"/>
          <w:color w:val="000000"/>
          <w:sz w:val="20"/>
          <w:szCs w:val="20"/>
        </w:rPr>
        <w:t>m</w:t>
      </w:r>
      <w:r w:rsidRPr="00B01F9E">
        <w:rPr>
          <w:rStyle w:val="normaltextrun"/>
          <w:rFonts w:ascii="Arial" w:hAnsi="Arial" w:cs="Arial"/>
          <w:color w:val="000000"/>
          <w:sz w:val="20"/>
          <w:szCs w:val="20"/>
        </w:rPr>
        <w:t xml:space="preserve">onkey </w:t>
      </w:r>
      <w:r w:rsidR="00E26411" w:rsidRPr="00B01F9E">
        <w:rPr>
          <w:rStyle w:val="normaltextrun"/>
          <w:rFonts w:ascii="Arial" w:hAnsi="Arial" w:cs="Arial"/>
          <w:color w:val="000000"/>
          <w:sz w:val="20"/>
          <w:szCs w:val="20"/>
        </w:rPr>
        <w:t>p</w:t>
      </w:r>
      <w:r w:rsidRPr="00B01F9E">
        <w:rPr>
          <w:rStyle w:val="normaltextrun"/>
          <w:rFonts w:ascii="Arial" w:hAnsi="Arial" w:cs="Arial"/>
          <w:color w:val="000000"/>
          <w:sz w:val="20"/>
          <w:szCs w:val="20"/>
        </w:rPr>
        <w:t xml:space="preserve">ox </w:t>
      </w:r>
      <w:r w:rsidR="00E26411" w:rsidRPr="00B01F9E">
        <w:rPr>
          <w:rStyle w:val="normaltextrun"/>
          <w:rFonts w:ascii="Arial" w:hAnsi="Arial" w:cs="Arial"/>
          <w:color w:val="000000"/>
          <w:sz w:val="20"/>
          <w:szCs w:val="20"/>
        </w:rPr>
        <w:t>v</w:t>
      </w:r>
      <w:r w:rsidRPr="00B01F9E">
        <w:rPr>
          <w:rStyle w:val="normaltextrun"/>
          <w:rFonts w:ascii="Arial" w:hAnsi="Arial" w:cs="Arial"/>
          <w:color w:val="000000"/>
          <w:sz w:val="20"/>
          <w:szCs w:val="20"/>
        </w:rPr>
        <w:t xml:space="preserve">irus, HIV Diagnostic Tests, and Lyme </w:t>
      </w:r>
      <w:r w:rsidR="00E45231" w:rsidRPr="00B01F9E">
        <w:rPr>
          <w:rStyle w:val="normaltextrun"/>
          <w:rFonts w:ascii="Arial" w:hAnsi="Arial" w:cs="Arial"/>
          <w:color w:val="000000"/>
          <w:sz w:val="20"/>
          <w:szCs w:val="20"/>
        </w:rPr>
        <w:t>d</w:t>
      </w:r>
      <w:r w:rsidRPr="00B01F9E">
        <w:rPr>
          <w:rStyle w:val="normaltextrun"/>
          <w:rFonts w:ascii="Arial" w:hAnsi="Arial" w:cs="Arial"/>
          <w:color w:val="000000"/>
          <w:sz w:val="20"/>
          <w:szCs w:val="20"/>
        </w:rPr>
        <w:t>isease for infectious disease reporting. These files can be found on the Centers for Disease Control and Prevention (CDC) website</w:t>
      </w:r>
      <w:r w:rsidR="005133E4" w:rsidRPr="00B01F9E">
        <w:rPr>
          <w:rStyle w:val="normaltextrun"/>
          <w:rFonts w:ascii="Arial" w:hAnsi="Arial" w:cs="Arial"/>
          <w:color w:val="000000"/>
          <w:sz w:val="20"/>
          <w:szCs w:val="20"/>
        </w:rPr>
        <w:t>.</w:t>
      </w:r>
      <w:r w:rsidR="00921E92" w:rsidRPr="00B01F9E">
        <w:rPr>
          <w:rStyle w:val="normaltextrun"/>
          <w:rFonts w:ascii="Arial" w:hAnsi="Arial" w:cs="Arial"/>
          <w:color w:val="000000"/>
          <w:sz w:val="20"/>
          <w:szCs w:val="20"/>
          <w:vertAlign w:val="superscript"/>
        </w:rPr>
        <w:t>1</w:t>
      </w:r>
      <w:r w:rsidRPr="00B01F9E">
        <w:rPr>
          <w:rStyle w:val="normaltextrun"/>
          <w:rFonts w:ascii="Arial" w:hAnsi="Arial" w:cs="Arial"/>
          <w:color w:val="000000"/>
          <w:sz w:val="20"/>
          <w:szCs w:val="20"/>
        </w:rPr>
        <w:t> </w:t>
      </w:r>
      <w:r w:rsidRPr="00B01F9E">
        <w:rPr>
          <w:rStyle w:val="eop"/>
          <w:rFonts w:ascii="Arial" w:hAnsi="Arial" w:cs="Arial"/>
          <w:color w:val="000000"/>
          <w:sz w:val="20"/>
          <w:szCs w:val="20"/>
        </w:rPr>
        <w:t> </w:t>
      </w:r>
    </w:p>
    <w:p w14:paraId="4D9E1F62" w14:textId="4F19FB47" w:rsidR="005B4CD7" w:rsidRPr="00B01F9E" w:rsidRDefault="005B4CD7" w:rsidP="00191BDF">
      <w:pPr>
        <w:rPr>
          <w:rFonts w:ascii="Arial" w:hAnsi="Arial" w:cs="Arial"/>
          <w:sz w:val="20"/>
          <w:szCs w:val="20"/>
        </w:rPr>
      </w:pPr>
      <w:r w:rsidRPr="00B01F9E">
        <w:rPr>
          <w:rStyle w:val="normaltextrun"/>
          <w:rFonts w:ascii="Arial" w:hAnsi="Arial" w:cs="Arial"/>
          <w:color w:val="000000"/>
          <w:sz w:val="20"/>
          <w:szCs w:val="20"/>
        </w:rPr>
        <w:t>As proposed in Year 1, the required LIDR elements include and expand upon the LIVD elements.</w:t>
      </w:r>
      <w:r w:rsidRPr="00B01F9E">
        <w:rPr>
          <w:rStyle w:val="eop"/>
          <w:rFonts w:ascii="Arial" w:hAnsi="Arial" w:cs="Arial"/>
          <w:color w:val="000000"/>
          <w:sz w:val="20"/>
          <w:szCs w:val="20"/>
        </w:rPr>
        <w:t> </w:t>
      </w:r>
    </w:p>
    <w:p w14:paraId="4626E338" w14:textId="696B6CC3"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Order Code - LOINC </w:t>
      </w:r>
      <w:r w:rsidRPr="00B01F9E">
        <w:rPr>
          <w:rStyle w:val="eop"/>
          <w:rFonts w:ascii="Arial" w:hAnsi="Arial" w:cs="Arial"/>
          <w:color w:val="000000"/>
          <w:sz w:val="20"/>
          <w:szCs w:val="20"/>
        </w:rPr>
        <w:t> </w:t>
      </w:r>
    </w:p>
    <w:p w14:paraId="5CE7B568" w14:textId="77777777"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Reported Test - LOINC </w:t>
      </w:r>
      <w:r w:rsidRPr="00B01F9E">
        <w:rPr>
          <w:rStyle w:val="eop"/>
          <w:rFonts w:ascii="Arial" w:hAnsi="Arial" w:cs="Arial"/>
          <w:color w:val="000000"/>
          <w:sz w:val="20"/>
          <w:szCs w:val="20"/>
        </w:rPr>
        <w:t> </w:t>
      </w:r>
    </w:p>
    <w:p w14:paraId="40273D5C" w14:textId="62DE3BF9"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 xml:space="preserve">Specimen Source </w:t>
      </w:r>
      <w:r w:rsidR="000C1E01" w:rsidRPr="00B01F9E">
        <w:rPr>
          <w:rStyle w:val="normaltextrun"/>
          <w:rFonts w:ascii="Arial" w:hAnsi="Arial" w:cs="Arial"/>
          <w:color w:val="000000"/>
          <w:sz w:val="20"/>
          <w:szCs w:val="20"/>
        </w:rPr>
        <w:t>–</w:t>
      </w:r>
      <w:r w:rsidRPr="00B01F9E">
        <w:rPr>
          <w:rStyle w:val="normaltextrun"/>
          <w:rFonts w:ascii="Arial" w:hAnsi="Arial" w:cs="Arial"/>
          <w:color w:val="000000"/>
          <w:sz w:val="20"/>
          <w:szCs w:val="20"/>
        </w:rPr>
        <w:t xml:space="preserve"> SNOMED</w:t>
      </w:r>
      <w:r w:rsidR="000C1E01" w:rsidRPr="00B01F9E">
        <w:rPr>
          <w:rStyle w:val="normaltextrun"/>
          <w:rFonts w:ascii="Arial" w:hAnsi="Arial" w:cs="Arial"/>
          <w:sz w:val="20"/>
          <w:szCs w:val="20"/>
        </w:rPr>
        <w:t xml:space="preserve"> CT</w:t>
      </w:r>
      <w:r w:rsidRPr="00B01F9E">
        <w:rPr>
          <w:rStyle w:val="normaltextrun"/>
          <w:rFonts w:ascii="Arial" w:hAnsi="Arial" w:cs="Arial"/>
          <w:color w:val="000000"/>
          <w:sz w:val="20"/>
          <w:szCs w:val="20"/>
        </w:rPr>
        <w:t> </w:t>
      </w:r>
      <w:r w:rsidRPr="00B01F9E">
        <w:rPr>
          <w:rStyle w:val="eop"/>
          <w:rFonts w:ascii="Arial" w:hAnsi="Arial" w:cs="Arial"/>
          <w:color w:val="000000"/>
          <w:sz w:val="20"/>
          <w:szCs w:val="20"/>
        </w:rPr>
        <w:t> </w:t>
      </w:r>
    </w:p>
    <w:p w14:paraId="3C69BF73" w14:textId="703FA6B5"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Specimen Type - SNOMED</w:t>
      </w:r>
      <w:r w:rsidR="00951B6A" w:rsidRPr="00B01F9E">
        <w:rPr>
          <w:rStyle w:val="normaltextrun"/>
          <w:rFonts w:ascii="Arial" w:hAnsi="Arial" w:cs="Arial"/>
          <w:color w:val="000000"/>
          <w:sz w:val="20"/>
          <w:szCs w:val="20"/>
        </w:rPr>
        <w:t xml:space="preserve"> CT</w:t>
      </w:r>
      <w:r w:rsidRPr="00B01F9E">
        <w:rPr>
          <w:rStyle w:val="normaltextrun"/>
          <w:rFonts w:ascii="Arial" w:hAnsi="Arial" w:cs="Arial"/>
          <w:color w:val="000000"/>
          <w:sz w:val="20"/>
          <w:szCs w:val="20"/>
        </w:rPr>
        <w:t> </w:t>
      </w:r>
      <w:r w:rsidRPr="00B01F9E">
        <w:rPr>
          <w:rStyle w:val="eop"/>
          <w:rFonts w:ascii="Arial" w:hAnsi="Arial" w:cs="Arial"/>
          <w:color w:val="000000"/>
          <w:sz w:val="20"/>
          <w:szCs w:val="20"/>
        </w:rPr>
        <w:t> </w:t>
      </w:r>
    </w:p>
    <w:p w14:paraId="3FE26E20" w14:textId="02AFA55D"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 xml:space="preserve">Specimen Collection Method </w:t>
      </w:r>
      <w:r w:rsidR="00951B6A" w:rsidRPr="00B01F9E">
        <w:rPr>
          <w:rStyle w:val="normaltextrun"/>
          <w:rFonts w:ascii="Arial" w:hAnsi="Arial" w:cs="Arial"/>
          <w:color w:val="000000"/>
          <w:sz w:val="20"/>
          <w:szCs w:val="20"/>
        </w:rPr>
        <w:t>–</w:t>
      </w:r>
      <w:r w:rsidRPr="00B01F9E">
        <w:rPr>
          <w:rStyle w:val="normaltextrun"/>
          <w:rFonts w:ascii="Arial" w:hAnsi="Arial" w:cs="Arial"/>
          <w:color w:val="000000"/>
          <w:sz w:val="20"/>
          <w:szCs w:val="20"/>
        </w:rPr>
        <w:t xml:space="preserve"> SNOMED</w:t>
      </w:r>
      <w:r w:rsidR="00951B6A" w:rsidRPr="00B01F9E">
        <w:rPr>
          <w:rStyle w:val="normaltextrun"/>
          <w:rFonts w:ascii="Arial" w:hAnsi="Arial" w:cs="Arial"/>
          <w:color w:val="000000"/>
          <w:sz w:val="20"/>
          <w:szCs w:val="20"/>
        </w:rPr>
        <w:t xml:space="preserve"> CT</w:t>
      </w:r>
      <w:r w:rsidRPr="00B01F9E">
        <w:rPr>
          <w:rStyle w:val="normaltextrun"/>
          <w:rFonts w:ascii="Arial" w:hAnsi="Arial" w:cs="Arial"/>
          <w:color w:val="000000"/>
          <w:sz w:val="20"/>
          <w:szCs w:val="20"/>
        </w:rPr>
        <w:t> </w:t>
      </w:r>
      <w:r w:rsidRPr="00B01F9E">
        <w:rPr>
          <w:rStyle w:val="eop"/>
          <w:rFonts w:ascii="Arial" w:hAnsi="Arial" w:cs="Arial"/>
          <w:color w:val="000000"/>
          <w:sz w:val="20"/>
          <w:szCs w:val="20"/>
        </w:rPr>
        <w:t> </w:t>
      </w:r>
    </w:p>
    <w:p w14:paraId="6CA7A92C" w14:textId="100121BC"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Unit of Measure for Quantitative Results - UCUM</w:t>
      </w:r>
    </w:p>
    <w:p w14:paraId="7711FE3C" w14:textId="2657C0C4"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Qualitative Test - SNOMED </w:t>
      </w:r>
      <w:r w:rsidR="00951B6A" w:rsidRPr="00B01F9E">
        <w:rPr>
          <w:rStyle w:val="normaltextrun"/>
          <w:rFonts w:ascii="Arial" w:hAnsi="Arial" w:cs="Arial"/>
          <w:color w:val="000000"/>
          <w:sz w:val="20"/>
          <w:szCs w:val="20"/>
        </w:rPr>
        <w:t>CT</w:t>
      </w:r>
      <w:r w:rsidRPr="00B01F9E">
        <w:rPr>
          <w:rStyle w:val="eop"/>
          <w:rFonts w:ascii="Arial" w:hAnsi="Arial" w:cs="Arial"/>
          <w:color w:val="000000"/>
          <w:sz w:val="20"/>
          <w:szCs w:val="20"/>
        </w:rPr>
        <w:t> </w:t>
      </w:r>
    </w:p>
    <w:p w14:paraId="08532A61" w14:textId="71F6CB80"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 xml:space="preserve">Test Kit </w:t>
      </w:r>
      <w:r w:rsidR="003A2E3D" w:rsidRPr="00B01F9E">
        <w:rPr>
          <w:rStyle w:val="normaltextrun"/>
          <w:rFonts w:ascii="Arial" w:hAnsi="Arial" w:cs="Arial"/>
          <w:color w:val="000000"/>
          <w:sz w:val="20"/>
          <w:szCs w:val="20"/>
        </w:rPr>
        <w:t>UDI</w:t>
      </w:r>
      <w:r w:rsidRPr="00B01F9E">
        <w:rPr>
          <w:rStyle w:val="normaltextrun"/>
          <w:rFonts w:ascii="Arial" w:hAnsi="Arial" w:cs="Arial"/>
          <w:color w:val="000000"/>
          <w:sz w:val="20"/>
          <w:szCs w:val="20"/>
        </w:rPr>
        <w:t> </w:t>
      </w:r>
    </w:p>
    <w:p w14:paraId="798D71F9" w14:textId="3B7129A9"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Device UDI</w:t>
      </w:r>
    </w:p>
    <w:p w14:paraId="425A5A23" w14:textId="77777777"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Harmonization Indicator of the Performed Test </w:t>
      </w:r>
      <w:r w:rsidRPr="00B01F9E">
        <w:rPr>
          <w:rStyle w:val="eop"/>
          <w:rFonts w:ascii="Arial" w:hAnsi="Arial" w:cs="Arial"/>
          <w:color w:val="000000"/>
          <w:sz w:val="20"/>
          <w:szCs w:val="20"/>
        </w:rPr>
        <w:t> </w:t>
      </w:r>
    </w:p>
    <w:p w14:paraId="15176AB5" w14:textId="03D5AC07" w:rsidR="005B4CD7" w:rsidRPr="00B01F9E" w:rsidRDefault="005B4CD7" w:rsidP="007B792A">
      <w:pPr>
        <w:pStyle w:val="paragraph"/>
        <w:numPr>
          <w:ilvl w:val="0"/>
          <w:numId w:val="11"/>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color w:val="000000"/>
          <w:sz w:val="20"/>
          <w:szCs w:val="20"/>
        </w:rPr>
        <w:t>Specimen Disposition </w:t>
      </w:r>
      <w:r w:rsidRPr="00B01F9E">
        <w:rPr>
          <w:rStyle w:val="eop"/>
          <w:rFonts w:ascii="Arial" w:hAnsi="Arial" w:cs="Arial"/>
          <w:color w:val="000000"/>
          <w:sz w:val="20"/>
          <w:szCs w:val="20"/>
        </w:rPr>
        <w:t>  </w:t>
      </w:r>
    </w:p>
    <w:p w14:paraId="3E655E5F" w14:textId="7E0060E0" w:rsidR="005B4CD7" w:rsidRPr="00B01F9E" w:rsidRDefault="005B4CD7" w:rsidP="00191BDF">
      <w:pPr>
        <w:spacing w:before="120" w:after="120"/>
        <w:rPr>
          <w:rFonts w:ascii="Arial" w:hAnsi="Arial" w:cs="Arial"/>
          <w:sz w:val="20"/>
          <w:szCs w:val="20"/>
        </w:rPr>
      </w:pPr>
      <w:r w:rsidRPr="00B01F9E">
        <w:rPr>
          <w:rStyle w:val="normaltextrun"/>
          <w:rFonts w:ascii="Arial" w:hAnsi="Arial" w:cs="Arial"/>
          <w:color w:val="000000"/>
          <w:sz w:val="20"/>
          <w:szCs w:val="20"/>
        </w:rPr>
        <w:t>Duke utilize</w:t>
      </w:r>
      <w:r w:rsidR="00223073" w:rsidRPr="00B01F9E">
        <w:rPr>
          <w:rStyle w:val="normaltextrun"/>
          <w:rFonts w:ascii="Arial" w:hAnsi="Arial" w:cs="Arial"/>
          <w:color w:val="000000"/>
          <w:sz w:val="20"/>
          <w:szCs w:val="20"/>
        </w:rPr>
        <w:t>d</w:t>
      </w:r>
      <w:r w:rsidRPr="00B01F9E">
        <w:rPr>
          <w:rStyle w:val="normaltextrun"/>
          <w:rFonts w:ascii="Arial" w:hAnsi="Arial" w:cs="Arial"/>
          <w:color w:val="000000"/>
          <w:sz w:val="20"/>
          <w:szCs w:val="20"/>
        </w:rPr>
        <w:t xml:space="preserve"> the following instrumentation to perform tests at their Duke Raleigh laboratory location (Table </w:t>
      </w:r>
      <w:r w:rsidR="00D478FA" w:rsidRPr="00B01F9E">
        <w:rPr>
          <w:rStyle w:val="normaltextrun"/>
          <w:rFonts w:ascii="Arial" w:hAnsi="Arial" w:cs="Arial"/>
          <w:color w:val="000000"/>
          <w:sz w:val="20"/>
          <w:szCs w:val="20"/>
        </w:rPr>
        <w:t>5</w:t>
      </w:r>
      <w:r w:rsidRPr="00B01F9E">
        <w:rPr>
          <w:rStyle w:val="normaltextrun"/>
          <w:rFonts w:ascii="Arial" w:hAnsi="Arial" w:cs="Arial"/>
          <w:color w:val="000000"/>
          <w:sz w:val="20"/>
          <w:szCs w:val="20"/>
        </w:rPr>
        <w:t>). </w:t>
      </w:r>
      <w:r w:rsidRPr="00B01F9E">
        <w:rPr>
          <w:rStyle w:val="eop"/>
          <w:rFonts w:ascii="Arial" w:hAnsi="Arial" w:cs="Arial"/>
          <w:color w:val="000000"/>
          <w:sz w:val="20"/>
          <w:szCs w:val="20"/>
        </w:rPr>
        <w:t> </w:t>
      </w:r>
    </w:p>
    <w:p w14:paraId="00D62E74" w14:textId="77777777" w:rsidR="006C1E14" w:rsidRPr="00B01F9E" w:rsidRDefault="006C1E14" w:rsidP="006C1E14">
      <w:pPr>
        <w:spacing w:after="40"/>
        <w:rPr>
          <w:rStyle w:val="eop"/>
          <w:rFonts w:ascii="Arial" w:hAnsi="Arial" w:cs="Arial"/>
          <w:b/>
          <w:bCs/>
          <w:color w:val="000000"/>
          <w:sz w:val="20"/>
          <w:szCs w:val="20"/>
          <w:shd w:val="clear" w:color="auto" w:fill="FFFFFF"/>
        </w:rPr>
      </w:pPr>
    </w:p>
    <w:p w14:paraId="348FC210" w14:textId="77777777" w:rsidR="00675902" w:rsidRPr="00B01F9E" w:rsidRDefault="00675902">
      <w:pPr>
        <w:rPr>
          <w:rFonts w:ascii="Arial" w:eastAsia="Times New Roman" w:hAnsi="Arial" w:cs="Arial"/>
          <w:b/>
          <w:bCs/>
          <w:color w:val="009BBF"/>
          <w:sz w:val="20"/>
          <w:szCs w:val="20"/>
        </w:rPr>
      </w:pPr>
      <w:r w:rsidRPr="00B01F9E">
        <w:rPr>
          <w:rFonts w:ascii="Arial" w:eastAsia="Times New Roman" w:hAnsi="Arial" w:cs="Arial"/>
          <w:b/>
          <w:bCs/>
          <w:color w:val="009BBF"/>
          <w:sz w:val="20"/>
          <w:szCs w:val="20"/>
        </w:rPr>
        <w:br w:type="page"/>
      </w:r>
    </w:p>
    <w:p w14:paraId="0125BA7B" w14:textId="6D1A47F6" w:rsidR="00061E38" w:rsidRPr="00B01F9E" w:rsidRDefault="00061E38" w:rsidP="00490D8C">
      <w:pPr>
        <w:spacing w:after="0" w:line="240" w:lineRule="auto"/>
        <w:textAlignment w:val="baseline"/>
        <w:rPr>
          <w:rFonts w:ascii="Arial" w:eastAsia="Times New Roman" w:hAnsi="Arial" w:cs="Arial"/>
          <w:color w:val="009BBF"/>
          <w:sz w:val="20"/>
          <w:szCs w:val="20"/>
        </w:rPr>
      </w:pPr>
      <w:r w:rsidRPr="00B01F9E">
        <w:rPr>
          <w:rFonts w:ascii="Arial" w:eastAsia="Times New Roman" w:hAnsi="Arial" w:cs="Arial"/>
          <w:b/>
          <w:bCs/>
          <w:color w:val="009BBF"/>
          <w:sz w:val="20"/>
          <w:szCs w:val="20"/>
        </w:rPr>
        <w:lastRenderedPageBreak/>
        <w:t xml:space="preserve">Table </w:t>
      </w:r>
      <w:r w:rsidR="00D478FA" w:rsidRPr="00B01F9E">
        <w:rPr>
          <w:rFonts w:ascii="Arial" w:eastAsia="Times New Roman" w:hAnsi="Arial" w:cs="Arial"/>
          <w:b/>
          <w:bCs/>
          <w:color w:val="009BBF"/>
          <w:sz w:val="20"/>
          <w:szCs w:val="20"/>
        </w:rPr>
        <w:t>5</w:t>
      </w:r>
      <w:r w:rsidRPr="00B01F9E">
        <w:rPr>
          <w:rFonts w:ascii="Arial" w:eastAsia="Times New Roman" w:hAnsi="Arial" w:cs="Arial"/>
          <w:b/>
          <w:bCs/>
          <w:color w:val="009BBF"/>
          <w:sz w:val="20"/>
          <w:szCs w:val="20"/>
        </w:rPr>
        <w:t>: IVD Instruments Utilized at Duke Raleigh Laboratory for Test Subset</w:t>
      </w:r>
      <w:r w:rsidRPr="00B01F9E">
        <w:rPr>
          <w:rFonts w:ascii="Arial" w:eastAsia="Times New Roman" w:hAnsi="Arial" w:cs="Arial"/>
          <w:color w:val="009BBF"/>
          <w:sz w:val="20"/>
          <w:szCs w:val="20"/>
        </w:rPr>
        <w:t> </w:t>
      </w:r>
    </w:p>
    <w:tbl>
      <w:tblPr>
        <w:tblW w:w="8639"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96"/>
        <w:gridCol w:w="1897"/>
        <w:gridCol w:w="3546"/>
      </w:tblGrid>
      <w:tr w:rsidR="00061E38" w:rsidRPr="00B01F9E" w14:paraId="25D71D9A" w14:textId="77777777" w:rsidTr="00202BEB">
        <w:trPr>
          <w:trHeight w:val="300"/>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1F6F9FDB"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b/>
                <w:bCs/>
                <w:sz w:val="20"/>
                <w:szCs w:val="20"/>
              </w:rPr>
              <w:t>Test</w:t>
            </w:r>
            <w:r w:rsidRPr="00B01F9E">
              <w:rPr>
                <w:rFonts w:ascii="Arial" w:eastAsia="Times New Roman" w:hAnsi="Arial" w:cs="Arial"/>
                <w:sz w:val="20"/>
                <w:szCs w:val="20"/>
              </w:rPr>
              <w:t>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18545D9E"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b/>
                <w:bCs/>
                <w:sz w:val="20"/>
                <w:szCs w:val="20"/>
              </w:rPr>
              <w:t>IVD Vendor</w:t>
            </w:r>
            <w:r w:rsidRPr="00B01F9E">
              <w:rPr>
                <w:rFonts w:ascii="Arial" w:eastAsia="Times New Roman" w:hAnsi="Arial" w:cs="Arial"/>
                <w:sz w:val="20"/>
                <w:szCs w:val="20"/>
              </w:rPr>
              <w:t>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77983932"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b/>
                <w:bCs/>
                <w:sz w:val="20"/>
                <w:szCs w:val="20"/>
              </w:rPr>
              <w:t>Instrument/Method</w:t>
            </w:r>
            <w:r w:rsidRPr="00B01F9E">
              <w:rPr>
                <w:rFonts w:ascii="Arial" w:eastAsia="Times New Roman" w:hAnsi="Arial" w:cs="Arial"/>
                <w:sz w:val="20"/>
                <w:szCs w:val="20"/>
              </w:rPr>
              <w:t> </w:t>
            </w:r>
          </w:p>
        </w:tc>
      </w:tr>
      <w:tr w:rsidR="00061E38" w:rsidRPr="00B01F9E" w14:paraId="44DE2420" w14:textId="77777777" w:rsidTr="007A5AA9">
        <w:trPr>
          <w:trHeight w:val="288"/>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48976480"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Basic Metabolic Panel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72F76E3E"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Beckman Coulter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194D485F"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DxC860i® </w:t>
            </w:r>
          </w:p>
        </w:tc>
      </w:tr>
      <w:tr w:rsidR="00061E38" w:rsidRPr="00B01F9E" w14:paraId="1D34F92E" w14:textId="77777777" w:rsidTr="007A5AA9">
        <w:trPr>
          <w:trHeight w:val="288"/>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191CC1A2"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Creatinine (Plasma)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7F3D2DCD"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Beckman Coulter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69131C63"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DxC860i® </w:t>
            </w:r>
          </w:p>
        </w:tc>
      </w:tr>
      <w:tr w:rsidR="00061E38" w:rsidRPr="00B01F9E" w14:paraId="13F56C87" w14:textId="77777777" w:rsidTr="007A5AA9">
        <w:trPr>
          <w:trHeight w:val="288"/>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14480CD1"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Complete Urinalysis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2B205CC2"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Beckman Coulter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1393461C" w14:textId="77777777" w:rsidR="00061E38" w:rsidRPr="00B01F9E" w:rsidRDefault="00061E38" w:rsidP="00202BEB">
            <w:pPr>
              <w:spacing w:after="0" w:line="240" w:lineRule="auto"/>
              <w:textAlignment w:val="baseline"/>
              <w:rPr>
                <w:rFonts w:ascii="Arial" w:eastAsia="Times New Roman" w:hAnsi="Arial" w:cs="Arial"/>
                <w:sz w:val="20"/>
                <w:szCs w:val="20"/>
              </w:rPr>
            </w:pPr>
            <w:proofErr w:type="spellStart"/>
            <w:r w:rsidRPr="00B01F9E">
              <w:rPr>
                <w:rFonts w:ascii="Arial" w:eastAsia="Times New Roman" w:hAnsi="Arial" w:cs="Arial"/>
                <w:sz w:val="20"/>
                <w:szCs w:val="20"/>
              </w:rPr>
              <w:t>DxUm</w:t>
            </w:r>
            <w:proofErr w:type="spellEnd"/>
            <w:r w:rsidRPr="00B01F9E">
              <w:rPr>
                <w:rFonts w:ascii="Arial" w:eastAsia="Times New Roman" w:hAnsi="Arial" w:cs="Arial"/>
                <w:sz w:val="20"/>
                <w:szCs w:val="20"/>
              </w:rPr>
              <w:t>/</w:t>
            </w:r>
            <w:proofErr w:type="spellStart"/>
            <w:r w:rsidRPr="00B01F9E">
              <w:rPr>
                <w:rFonts w:ascii="Arial" w:eastAsia="Times New Roman" w:hAnsi="Arial" w:cs="Arial"/>
                <w:sz w:val="20"/>
                <w:szCs w:val="20"/>
              </w:rPr>
              <w:t>Aution</w:t>
            </w:r>
            <w:proofErr w:type="spellEnd"/>
            <w:r w:rsidRPr="00B01F9E">
              <w:rPr>
                <w:rFonts w:ascii="Arial" w:eastAsia="Times New Roman" w:hAnsi="Arial" w:cs="Arial"/>
                <w:sz w:val="20"/>
                <w:szCs w:val="20"/>
              </w:rPr>
              <w:t> Max AX4030® </w:t>
            </w:r>
          </w:p>
        </w:tc>
      </w:tr>
      <w:tr w:rsidR="00061E38" w:rsidRPr="00B01F9E" w14:paraId="109CB1BB" w14:textId="77777777" w:rsidTr="007A5AA9">
        <w:trPr>
          <w:trHeight w:val="288"/>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49512E0A"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Respiratory Viral Panel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4A601BE9"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Cepheid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641B9129" w14:textId="77777777" w:rsidR="00061E38" w:rsidRPr="00B01F9E" w:rsidRDefault="00061E38" w:rsidP="00202BEB">
            <w:pPr>
              <w:spacing w:after="0" w:line="240" w:lineRule="auto"/>
              <w:textAlignment w:val="baseline"/>
              <w:rPr>
                <w:rFonts w:ascii="Arial" w:eastAsia="Times New Roman" w:hAnsi="Arial" w:cs="Arial"/>
                <w:sz w:val="20"/>
                <w:szCs w:val="20"/>
              </w:rPr>
            </w:pPr>
            <w:proofErr w:type="spellStart"/>
            <w:r w:rsidRPr="00B01F9E">
              <w:rPr>
                <w:rFonts w:ascii="Arial" w:eastAsia="Times New Roman" w:hAnsi="Arial" w:cs="Arial"/>
                <w:sz w:val="20"/>
                <w:szCs w:val="20"/>
              </w:rPr>
              <w:t>Genexpert</w:t>
            </w:r>
            <w:proofErr w:type="spellEnd"/>
            <w:r w:rsidRPr="00B01F9E">
              <w:rPr>
                <w:rFonts w:ascii="Arial" w:eastAsia="Times New Roman" w:hAnsi="Arial" w:cs="Arial"/>
                <w:sz w:val="20"/>
                <w:szCs w:val="20"/>
              </w:rPr>
              <w:t> GX-XVI R2® (16 module)  </w:t>
            </w:r>
          </w:p>
        </w:tc>
      </w:tr>
      <w:tr w:rsidR="00061E38" w:rsidRPr="00B01F9E" w14:paraId="411874B4" w14:textId="77777777" w:rsidTr="007A5AA9">
        <w:trPr>
          <w:trHeight w:val="288"/>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665B129F"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Blood Culture (Pos/Neg)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4EE646BC"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Beckman Coulter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7334867E" w14:textId="77777777" w:rsidR="00061E38" w:rsidRPr="00B01F9E" w:rsidRDefault="00061E38" w:rsidP="00202BEB">
            <w:pPr>
              <w:spacing w:after="0" w:line="240" w:lineRule="auto"/>
              <w:textAlignment w:val="baseline"/>
              <w:rPr>
                <w:rFonts w:ascii="Arial" w:eastAsia="Times New Roman" w:hAnsi="Arial" w:cs="Arial"/>
                <w:sz w:val="20"/>
                <w:szCs w:val="20"/>
              </w:rPr>
            </w:pPr>
            <w:proofErr w:type="spellStart"/>
            <w:r w:rsidRPr="00B01F9E">
              <w:rPr>
                <w:rFonts w:ascii="Arial" w:eastAsia="Times New Roman" w:hAnsi="Arial" w:cs="Arial"/>
                <w:sz w:val="20"/>
                <w:szCs w:val="20"/>
              </w:rPr>
              <w:t>Bactec</w:t>
            </w:r>
            <w:proofErr w:type="spellEnd"/>
            <w:r w:rsidRPr="00B01F9E">
              <w:rPr>
                <w:rFonts w:ascii="Arial" w:eastAsia="Times New Roman" w:hAnsi="Arial" w:cs="Arial"/>
                <w:sz w:val="20"/>
                <w:szCs w:val="20"/>
              </w:rPr>
              <w:t xml:space="preserve"> FX® </w:t>
            </w:r>
          </w:p>
        </w:tc>
      </w:tr>
      <w:tr w:rsidR="00061E38" w:rsidRPr="00B01F9E" w14:paraId="2A2985B0" w14:textId="77777777" w:rsidTr="007A5AA9">
        <w:trPr>
          <w:trHeight w:val="288"/>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6241EAA4"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Blood Culture Gram Stain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15D379D6"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Manual Stain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6CF5BB90"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Manual Microscopy </w:t>
            </w:r>
          </w:p>
        </w:tc>
      </w:tr>
      <w:tr w:rsidR="00061E38" w:rsidRPr="00B01F9E" w14:paraId="12DB2F2B" w14:textId="77777777" w:rsidTr="007A5AA9">
        <w:trPr>
          <w:trHeight w:val="288"/>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15FA8CE1"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Blood Culture Organism ID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47FB4258" w14:textId="77777777" w:rsidR="00061E38" w:rsidRPr="00B01F9E" w:rsidRDefault="00061E38" w:rsidP="00202BEB">
            <w:pPr>
              <w:spacing w:after="0" w:line="240" w:lineRule="auto"/>
              <w:textAlignment w:val="baseline"/>
              <w:rPr>
                <w:rFonts w:ascii="Arial" w:eastAsia="Times New Roman" w:hAnsi="Arial" w:cs="Arial"/>
                <w:sz w:val="20"/>
                <w:szCs w:val="20"/>
              </w:rPr>
            </w:pPr>
            <w:proofErr w:type="spellStart"/>
            <w:r w:rsidRPr="00B01F9E">
              <w:rPr>
                <w:rFonts w:ascii="Arial" w:eastAsia="Times New Roman" w:hAnsi="Arial" w:cs="Arial"/>
                <w:sz w:val="20"/>
                <w:szCs w:val="20"/>
              </w:rPr>
              <w:t>BioFire</w:t>
            </w:r>
            <w:proofErr w:type="spellEnd"/>
            <w:r w:rsidRPr="00B01F9E">
              <w:rPr>
                <w:rFonts w:ascii="Arial" w:eastAsia="Times New Roman" w:hAnsi="Arial" w:cs="Arial"/>
                <w:sz w:val="20"/>
                <w:szCs w:val="20"/>
              </w:rPr>
              <w:t>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0D2D0310"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Film Array® </w:t>
            </w:r>
          </w:p>
        </w:tc>
      </w:tr>
      <w:tr w:rsidR="00061E38" w:rsidRPr="00B01F9E" w14:paraId="708DA264" w14:textId="77777777" w:rsidTr="00202BEB">
        <w:trPr>
          <w:trHeight w:val="300"/>
        </w:trPr>
        <w:tc>
          <w:tcPr>
            <w:tcW w:w="3196" w:type="dxa"/>
            <w:tcBorders>
              <w:top w:val="single" w:sz="6" w:space="0" w:color="909090"/>
              <w:left w:val="single" w:sz="6" w:space="0" w:color="909090"/>
              <w:bottom w:val="single" w:sz="6" w:space="0" w:color="909090"/>
              <w:right w:val="single" w:sz="6" w:space="0" w:color="909090"/>
            </w:tcBorders>
            <w:shd w:val="clear" w:color="auto" w:fill="auto"/>
            <w:hideMark/>
          </w:tcPr>
          <w:p w14:paraId="7DAD3A7E"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Blood Culture Antibiotic Susceptibility Panel </w:t>
            </w:r>
          </w:p>
        </w:tc>
        <w:tc>
          <w:tcPr>
            <w:tcW w:w="1897" w:type="dxa"/>
            <w:tcBorders>
              <w:top w:val="single" w:sz="6" w:space="0" w:color="909090"/>
              <w:left w:val="single" w:sz="6" w:space="0" w:color="909090"/>
              <w:bottom w:val="single" w:sz="6" w:space="0" w:color="909090"/>
              <w:right w:val="single" w:sz="6" w:space="0" w:color="909090"/>
            </w:tcBorders>
            <w:shd w:val="clear" w:color="auto" w:fill="auto"/>
            <w:hideMark/>
          </w:tcPr>
          <w:p w14:paraId="79A9E49D" w14:textId="77777777" w:rsidR="00061E38" w:rsidRPr="00B01F9E" w:rsidRDefault="00061E38" w:rsidP="00202BEB">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Beckman Coulter </w:t>
            </w:r>
          </w:p>
        </w:tc>
        <w:tc>
          <w:tcPr>
            <w:tcW w:w="3546" w:type="dxa"/>
            <w:tcBorders>
              <w:top w:val="single" w:sz="6" w:space="0" w:color="909090"/>
              <w:left w:val="single" w:sz="6" w:space="0" w:color="909090"/>
              <w:bottom w:val="single" w:sz="6" w:space="0" w:color="909090"/>
              <w:right w:val="single" w:sz="6" w:space="0" w:color="909090"/>
            </w:tcBorders>
            <w:shd w:val="clear" w:color="auto" w:fill="auto"/>
            <w:hideMark/>
          </w:tcPr>
          <w:p w14:paraId="05B44A28" w14:textId="77777777" w:rsidR="00061E38" w:rsidRPr="00B01F9E" w:rsidRDefault="00061E38" w:rsidP="00202BEB">
            <w:pPr>
              <w:spacing w:after="0" w:line="240" w:lineRule="auto"/>
              <w:textAlignment w:val="baseline"/>
              <w:rPr>
                <w:rFonts w:ascii="Arial" w:eastAsia="Times New Roman" w:hAnsi="Arial" w:cs="Arial"/>
                <w:sz w:val="20"/>
                <w:szCs w:val="20"/>
              </w:rPr>
            </w:pPr>
            <w:proofErr w:type="spellStart"/>
            <w:r w:rsidRPr="00B01F9E">
              <w:rPr>
                <w:rFonts w:ascii="Arial" w:eastAsia="Times New Roman" w:hAnsi="Arial" w:cs="Arial"/>
                <w:sz w:val="20"/>
                <w:szCs w:val="20"/>
              </w:rPr>
              <w:t>Microscan</w:t>
            </w:r>
            <w:proofErr w:type="spellEnd"/>
            <w:r w:rsidRPr="00B01F9E">
              <w:rPr>
                <w:rFonts w:ascii="Arial" w:eastAsia="Times New Roman" w:hAnsi="Arial" w:cs="Arial"/>
                <w:sz w:val="20"/>
                <w:szCs w:val="20"/>
              </w:rPr>
              <w:t> Walkaway® </w:t>
            </w:r>
          </w:p>
        </w:tc>
      </w:tr>
    </w:tbl>
    <w:p w14:paraId="049BC992" w14:textId="500FFFD0" w:rsidR="00061E38" w:rsidRPr="00B01F9E" w:rsidRDefault="00343880" w:rsidP="008725B9">
      <w:pPr>
        <w:spacing w:before="120" w:after="12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 xml:space="preserve">The </w:t>
      </w:r>
      <w:r w:rsidR="00061E38" w:rsidRPr="00B01F9E">
        <w:rPr>
          <w:rFonts w:ascii="Arial" w:eastAsia="Times New Roman" w:hAnsi="Arial" w:cs="Arial"/>
          <w:sz w:val="20"/>
          <w:szCs w:val="20"/>
        </w:rPr>
        <w:t>LIS dictionary exports for these tests include</w:t>
      </w:r>
      <w:r w:rsidR="00223073" w:rsidRPr="00B01F9E">
        <w:rPr>
          <w:rFonts w:ascii="Arial" w:eastAsia="Times New Roman" w:hAnsi="Arial" w:cs="Arial"/>
          <w:sz w:val="20"/>
          <w:szCs w:val="20"/>
        </w:rPr>
        <w:t>d</w:t>
      </w:r>
      <w:r w:rsidR="00061E38" w:rsidRPr="00B01F9E">
        <w:rPr>
          <w:rFonts w:ascii="Arial" w:eastAsia="Times New Roman" w:hAnsi="Arial" w:cs="Arial"/>
          <w:sz w:val="20"/>
          <w:szCs w:val="20"/>
        </w:rPr>
        <w:t xml:space="preserve"> the orderable test build, Beaker test build, result component build, and method build. These resources, along with the Duke Online Test Catalog, formed the basis for further research to develop LIDR. </w:t>
      </w:r>
    </w:p>
    <w:p w14:paraId="103CCA51" w14:textId="6982A167" w:rsidR="00D96A6B" w:rsidRPr="00B01F9E" w:rsidRDefault="0042537C" w:rsidP="008725B9">
      <w:pPr>
        <w:spacing w:after="120" w:line="240" w:lineRule="auto"/>
        <w:textAlignment w:val="baseline"/>
        <w:rPr>
          <w:rStyle w:val="eop"/>
          <w:rFonts w:ascii="Arial" w:hAnsi="Arial" w:cs="Arial"/>
          <w:color w:val="000000"/>
          <w:sz w:val="20"/>
          <w:szCs w:val="20"/>
          <w:shd w:val="clear" w:color="auto" w:fill="FFFFFF"/>
        </w:rPr>
      </w:pPr>
      <w:r w:rsidRPr="00B01F9E">
        <w:rPr>
          <w:rStyle w:val="normaltextrun"/>
          <w:rFonts w:ascii="Arial" w:hAnsi="Arial" w:cs="Arial"/>
          <w:color w:val="000000"/>
          <w:sz w:val="20"/>
          <w:szCs w:val="20"/>
          <w:shd w:val="clear" w:color="auto" w:fill="FFFFFF"/>
        </w:rPr>
        <w:t>The Duke Raleigh Laboratory primarily use</w:t>
      </w:r>
      <w:r w:rsidR="00223073" w:rsidRPr="00B01F9E">
        <w:rPr>
          <w:rStyle w:val="normaltextrun"/>
          <w:rFonts w:ascii="Arial" w:hAnsi="Arial" w:cs="Arial"/>
          <w:color w:val="000000"/>
          <w:sz w:val="20"/>
          <w:szCs w:val="20"/>
          <w:shd w:val="clear" w:color="auto" w:fill="FFFFFF"/>
        </w:rPr>
        <w:t>d</w:t>
      </w:r>
      <w:r w:rsidRPr="00B01F9E">
        <w:rPr>
          <w:rStyle w:val="normaltextrun"/>
          <w:rFonts w:ascii="Arial" w:hAnsi="Arial" w:cs="Arial"/>
          <w:color w:val="000000"/>
          <w:sz w:val="20"/>
          <w:szCs w:val="20"/>
          <w:shd w:val="clear" w:color="auto" w:fill="FFFFFF"/>
        </w:rPr>
        <w:t xml:space="preserve"> instruments from a manufacturer that d</w:t>
      </w:r>
      <w:r w:rsidR="00223073" w:rsidRPr="00B01F9E">
        <w:rPr>
          <w:rStyle w:val="normaltextrun"/>
          <w:rFonts w:ascii="Arial" w:hAnsi="Arial" w:cs="Arial"/>
          <w:color w:val="000000"/>
          <w:sz w:val="20"/>
          <w:szCs w:val="20"/>
          <w:shd w:val="clear" w:color="auto" w:fill="FFFFFF"/>
        </w:rPr>
        <w:t>id</w:t>
      </w:r>
      <w:r w:rsidRPr="00B01F9E">
        <w:rPr>
          <w:rStyle w:val="normaltextrun"/>
          <w:rFonts w:ascii="Arial" w:hAnsi="Arial" w:cs="Arial"/>
          <w:color w:val="000000"/>
          <w:sz w:val="20"/>
          <w:szCs w:val="20"/>
          <w:shd w:val="clear" w:color="auto" w:fill="FFFFFF"/>
        </w:rPr>
        <w:t xml:space="preserve"> not participate in the LIVD program. However, the Duke Raleigh Laboratory operate</w:t>
      </w:r>
      <w:r w:rsidR="00223073" w:rsidRPr="00B01F9E">
        <w:rPr>
          <w:rStyle w:val="normaltextrun"/>
          <w:rFonts w:ascii="Arial" w:hAnsi="Arial" w:cs="Arial"/>
          <w:color w:val="000000"/>
          <w:sz w:val="20"/>
          <w:szCs w:val="20"/>
          <w:shd w:val="clear" w:color="auto" w:fill="FFFFFF"/>
        </w:rPr>
        <w:t>d</w:t>
      </w:r>
      <w:r w:rsidRPr="00B01F9E">
        <w:rPr>
          <w:rStyle w:val="normaltextrun"/>
          <w:rFonts w:ascii="Arial" w:hAnsi="Arial" w:cs="Arial"/>
          <w:color w:val="000000"/>
          <w:sz w:val="20"/>
          <w:szCs w:val="20"/>
          <w:shd w:val="clear" w:color="auto" w:fill="FFFFFF"/>
        </w:rPr>
        <w:t xml:space="preserve"> the </w:t>
      </w:r>
      <w:proofErr w:type="spellStart"/>
      <w:r w:rsidRPr="00B01F9E">
        <w:rPr>
          <w:rStyle w:val="normaltextrun"/>
          <w:rFonts w:ascii="Arial" w:hAnsi="Arial" w:cs="Arial"/>
          <w:color w:val="000000"/>
          <w:sz w:val="20"/>
          <w:szCs w:val="20"/>
          <w:shd w:val="clear" w:color="auto" w:fill="FFFFFF"/>
        </w:rPr>
        <w:t>BioFire</w:t>
      </w:r>
      <w:proofErr w:type="spellEnd"/>
      <w:r w:rsidRPr="00B01F9E">
        <w:rPr>
          <w:rStyle w:val="normaltextrun"/>
          <w:rFonts w:ascii="Arial" w:hAnsi="Arial" w:cs="Arial"/>
          <w:color w:val="000000"/>
          <w:sz w:val="20"/>
          <w:szCs w:val="20"/>
          <w:shd w:val="clear" w:color="auto" w:fill="FFFFFF"/>
        </w:rPr>
        <w:t xml:space="preserve"> Film Array and the Cepheid </w:t>
      </w:r>
      <w:proofErr w:type="spellStart"/>
      <w:r w:rsidRPr="00B01F9E">
        <w:rPr>
          <w:rStyle w:val="normaltextrun"/>
          <w:rFonts w:ascii="Arial" w:hAnsi="Arial" w:cs="Arial"/>
          <w:color w:val="000000"/>
          <w:sz w:val="20"/>
          <w:szCs w:val="20"/>
          <w:shd w:val="clear" w:color="auto" w:fill="FFFFFF"/>
        </w:rPr>
        <w:t>Genexpert</w:t>
      </w:r>
      <w:proofErr w:type="spellEnd"/>
      <w:r w:rsidRPr="00B01F9E">
        <w:rPr>
          <w:rStyle w:val="normaltextrun"/>
          <w:rFonts w:ascii="Arial" w:hAnsi="Arial" w:cs="Arial"/>
          <w:color w:val="000000"/>
          <w:sz w:val="20"/>
          <w:szCs w:val="20"/>
          <w:shd w:val="clear" w:color="auto" w:fill="FFFFFF"/>
        </w:rPr>
        <w:t>, which ha</w:t>
      </w:r>
      <w:r w:rsidR="00223073" w:rsidRPr="00B01F9E">
        <w:rPr>
          <w:rStyle w:val="normaltextrun"/>
          <w:rFonts w:ascii="Arial" w:hAnsi="Arial" w:cs="Arial"/>
          <w:color w:val="000000"/>
          <w:sz w:val="20"/>
          <w:szCs w:val="20"/>
          <w:shd w:val="clear" w:color="auto" w:fill="FFFFFF"/>
        </w:rPr>
        <w:t>d</w:t>
      </w:r>
      <w:r w:rsidRPr="00B01F9E">
        <w:rPr>
          <w:rStyle w:val="normaltextrun"/>
          <w:rFonts w:ascii="Arial" w:hAnsi="Arial" w:cs="Arial"/>
          <w:color w:val="000000"/>
          <w:sz w:val="20"/>
          <w:szCs w:val="20"/>
          <w:shd w:val="clear" w:color="auto" w:fill="FFFFFF"/>
        </w:rPr>
        <w:t xml:space="preserve"> available LIVD files for specific tests (</w:t>
      </w:r>
      <w:r w:rsidR="00352AEB" w:rsidRPr="00B01F9E">
        <w:rPr>
          <w:rStyle w:val="normaltextrun"/>
          <w:rFonts w:ascii="Arial" w:hAnsi="Arial" w:cs="Arial"/>
          <w:color w:val="000000"/>
          <w:sz w:val="20"/>
          <w:szCs w:val="20"/>
          <w:shd w:val="clear" w:color="auto" w:fill="FFFFFF"/>
        </w:rPr>
        <w:t>r</w:t>
      </w:r>
      <w:r w:rsidRPr="00B01F9E">
        <w:rPr>
          <w:rStyle w:val="normaltextrun"/>
          <w:rFonts w:ascii="Arial" w:hAnsi="Arial" w:cs="Arial"/>
          <w:color w:val="000000"/>
          <w:sz w:val="20"/>
          <w:szCs w:val="20"/>
          <w:shd w:val="clear" w:color="auto" w:fill="FFFFFF"/>
        </w:rPr>
        <w:t xml:space="preserve">espiratory </w:t>
      </w:r>
      <w:r w:rsidR="00352AEB" w:rsidRPr="00B01F9E">
        <w:rPr>
          <w:rStyle w:val="normaltextrun"/>
          <w:rFonts w:ascii="Arial" w:hAnsi="Arial" w:cs="Arial"/>
          <w:color w:val="000000"/>
          <w:sz w:val="20"/>
          <w:szCs w:val="20"/>
          <w:shd w:val="clear" w:color="auto" w:fill="FFFFFF"/>
        </w:rPr>
        <w:t>v</w:t>
      </w:r>
      <w:r w:rsidRPr="00B01F9E">
        <w:rPr>
          <w:rStyle w:val="normaltextrun"/>
          <w:rFonts w:ascii="Arial" w:hAnsi="Arial" w:cs="Arial"/>
          <w:color w:val="000000"/>
          <w:sz w:val="20"/>
          <w:szCs w:val="20"/>
          <w:shd w:val="clear" w:color="auto" w:fill="FFFFFF"/>
        </w:rPr>
        <w:t xml:space="preserve">iral </w:t>
      </w:r>
      <w:r w:rsidR="00352AEB" w:rsidRPr="00B01F9E">
        <w:rPr>
          <w:rStyle w:val="normaltextrun"/>
          <w:rFonts w:ascii="Arial" w:hAnsi="Arial" w:cs="Arial"/>
          <w:color w:val="000000"/>
          <w:sz w:val="20"/>
          <w:szCs w:val="20"/>
          <w:shd w:val="clear" w:color="auto" w:fill="FFFFFF"/>
        </w:rPr>
        <w:t>p</w:t>
      </w:r>
      <w:r w:rsidRPr="00B01F9E">
        <w:rPr>
          <w:rStyle w:val="normaltextrun"/>
          <w:rFonts w:ascii="Arial" w:hAnsi="Arial" w:cs="Arial"/>
          <w:color w:val="000000"/>
          <w:sz w:val="20"/>
          <w:szCs w:val="20"/>
          <w:shd w:val="clear" w:color="auto" w:fill="FFFFFF"/>
        </w:rPr>
        <w:t xml:space="preserve">anel and </w:t>
      </w:r>
      <w:r w:rsidR="00352AEB" w:rsidRPr="00B01F9E">
        <w:rPr>
          <w:rStyle w:val="normaltextrun"/>
          <w:rFonts w:ascii="Arial" w:hAnsi="Arial" w:cs="Arial"/>
          <w:color w:val="000000"/>
          <w:sz w:val="20"/>
          <w:szCs w:val="20"/>
          <w:shd w:val="clear" w:color="auto" w:fill="FFFFFF"/>
        </w:rPr>
        <w:t>b</w:t>
      </w:r>
      <w:r w:rsidRPr="00B01F9E">
        <w:rPr>
          <w:rStyle w:val="normaltextrun"/>
          <w:rFonts w:ascii="Arial" w:hAnsi="Arial" w:cs="Arial"/>
          <w:color w:val="000000"/>
          <w:sz w:val="20"/>
          <w:szCs w:val="20"/>
          <w:shd w:val="clear" w:color="auto" w:fill="FFFFFF"/>
        </w:rPr>
        <w:t xml:space="preserve">lood </w:t>
      </w:r>
      <w:r w:rsidR="00352AEB" w:rsidRPr="00B01F9E">
        <w:rPr>
          <w:rStyle w:val="normaltextrun"/>
          <w:rFonts w:ascii="Arial" w:hAnsi="Arial" w:cs="Arial"/>
          <w:color w:val="000000"/>
          <w:sz w:val="20"/>
          <w:szCs w:val="20"/>
          <w:shd w:val="clear" w:color="auto" w:fill="FFFFFF"/>
        </w:rPr>
        <w:t>c</w:t>
      </w:r>
      <w:r w:rsidRPr="00B01F9E">
        <w:rPr>
          <w:rStyle w:val="normaltextrun"/>
          <w:rFonts w:ascii="Arial" w:hAnsi="Arial" w:cs="Arial"/>
          <w:color w:val="000000"/>
          <w:sz w:val="20"/>
          <w:szCs w:val="20"/>
          <w:shd w:val="clear" w:color="auto" w:fill="FFFFFF"/>
        </w:rPr>
        <w:t xml:space="preserve">ulture </w:t>
      </w:r>
      <w:r w:rsidR="00352AEB" w:rsidRPr="00B01F9E">
        <w:rPr>
          <w:rStyle w:val="normaltextrun"/>
          <w:rFonts w:ascii="Arial" w:hAnsi="Arial" w:cs="Arial"/>
          <w:color w:val="000000"/>
          <w:sz w:val="20"/>
          <w:szCs w:val="20"/>
          <w:shd w:val="clear" w:color="auto" w:fill="FFFFFF"/>
        </w:rPr>
        <w:t>o</w:t>
      </w:r>
      <w:r w:rsidRPr="00B01F9E">
        <w:rPr>
          <w:rStyle w:val="normaltextrun"/>
          <w:rFonts w:ascii="Arial" w:hAnsi="Arial" w:cs="Arial"/>
          <w:color w:val="000000"/>
          <w:sz w:val="20"/>
          <w:szCs w:val="20"/>
          <w:shd w:val="clear" w:color="auto" w:fill="FFFFFF"/>
        </w:rPr>
        <w:t xml:space="preserve">rganism </w:t>
      </w:r>
      <w:r w:rsidR="00352AEB" w:rsidRPr="00B01F9E">
        <w:rPr>
          <w:rStyle w:val="normaltextrun"/>
          <w:rFonts w:ascii="Arial" w:hAnsi="Arial" w:cs="Arial"/>
          <w:color w:val="000000"/>
          <w:sz w:val="20"/>
          <w:szCs w:val="20"/>
          <w:shd w:val="clear" w:color="auto" w:fill="FFFFFF"/>
        </w:rPr>
        <w:t>i</w:t>
      </w:r>
      <w:r w:rsidRPr="00B01F9E">
        <w:rPr>
          <w:rStyle w:val="normaltextrun"/>
          <w:rFonts w:ascii="Arial" w:hAnsi="Arial" w:cs="Arial"/>
          <w:color w:val="000000"/>
          <w:sz w:val="20"/>
          <w:szCs w:val="20"/>
          <w:shd w:val="clear" w:color="auto" w:fill="FFFFFF"/>
        </w:rPr>
        <w:t>dentification). These files provide</w:t>
      </w:r>
      <w:r w:rsidR="007F3193" w:rsidRPr="00B01F9E">
        <w:rPr>
          <w:rStyle w:val="normaltextrun"/>
          <w:rFonts w:ascii="Arial" w:hAnsi="Arial" w:cs="Arial"/>
          <w:color w:val="000000"/>
          <w:sz w:val="20"/>
          <w:szCs w:val="20"/>
          <w:shd w:val="clear" w:color="auto" w:fill="FFFFFF"/>
        </w:rPr>
        <w:t>d</w:t>
      </w:r>
      <w:r w:rsidRPr="00B01F9E">
        <w:rPr>
          <w:rStyle w:val="normaltextrun"/>
          <w:rFonts w:ascii="Arial" w:hAnsi="Arial" w:cs="Arial"/>
          <w:color w:val="000000"/>
          <w:sz w:val="20"/>
          <w:szCs w:val="20"/>
          <w:shd w:val="clear" w:color="auto" w:fill="FFFFFF"/>
        </w:rPr>
        <w:t xml:space="preserve"> a foundation for some of the LIDR elements. </w:t>
      </w:r>
    </w:p>
    <w:p w14:paraId="58169DFA" w14:textId="7A28C2B9" w:rsidR="006A7F2A" w:rsidRPr="00B01F9E" w:rsidRDefault="001E6C51" w:rsidP="00E16076">
      <w:pPr>
        <w:spacing w:after="120"/>
        <w:rPr>
          <w:rStyle w:val="eop"/>
          <w:rFonts w:ascii="Arial" w:hAnsi="Arial" w:cs="Arial"/>
          <w:color w:val="000000"/>
          <w:sz w:val="20"/>
          <w:szCs w:val="20"/>
          <w:shd w:val="clear" w:color="auto" w:fill="FFFFFF"/>
        </w:rPr>
      </w:pPr>
      <w:r w:rsidRPr="00B01F9E">
        <w:rPr>
          <w:rStyle w:val="normaltextrun"/>
          <w:rFonts w:ascii="Arial" w:hAnsi="Arial" w:cs="Arial"/>
          <w:color w:val="000000"/>
          <w:sz w:val="20"/>
          <w:szCs w:val="20"/>
          <w:shd w:val="clear" w:color="auto" w:fill="FFFFFF"/>
        </w:rPr>
        <w:t xml:space="preserve">The team referenced </w:t>
      </w:r>
      <w:r w:rsidR="00A07F32" w:rsidRPr="00B01F9E">
        <w:rPr>
          <w:rStyle w:val="normaltextrun"/>
          <w:rFonts w:ascii="Arial" w:hAnsi="Arial" w:cs="Arial"/>
          <w:color w:val="000000"/>
          <w:sz w:val="20"/>
          <w:szCs w:val="20"/>
          <w:shd w:val="clear" w:color="auto" w:fill="FFFFFF"/>
        </w:rPr>
        <w:t xml:space="preserve">IVD </w:t>
      </w:r>
      <w:r w:rsidR="00A0714E" w:rsidRPr="00B01F9E">
        <w:rPr>
          <w:rStyle w:val="normaltextrun"/>
          <w:rFonts w:ascii="Arial" w:hAnsi="Arial" w:cs="Arial"/>
          <w:color w:val="000000"/>
          <w:sz w:val="20"/>
          <w:szCs w:val="20"/>
          <w:shd w:val="clear" w:color="auto" w:fill="FFFFFF"/>
        </w:rPr>
        <w:t>v</w:t>
      </w:r>
      <w:r w:rsidR="00A07F32" w:rsidRPr="00B01F9E">
        <w:rPr>
          <w:rStyle w:val="normaltextrun"/>
          <w:rFonts w:ascii="Arial" w:hAnsi="Arial" w:cs="Arial"/>
          <w:color w:val="000000"/>
          <w:sz w:val="20"/>
          <w:szCs w:val="20"/>
          <w:shd w:val="clear" w:color="auto" w:fill="FFFFFF"/>
        </w:rPr>
        <w:t>endor w</w:t>
      </w:r>
      <w:r w:rsidR="0042537C" w:rsidRPr="00B01F9E">
        <w:rPr>
          <w:rStyle w:val="normaltextrun"/>
          <w:rFonts w:ascii="Arial" w:hAnsi="Arial" w:cs="Arial"/>
          <w:color w:val="000000"/>
          <w:sz w:val="20"/>
          <w:szCs w:val="20"/>
          <w:shd w:val="clear" w:color="auto" w:fill="FFFFFF"/>
        </w:rPr>
        <w:t>ebsites, package inserts, and applicable test menus for the various instruments to conduct further research on the methodology. Upon identification of the methods and tests, SearchLOINC</w:t>
      </w:r>
      <w:r w:rsidR="004767B4" w:rsidRPr="00B01F9E">
        <w:rPr>
          <w:rStyle w:val="normaltextrun"/>
          <w:rFonts w:ascii="Arial" w:hAnsi="Arial" w:cs="Arial"/>
          <w:color w:val="000000"/>
          <w:sz w:val="20"/>
          <w:szCs w:val="20"/>
          <w:shd w:val="clear" w:color="auto" w:fill="FFFFFF"/>
        </w:rPr>
        <w:t>,</w:t>
      </w:r>
      <w:r w:rsidR="00921E92" w:rsidRPr="00B01F9E">
        <w:rPr>
          <w:rStyle w:val="normaltextrun"/>
          <w:rFonts w:ascii="Arial" w:hAnsi="Arial" w:cs="Arial"/>
          <w:color w:val="000000"/>
          <w:sz w:val="20"/>
          <w:szCs w:val="20"/>
          <w:shd w:val="clear" w:color="auto" w:fill="FFFFFF"/>
          <w:vertAlign w:val="superscript"/>
        </w:rPr>
        <w:t>2</w:t>
      </w:r>
      <w:r w:rsidR="0042537C" w:rsidRPr="00B01F9E">
        <w:rPr>
          <w:rStyle w:val="normaltextrun"/>
          <w:rFonts w:ascii="Arial" w:hAnsi="Arial" w:cs="Arial"/>
          <w:color w:val="000000"/>
          <w:sz w:val="20"/>
          <w:szCs w:val="20"/>
          <w:shd w:val="clear" w:color="auto" w:fill="FFFFFF"/>
        </w:rPr>
        <w:t xml:space="preserve"> SNOMED CT Browser tools</w:t>
      </w:r>
      <w:r w:rsidR="004767B4" w:rsidRPr="00B01F9E">
        <w:rPr>
          <w:rStyle w:val="normaltextrun"/>
          <w:rFonts w:ascii="Arial" w:hAnsi="Arial" w:cs="Arial"/>
          <w:color w:val="000000"/>
          <w:sz w:val="20"/>
          <w:szCs w:val="20"/>
          <w:shd w:val="clear" w:color="auto" w:fill="FFFFFF"/>
        </w:rPr>
        <w:t>,</w:t>
      </w:r>
      <w:r w:rsidR="00921E92" w:rsidRPr="00B01F9E">
        <w:rPr>
          <w:rStyle w:val="normaltextrun"/>
          <w:rFonts w:ascii="Arial" w:hAnsi="Arial" w:cs="Arial"/>
          <w:color w:val="000000"/>
          <w:sz w:val="20"/>
          <w:szCs w:val="20"/>
          <w:shd w:val="clear" w:color="auto" w:fill="FFFFFF"/>
          <w:vertAlign w:val="superscript"/>
        </w:rPr>
        <w:t>3</w:t>
      </w:r>
      <w:r w:rsidR="0042537C" w:rsidRPr="00B01F9E">
        <w:rPr>
          <w:rStyle w:val="normaltextrun"/>
          <w:rFonts w:ascii="Arial" w:hAnsi="Arial" w:cs="Arial"/>
          <w:color w:val="000000"/>
          <w:sz w:val="20"/>
          <w:szCs w:val="20"/>
          <w:shd w:val="clear" w:color="auto" w:fill="FFFFFF"/>
        </w:rPr>
        <w:t xml:space="preserve"> and the Global Unique Device Identification Database (GUDID)</w:t>
      </w:r>
      <w:bookmarkStart w:id="15" w:name="_Ref175766295"/>
      <w:r w:rsidR="00921E92" w:rsidRPr="00B01F9E">
        <w:rPr>
          <w:rStyle w:val="normaltextrun"/>
          <w:rFonts w:ascii="Arial" w:hAnsi="Arial" w:cs="Arial"/>
          <w:color w:val="000000"/>
          <w:sz w:val="20"/>
          <w:szCs w:val="20"/>
          <w:shd w:val="clear" w:color="auto" w:fill="FFFFFF"/>
          <w:vertAlign w:val="superscript"/>
        </w:rPr>
        <w:t>4</w:t>
      </w:r>
      <w:bookmarkEnd w:id="15"/>
      <w:r w:rsidR="0042537C" w:rsidRPr="00B01F9E">
        <w:rPr>
          <w:rStyle w:val="normaltextrun"/>
          <w:rFonts w:ascii="Arial" w:hAnsi="Arial" w:cs="Arial"/>
          <w:color w:val="000000"/>
          <w:sz w:val="20"/>
          <w:szCs w:val="20"/>
          <w:shd w:val="clear" w:color="auto" w:fill="FFFFFF"/>
        </w:rPr>
        <w:t xml:space="preserve"> were leveraged to develop the LIDR file. Challenges with this approach included identifying the kit and UDI and defining them in the correct format.</w:t>
      </w:r>
      <w:r w:rsidR="0042537C" w:rsidRPr="00B01F9E">
        <w:rPr>
          <w:rStyle w:val="eop"/>
          <w:rFonts w:ascii="Arial" w:hAnsi="Arial" w:cs="Arial"/>
          <w:color w:val="000000"/>
          <w:sz w:val="20"/>
          <w:szCs w:val="20"/>
          <w:shd w:val="clear" w:color="auto" w:fill="FFFFFF"/>
        </w:rPr>
        <w:t> </w:t>
      </w:r>
    </w:p>
    <w:p w14:paraId="2BB54BCE" w14:textId="689F807B" w:rsidR="0042537C" w:rsidRPr="00B01F9E" w:rsidRDefault="0042537C" w:rsidP="00E16076">
      <w:pPr>
        <w:spacing w:after="120"/>
        <w:rPr>
          <w:rStyle w:val="eop"/>
          <w:rFonts w:ascii="Arial" w:hAnsi="Arial" w:cs="Arial"/>
          <w:b/>
          <w:bCs/>
          <w:color w:val="000000"/>
          <w:sz w:val="20"/>
          <w:szCs w:val="20"/>
          <w:shd w:val="clear" w:color="auto" w:fill="FFFFFF"/>
        </w:rPr>
      </w:pPr>
      <w:r w:rsidRPr="00B01F9E">
        <w:rPr>
          <w:rStyle w:val="eop"/>
          <w:rFonts w:ascii="Arial" w:hAnsi="Arial" w:cs="Arial"/>
          <w:b/>
          <w:bCs/>
          <w:color w:val="000000"/>
          <w:sz w:val="20"/>
          <w:szCs w:val="20"/>
          <w:shd w:val="clear" w:color="auto" w:fill="FFFFFF"/>
        </w:rPr>
        <w:t xml:space="preserve">Simulated LIDR File </w:t>
      </w:r>
    </w:p>
    <w:p w14:paraId="5ED14CC0" w14:textId="6150B991" w:rsidR="006A7F2A" w:rsidRPr="00B01F9E" w:rsidRDefault="00867FA8" w:rsidP="00E16076">
      <w:pPr>
        <w:spacing w:after="120"/>
        <w:rPr>
          <w:rFonts w:ascii="Arial" w:hAnsi="Arial" w:cs="Arial"/>
          <w:b/>
          <w:bCs/>
          <w:color w:val="000000"/>
          <w:sz w:val="20"/>
          <w:szCs w:val="20"/>
          <w:shd w:val="clear" w:color="auto" w:fill="FFFFFF"/>
        </w:rPr>
      </w:pPr>
      <w:r w:rsidRPr="00B01F9E">
        <w:rPr>
          <w:rStyle w:val="normaltextrun"/>
          <w:rFonts w:ascii="Arial" w:hAnsi="Arial" w:cs="Arial"/>
          <w:color w:val="000000"/>
          <w:sz w:val="20"/>
          <w:szCs w:val="20"/>
          <w:shd w:val="clear" w:color="auto" w:fill="FFFFFF"/>
        </w:rPr>
        <w:t xml:space="preserve">Refer to Figure </w:t>
      </w:r>
      <w:r w:rsidR="00E120AA" w:rsidRPr="00B01F9E">
        <w:rPr>
          <w:rStyle w:val="normaltextrun"/>
          <w:rFonts w:ascii="Arial" w:hAnsi="Arial" w:cs="Arial"/>
          <w:color w:val="000000"/>
          <w:sz w:val="20"/>
          <w:szCs w:val="20"/>
          <w:shd w:val="clear" w:color="auto" w:fill="FFFFFF"/>
        </w:rPr>
        <w:t>5</w:t>
      </w:r>
      <w:r w:rsidRPr="00B01F9E">
        <w:rPr>
          <w:rStyle w:val="normaltextrun"/>
          <w:rFonts w:ascii="Arial" w:hAnsi="Arial" w:cs="Arial"/>
          <w:color w:val="000000"/>
          <w:sz w:val="20"/>
          <w:szCs w:val="20"/>
          <w:shd w:val="clear" w:color="auto" w:fill="FFFFFF"/>
        </w:rPr>
        <w:t xml:space="preserve"> for a section of the simulated LIDR file. The full file is included alongside this document submission. To access, please refer to</w:t>
      </w:r>
      <w:r w:rsidR="00D849FB" w:rsidRPr="00B01F9E">
        <w:rPr>
          <w:rStyle w:val="normaltextrun"/>
          <w:rFonts w:ascii="Arial" w:hAnsi="Arial" w:cs="Arial"/>
          <w:color w:val="000000"/>
          <w:sz w:val="20"/>
          <w:szCs w:val="20"/>
          <w:shd w:val="clear" w:color="auto" w:fill="FFFFFF"/>
        </w:rPr>
        <w:t xml:space="preserve"> </w:t>
      </w:r>
      <w:hyperlink w:anchor="_7.3.1_Proof_of" w:history="1">
        <w:r w:rsidR="00D849FB" w:rsidRPr="00B01F9E">
          <w:rPr>
            <w:rStyle w:val="Hyperlink"/>
            <w:rFonts w:ascii="Arial" w:hAnsi="Arial" w:cs="Arial"/>
            <w:sz w:val="20"/>
            <w:szCs w:val="20"/>
            <w:shd w:val="clear" w:color="auto" w:fill="FFFFFF"/>
          </w:rPr>
          <w:t xml:space="preserve">Section </w:t>
        </w:r>
        <w:r w:rsidR="008A5BFD" w:rsidRPr="00B01F9E">
          <w:rPr>
            <w:rStyle w:val="Hyperlink"/>
            <w:rFonts w:ascii="Arial" w:hAnsi="Arial" w:cs="Arial"/>
            <w:sz w:val="20"/>
            <w:szCs w:val="20"/>
            <w:shd w:val="clear" w:color="auto" w:fill="FFFFFF"/>
          </w:rPr>
          <w:t>7</w:t>
        </w:r>
        <w:r w:rsidR="00D663FC" w:rsidRPr="00B01F9E">
          <w:rPr>
            <w:rStyle w:val="Hyperlink"/>
            <w:rFonts w:ascii="Arial" w:hAnsi="Arial" w:cs="Arial"/>
            <w:sz w:val="20"/>
            <w:szCs w:val="20"/>
            <w:shd w:val="clear" w:color="auto" w:fill="FFFFFF"/>
          </w:rPr>
          <w:t>.</w:t>
        </w:r>
        <w:r w:rsidR="00304EA1" w:rsidRPr="00B01F9E">
          <w:rPr>
            <w:rStyle w:val="Hyperlink"/>
            <w:rFonts w:ascii="Arial" w:hAnsi="Arial" w:cs="Arial"/>
            <w:sz w:val="20"/>
            <w:szCs w:val="20"/>
            <w:shd w:val="clear" w:color="auto" w:fill="FFFFFF"/>
          </w:rPr>
          <w:t>3</w:t>
        </w:r>
        <w:r w:rsidR="00D663FC" w:rsidRPr="00B01F9E">
          <w:rPr>
            <w:rStyle w:val="Hyperlink"/>
            <w:rFonts w:ascii="Arial" w:hAnsi="Arial" w:cs="Arial"/>
            <w:sz w:val="20"/>
            <w:szCs w:val="20"/>
            <w:shd w:val="clear" w:color="auto" w:fill="FFFFFF"/>
          </w:rPr>
          <w:t>.</w:t>
        </w:r>
        <w:r w:rsidR="00304EA1" w:rsidRPr="00B01F9E">
          <w:rPr>
            <w:rStyle w:val="Hyperlink"/>
            <w:rFonts w:ascii="Arial" w:hAnsi="Arial" w:cs="Arial"/>
            <w:sz w:val="20"/>
            <w:szCs w:val="20"/>
            <w:shd w:val="clear" w:color="auto" w:fill="FFFFFF"/>
          </w:rPr>
          <w:t>1</w:t>
        </w:r>
      </w:hyperlink>
      <w:r w:rsidRPr="00B01F9E">
        <w:rPr>
          <w:rStyle w:val="normaltextrun"/>
          <w:rFonts w:ascii="Arial" w:hAnsi="Arial" w:cs="Arial"/>
          <w:color w:val="000000"/>
          <w:sz w:val="20"/>
          <w:szCs w:val="20"/>
          <w:shd w:val="clear" w:color="auto" w:fill="FFFFFF"/>
        </w:rPr>
        <w:t xml:space="preserve">. Note: The harmonization indicator and specimen disposition elements </w:t>
      </w:r>
      <w:r w:rsidR="003E48AF" w:rsidRPr="00B01F9E">
        <w:rPr>
          <w:rStyle w:val="normaltextrun"/>
          <w:rFonts w:ascii="Arial" w:hAnsi="Arial" w:cs="Arial"/>
          <w:color w:val="000000"/>
          <w:sz w:val="20"/>
          <w:szCs w:val="20"/>
          <w:shd w:val="clear" w:color="auto" w:fill="FFFFFF"/>
        </w:rPr>
        <w:t xml:space="preserve">were </w:t>
      </w:r>
      <w:r w:rsidRPr="00B01F9E">
        <w:rPr>
          <w:rStyle w:val="normaltextrun"/>
          <w:rFonts w:ascii="Arial" w:hAnsi="Arial" w:cs="Arial"/>
          <w:color w:val="000000"/>
          <w:sz w:val="20"/>
          <w:szCs w:val="20"/>
          <w:shd w:val="clear" w:color="auto" w:fill="FFFFFF"/>
        </w:rPr>
        <w:t>not used for the POC as they are currently not developed.</w:t>
      </w:r>
      <w:r w:rsidRPr="00B01F9E">
        <w:rPr>
          <w:rStyle w:val="eop"/>
          <w:rFonts w:ascii="Arial" w:hAnsi="Arial" w:cs="Arial"/>
          <w:color w:val="000000"/>
          <w:sz w:val="20"/>
          <w:szCs w:val="20"/>
          <w:shd w:val="clear" w:color="auto" w:fill="FFFFFF"/>
        </w:rPr>
        <w:t> </w:t>
      </w:r>
    </w:p>
    <w:p w14:paraId="3F626435" w14:textId="77777777" w:rsidR="00675902" w:rsidRPr="00B01F9E" w:rsidRDefault="00675902">
      <w:pPr>
        <w:rPr>
          <w:rStyle w:val="normaltextrun"/>
          <w:rFonts w:ascii="Arial" w:hAnsi="Arial" w:cs="Arial"/>
          <w:b/>
          <w:bCs/>
          <w:color w:val="009BBF"/>
          <w:sz w:val="20"/>
          <w:szCs w:val="20"/>
          <w:shd w:val="clear" w:color="auto" w:fill="FFFFFF"/>
        </w:rPr>
      </w:pPr>
      <w:r w:rsidRPr="00B01F9E">
        <w:rPr>
          <w:rStyle w:val="normaltextrun"/>
          <w:rFonts w:ascii="Arial" w:hAnsi="Arial" w:cs="Arial"/>
          <w:b/>
          <w:bCs/>
          <w:color w:val="009BBF"/>
          <w:sz w:val="20"/>
          <w:szCs w:val="20"/>
          <w:shd w:val="clear" w:color="auto" w:fill="FFFFFF"/>
        </w:rPr>
        <w:br w:type="page"/>
      </w:r>
    </w:p>
    <w:p w14:paraId="7E9A19FD" w14:textId="77777777" w:rsidR="001652A8" w:rsidRPr="00B01F9E" w:rsidRDefault="001652A8" w:rsidP="006A7F2A">
      <w:pPr>
        <w:rPr>
          <w:rStyle w:val="normaltextrun"/>
          <w:rFonts w:ascii="Arial" w:hAnsi="Arial" w:cs="Arial"/>
          <w:b/>
          <w:bCs/>
          <w:color w:val="009BBF"/>
          <w:sz w:val="20"/>
          <w:szCs w:val="20"/>
          <w:shd w:val="clear" w:color="auto" w:fill="FFFFFF"/>
        </w:rPr>
        <w:sectPr w:rsidR="001652A8" w:rsidRPr="00B01F9E" w:rsidSect="004043EB">
          <w:headerReference w:type="default" r:id="rId25"/>
          <w:footerReference w:type="default" r:id="rId26"/>
          <w:pgSz w:w="12240" w:h="15840"/>
          <w:pgMar w:top="1440" w:right="1440" w:bottom="1440" w:left="1440" w:header="0" w:footer="720" w:gutter="0"/>
          <w:cols w:space="720"/>
          <w:docGrid w:linePitch="360"/>
        </w:sectPr>
      </w:pPr>
    </w:p>
    <w:p w14:paraId="0D700454" w14:textId="670BFA30" w:rsidR="00AA4945" w:rsidRPr="00B01F9E" w:rsidRDefault="00EE47E1" w:rsidP="00C81E30">
      <w:pPr>
        <w:spacing w:after="0"/>
        <w:ind w:left="-576"/>
        <w:rPr>
          <w:rStyle w:val="normaltextrun"/>
          <w:rFonts w:ascii="Arial" w:hAnsi="Arial" w:cs="Arial"/>
          <w:b/>
          <w:bCs/>
          <w:color w:val="009BBF"/>
          <w:sz w:val="20"/>
          <w:szCs w:val="20"/>
          <w:shd w:val="clear" w:color="auto" w:fill="FFFFFF"/>
        </w:rPr>
      </w:pPr>
      <w:r w:rsidRPr="00B01F9E">
        <w:rPr>
          <w:rStyle w:val="normaltextrun"/>
          <w:rFonts w:ascii="Arial" w:hAnsi="Arial" w:cs="Arial"/>
          <w:b/>
          <w:bCs/>
          <w:color w:val="009BBF"/>
          <w:sz w:val="20"/>
          <w:szCs w:val="20"/>
          <w:shd w:val="clear" w:color="auto" w:fill="FFFFFF"/>
        </w:rPr>
        <w:lastRenderedPageBreak/>
        <w:t xml:space="preserve">Figure </w:t>
      </w:r>
      <w:r w:rsidR="00E120AA" w:rsidRPr="00B01F9E">
        <w:rPr>
          <w:rStyle w:val="normaltextrun"/>
          <w:rFonts w:ascii="Arial" w:hAnsi="Arial" w:cs="Arial"/>
          <w:b/>
          <w:bCs/>
          <w:color w:val="009BBF"/>
          <w:sz w:val="20"/>
          <w:szCs w:val="20"/>
          <w:shd w:val="clear" w:color="auto" w:fill="FFFFFF"/>
        </w:rPr>
        <w:t xml:space="preserve">5: </w:t>
      </w:r>
      <w:r w:rsidRPr="00B01F9E">
        <w:rPr>
          <w:rStyle w:val="normaltextrun"/>
          <w:rFonts w:ascii="Arial" w:hAnsi="Arial" w:cs="Arial"/>
          <w:b/>
          <w:bCs/>
          <w:color w:val="009BBF"/>
          <w:sz w:val="20"/>
          <w:szCs w:val="20"/>
          <w:shd w:val="clear" w:color="auto" w:fill="FFFFFF"/>
        </w:rPr>
        <w:t>Simulated LIDR File</w:t>
      </w:r>
    </w:p>
    <w:bookmarkStart w:id="16" w:name="_MON_1788329180"/>
    <w:bookmarkEnd w:id="16"/>
    <w:p w14:paraId="21E591D4" w14:textId="15E8E0F8" w:rsidR="00034F8F" w:rsidRPr="00B01F9E" w:rsidRDefault="00864271" w:rsidP="00C5319E">
      <w:pPr>
        <w:ind w:left="-576"/>
        <w:rPr>
          <w:rStyle w:val="normaltextrun"/>
          <w:rFonts w:ascii="Arial" w:hAnsi="Arial" w:cs="Arial"/>
          <w:b/>
          <w:bCs/>
          <w:color w:val="4BACC6"/>
          <w:sz w:val="20"/>
          <w:szCs w:val="20"/>
          <w:shd w:val="clear" w:color="auto" w:fill="FFFFFF"/>
        </w:rPr>
      </w:pPr>
      <w:r w:rsidRPr="00B01F9E">
        <w:rPr>
          <w:rFonts w:ascii="Arial" w:eastAsia="Aptos" w:hAnsi="Arial" w:cs="Arial"/>
          <w:b/>
          <w:bCs/>
          <w:color w:val="4BACC6"/>
          <w:kern w:val="2"/>
          <w:sz w:val="20"/>
          <w:szCs w:val="20"/>
          <w:shd w:val="clear" w:color="auto" w:fill="FFFFFF"/>
          <w14:ligatures w14:val="standardContextual"/>
        </w:rPr>
        <w:object w:dxaOrig="15240" w:dyaOrig="7612" w14:anchorId="0BB3ED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in;height:345.6pt" o:ole="">
            <v:imagedata r:id="rId27" o:title=""/>
          </v:shape>
          <o:OLEObject Type="Embed" ProgID="Excel.Sheet.12" ShapeID="_x0000_i1025" DrawAspect="Content" ObjectID="_1788846377" r:id="rId28"/>
        </w:object>
      </w:r>
    </w:p>
    <w:p w14:paraId="41ED4D5A" w14:textId="77777777" w:rsidR="00147AB4" w:rsidRPr="00B01F9E" w:rsidRDefault="00147AB4" w:rsidP="00C83847">
      <w:pPr>
        <w:spacing w:after="120"/>
        <w:rPr>
          <w:rStyle w:val="normaltextrun"/>
          <w:rFonts w:ascii="Arial" w:hAnsi="Arial" w:cs="Arial"/>
          <w:b/>
          <w:bCs/>
          <w:sz w:val="20"/>
          <w:szCs w:val="20"/>
          <w:shd w:val="clear" w:color="auto" w:fill="FFFFFF"/>
        </w:rPr>
        <w:sectPr w:rsidR="00147AB4" w:rsidRPr="00B01F9E" w:rsidSect="00147AB4">
          <w:headerReference w:type="default" r:id="rId29"/>
          <w:footerReference w:type="default" r:id="rId30"/>
          <w:pgSz w:w="15840" w:h="12240" w:orient="landscape"/>
          <w:pgMar w:top="1440" w:right="1440" w:bottom="1440" w:left="1440" w:header="0" w:footer="720" w:gutter="0"/>
          <w:cols w:space="720"/>
          <w:docGrid w:linePitch="360"/>
        </w:sectPr>
      </w:pPr>
    </w:p>
    <w:p w14:paraId="5E28CA4F" w14:textId="4B329016" w:rsidR="00EE47E1" w:rsidRPr="00B01F9E" w:rsidRDefault="00034F8F" w:rsidP="00C83847">
      <w:pPr>
        <w:spacing w:after="120"/>
        <w:rPr>
          <w:rStyle w:val="eop"/>
          <w:rFonts w:ascii="Arial" w:hAnsi="Arial" w:cs="Arial"/>
          <w:color w:val="4BACC6"/>
          <w:sz w:val="20"/>
          <w:szCs w:val="20"/>
          <w:shd w:val="clear" w:color="auto" w:fill="FFFFFF"/>
        </w:rPr>
      </w:pPr>
      <w:r w:rsidRPr="00B01F9E">
        <w:rPr>
          <w:rStyle w:val="normaltextrun"/>
          <w:rFonts w:ascii="Arial" w:hAnsi="Arial" w:cs="Arial"/>
          <w:b/>
          <w:bCs/>
          <w:sz w:val="20"/>
          <w:szCs w:val="20"/>
          <w:shd w:val="clear" w:color="auto" w:fill="FFFFFF"/>
        </w:rPr>
        <w:lastRenderedPageBreak/>
        <w:t xml:space="preserve">Instructions for Encoding the Tests with LIDR </w:t>
      </w:r>
      <w:r w:rsidR="00EE47E1" w:rsidRPr="00B01F9E">
        <w:rPr>
          <w:rStyle w:val="normaltextrun"/>
          <w:rFonts w:ascii="Arial" w:hAnsi="Arial" w:cs="Arial"/>
          <w:b/>
          <w:bCs/>
          <w:color w:val="4BACC6"/>
          <w:sz w:val="20"/>
          <w:szCs w:val="20"/>
          <w:shd w:val="clear" w:color="auto" w:fill="FFFFFF"/>
        </w:rPr>
        <w:t> </w:t>
      </w:r>
      <w:r w:rsidR="00EE47E1" w:rsidRPr="00B01F9E">
        <w:rPr>
          <w:rStyle w:val="eop"/>
          <w:rFonts w:ascii="Arial" w:hAnsi="Arial" w:cs="Arial"/>
          <w:color w:val="4BACC6"/>
          <w:sz w:val="20"/>
          <w:szCs w:val="20"/>
          <w:shd w:val="clear" w:color="auto" w:fill="FFFFFF"/>
        </w:rPr>
        <w:t> </w:t>
      </w:r>
    </w:p>
    <w:p w14:paraId="651686DB" w14:textId="24DA4DDF" w:rsidR="00BB42DA" w:rsidRPr="00B01F9E" w:rsidRDefault="00BB42DA" w:rsidP="00C83847">
      <w:pPr>
        <w:pStyle w:val="ListParagraph"/>
        <w:spacing w:after="120" w:line="240" w:lineRule="auto"/>
        <w:ind w:left="0"/>
        <w:contextualSpacing w:val="0"/>
        <w:rPr>
          <w:rFonts w:ascii="Arial" w:hAnsi="Arial" w:cs="Arial"/>
          <w:sz w:val="20"/>
          <w:szCs w:val="20"/>
        </w:rPr>
      </w:pPr>
      <w:r w:rsidRPr="00B01F9E">
        <w:rPr>
          <w:rFonts w:ascii="Arial" w:hAnsi="Arial" w:cs="Arial"/>
          <w:sz w:val="20"/>
          <w:szCs w:val="20"/>
        </w:rPr>
        <w:t>Each LIS has unique dictionaries that dictate how laboratory tests and their associated results are developed. The LIS utilized by Duke, Epic Beaker, ha</w:t>
      </w:r>
      <w:r w:rsidR="00223073" w:rsidRPr="00B01F9E">
        <w:rPr>
          <w:rFonts w:ascii="Arial" w:hAnsi="Arial" w:cs="Arial"/>
          <w:sz w:val="20"/>
          <w:szCs w:val="20"/>
        </w:rPr>
        <w:t>d</w:t>
      </w:r>
      <w:r w:rsidRPr="00B01F9E">
        <w:rPr>
          <w:rFonts w:ascii="Arial" w:hAnsi="Arial" w:cs="Arial"/>
          <w:sz w:val="20"/>
          <w:szCs w:val="20"/>
        </w:rPr>
        <w:t xml:space="preserve"> various dictionaries used to encode tests and results with the specified LIDR elements. </w:t>
      </w:r>
    </w:p>
    <w:p w14:paraId="21BDD410" w14:textId="4C218583" w:rsidR="00034F8F" w:rsidRPr="00B01F9E" w:rsidRDefault="00BB42DA" w:rsidP="00C83847">
      <w:pPr>
        <w:pStyle w:val="ListParagraph"/>
        <w:spacing w:after="120" w:line="240" w:lineRule="auto"/>
        <w:ind w:left="0"/>
        <w:contextualSpacing w:val="0"/>
        <w:rPr>
          <w:rFonts w:ascii="Arial" w:hAnsi="Arial" w:cs="Arial"/>
          <w:sz w:val="20"/>
          <w:szCs w:val="20"/>
        </w:rPr>
      </w:pPr>
      <w:r w:rsidRPr="00B01F9E">
        <w:rPr>
          <w:rFonts w:ascii="Arial" w:hAnsi="Arial" w:cs="Arial"/>
          <w:sz w:val="20"/>
          <w:szCs w:val="20"/>
        </w:rPr>
        <w:t>The following instructions have been defined for th</w:t>
      </w:r>
      <w:r w:rsidR="00223073" w:rsidRPr="00B01F9E">
        <w:rPr>
          <w:rFonts w:ascii="Arial" w:hAnsi="Arial" w:cs="Arial"/>
          <w:sz w:val="20"/>
          <w:szCs w:val="20"/>
        </w:rPr>
        <w:t>e</w:t>
      </w:r>
      <w:r w:rsidRPr="00B01F9E">
        <w:rPr>
          <w:rFonts w:ascii="Arial" w:hAnsi="Arial" w:cs="Arial"/>
          <w:sz w:val="20"/>
          <w:szCs w:val="20"/>
        </w:rPr>
        <w:t xml:space="preserve"> POC. While the instructions and nomenclature below are specific to Epic Beaker and oriented towards Beaker certified IT analysts responsible for defining the system, they </w:t>
      </w:r>
      <w:r w:rsidR="00601195" w:rsidRPr="00B01F9E">
        <w:rPr>
          <w:rFonts w:ascii="Arial" w:hAnsi="Arial" w:cs="Arial"/>
          <w:sz w:val="20"/>
          <w:szCs w:val="20"/>
        </w:rPr>
        <w:t>should</w:t>
      </w:r>
      <w:r w:rsidRPr="00B01F9E">
        <w:rPr>
          <w:rFonts w:ascii="Arial" w:hAnsi="Arial" w:cs="Arial"/>
          <w:sz w:val="20"/>
          <w:szCs w:val="20"/>
        </w:rPr>
        <w:t xml:space="preserve"> be modified for other information systems in the future. While Epic Systems Corporation (Epic) is aware of the SHIELD initiative and objectives of the POC, it has not endorsed this specific </w:t>
      </w:r>
      <w:r w:rsidR="00236D59" w:rsidRPr="00B01F9E">
        <w:rPr>
          <w:rFonts w:ascii="Arial" w:hAnsi="Arial" w:cs="Arial"/>
          <w:sz w:val="20"/>
          <w:szCs w:val="20"/>
        </w:rPr>
        <w:t>configuration</w:t>
      </w:r>
      <w:r w:rsidRPr="00B01F9E">
        <w:rPr>
          <w:rFonts w:ascii="Arial" w:hAnsi="Arial" w:cs="Arial"/>
          <w:sz w:val="20"/>
          <w:szCs w:val="20"/>
        </w:rPr>
        <w:t>.</w:t>
      </w:r>
      <w:r w:rsidR="00F95D56" w:rsidRPr="00B01F9E">
        <w:rPr>
          <w:rFonts w:ascii="Arial" w:hAnsi="Arial" w:cs="Arial"/>
          <w:sz w:val="20"/>
          <w:szCs w:val="20"/>
        </w:rPr>
        <w:t xml:space="preserve"> Epic customers can obtain access to </w:t>
      </w:r>
      <w:r w:rsidR="00EE6F59" w:rsidRPr="00B01F9E">
        <w:rPr>
          <w:rFonts w:ascii="Arial" w:hAnsi="Arial" w:cs="Arial"/>
          <w:sz w:val="20"/>
          <w:szCs w:val="20"/>
        </w:rPr>
        <w:t>more detailed</w:t>
      </w:r>
      <w:r w:rsidR="00F95D56" w:rsidRPr="00B01F9E">
        <w:rPr>
          <w:rFonts w:ascii="Arial" w:hAnsi="Arial" w:cs="Arial"/>
          <w:sz w:val="20"/>
          <w:szCs w:val="20"/>
        </w:rPr>
        <w:t xml:space="preserve"> instructions </w:t>
      </w:r>
      <w:r w:rsidR="00AE64A6" w:rsidRPr="00B01F9E">
        <w:rPr>
          <w:rFonts w:ascii="Arial" w:hAnsi="Arial" w:cs="Arial"/>
          <w:sz w:val="20"/>
          <w:szCs w:val="20"/>
        </w:rPr>
        <w:t xml:space="preserve">for implementing the LIDR codes into their test definitions by </w:t>
      </w:r>
      <w:r w:rsidR="00F95D56" w:rsidRPr="00B01F9E">
        <w:rPr>
          <w:rFonts w:ascii="Arial" w:hAnsi="Arial" w:cs="Arial"/>
          <w:sz w:val="20"/>
          <w:szCs w:val="20"/>
        </w:rPr>
        <w:t>utilizing the</w:t>
      </w:r>
      <w:r w:rsidR="00F95D56" w:rsidRPr="00B01F9E">
        <w:rPr>
          <w:rFonts w:ascii="Arial" w:eastAsia="Cambria" w:hAnsi="Arial" w:cs="Arial"/>
          <w:sz w:val="20"/>
          <w:szCs w:val="20"/>
        </w:rPr>
        <w:t xml:space="preserve"> Sherlock Checklist Template 1904. Epic customers can follow this link to make a copy that is specific their site: </w:t>
      </w:r>
      <w:hyperlink r:id="rId31" w:anchor="id=1904" w:history="1">
        <w:r w:rsidR="00706006" w:rsidRPr="00B01F9E">
          <w:rPr>
            <w:rStyle w:val="Hyperlink"/>
            <w:rFonts w:ascii="Arial" w:eastAsia="Cambria" w:hAnsi="Arial" w:cs="Arial"/>
            <w:sz w:val="20"/>
            <w:szCs w:val="20"/>
          </w:rPr>
          <w:t>Epic Sherlock Checklist Template 1904</w:t>
        </w:r>
      </w:hyperlink>
      <w:r w:rsidR="00706006" w:rsidRPr="00B01F9E">
        <w:rPr>
          <w:rFonts w:ascii="Arial" w:eastAsia="Cambria" w:hAnsi="Arial" w:cs="Arial"/>
          <w:sz w:val="20"/>
          <w:szCs w:val="20"/>
        </w:rPr>
        <w:t>.</w:t>
      </w:r>
    </w:p>
    <w:p w14:paraId="60914E02" w14:textId="12E9C0BD" w:rsidR="005414EA" w:rsidRPr="00B01F9E" w:rsidRDefault="005414EA" w:rsidP="00D975D2">
      <w:pPr>
        <w:pStyle w:val="ListParagraph"/>
        <w:numPr>
          <w:ilvl w:val="0"/>
          <w:numId w:val="12"/>
        </w:numPr>
        <w:spacing w:after="120" w:line="240" w:lineRule="auto"/>
        <w:ind w:left="360"/>
        <w:contextualSpacing w:val="0"/>
        <w:rPr>
          <w:rFonts w:ascii="Arial" w:hAnsi="Arial" w:cs="Arial"/>
          <w:sz w:val="20"/>
          <w:szCs w:val="20"/>
        </w:rPr>
      </w:pPr>
      <w:r w:rsidRPr="00B01F9E">
        <w:rPr>
          <w:rFonts w:ascii="Arial" w:hAnsi="Arial" w:cs="Arial"/>
          <w:sz w:val="20"/>
          <w:szCs w:val="20"/>
        </w:rPr>
        <w:t xml:space="preserve">Test ordered analyte/observable (LOINC): Ensure the ordered test (EAP) is mapped with the orderable LOINC. For specific instructions search for this document on the Epic User Web Galaxy site: “Update LOINC Codes for Procedures”. </w:t>
      </w:r>
    </w:p>
    <w:p w14:paraId="30899233" w14:textId="73A7F9C4" w:rsidR="005414EA" w:rsidRPr="00B01F9E" w:rsidRDefault="005414EA" w:rsidP="00D975D2">
      <w:pPr>
        <w:pStyle w:val="ListParagraph"/>
        <w:numPr>
          <w:ilvl w:val="0"/>
          <w:numId w:val="12"/>
        </w:numPr>
        <w:spacing w:after="120" w:line="240" w:lineRule="auto"/>
        <w:ind w:left="360"/>
        <w:contextualSpacing w:val="0"/>
        <w:rPr>
          <w:rFonts w:ascii="Arial" w:hAnsi="Arial" w:cs="Arial"/>
          <w:sz w:val="20"/>
          <w:szCs w:val="20"/>
        </w:rPr>
      </w:pPr>
      <w:r w:rsidRPr="00B01F9E">
        <w:rPr>
          <w:rFonts w:ascii="Arial" w:hAnsi="Arial" w:cs="Arial"/>
          <w:sz w:val="20"/>
          <w:szCs w:val="20"/>
        </w:rPr>
        <w:t>Test performed analyte/observable (LOINC): Ensure the resulted test (LRR) is mapped with the test performed analyte/observable LOINC. Go to the “Mapping Setup” page for the result component (LRR) and enter the default LOINC</w:t>
      </w:r>
      <w:r w:rsidR="00C1753C" w:rsidRPr="00B01F9E">
        <w:rPr>
          <w:rFonts w:ascii="Arial" w:hAnsi="Arial" w:cs="Arial"/>
          <w:sz w:val="20"/>
          <w:szCs w:val="20"/>
        </w:rPr>
        <w:t xml:space="preserve"> code</w:t>
      </w:r>
      <w:r w:rsidRPr="00B01F9E">
        <w:rPr>
          <w:rFonts w:ascii="Arial" w:hAnsi="Arial" w:cs="Arial"/>
          <w:sz w:val="20"/>
          <w:szCs w:val="20"/>
        </w:rPr>
        <w:t xml:space="preserve"> appropriate for your result component. </w:t>
      </w:r>
    </w:p>
    <w:p w14:paraId="13065E40" w14:textId="1154310C" w:rsidR="005414EA" w:rsidRPr="00B01F9E" w:rsidRDefault="005414EA" w:rsidP="00D975D2">
      <w:pPr>
        <w:pStyle w:val="ListParagraph"/>
        <w:numPr>
          <w:ilvl w:val="0"/>
          <w:numId w:val="12"/>
        </w:numPr>
        <w:spacing w:after="120" w:line="240" w:lineRule="auto"/>
        <w:ind w:left="360"/>
        <w:contextualSpacing w:val="0"/>
        <w:rPr>
          <w:rFonts w:ascii="Arial" w:hAnsi="Arial" w:cs="Arial"/>
          <w:strike/>
          <w:sz w:val="20"/>
          <w:szCs w:val="20"/>
        </w:rPr>
      </w:pPr>
      <w:r w:rsidRPr="00B01F9E">
        <w:rPr>
          <w:rFonts w:ascii="Arial" w:hAnsi="Arial" w:cs="Arial"/>
          <w:sz w:val="20"/>
          <w:szCs w:val="20"/>
        </w:rPr>
        <w:t>Specimen type (SNOMED CT) at minimum: Utilize the Epic SNOMED for Beaker Support Guide to update the External Concept Mappings (EXM) master file to map SNOMED</w:t>
      </w:r>
      <w:r w:rsidR="00EB0E7B" w:rsidRPr="00B01F9E">
        <w:rPr>
          <w:rFonts w:ascii="Arial" w:hAnsi="Arial" w:cs="Arial"/>
          <w:sz w:val="20"/>
          <w:szCs w:val="20"/>
        </w:rPr>
        <w:t xml:space="preserve"> CT</w:t>
      </w:r>
      <w:r w:rsidRPr="00B01F9E">
        <w:rPr>
          <w:rFonts w:ascii="Arial" w:hAnsi="Arial" w:cs="Arial"/>
          <w:sz w:val="20"/>
          <w:szCs w:val="20"/>
        </w:rPr>
        <w:t xml:space="preserve"> concepts to specimen types. </w:t>
      </w:r>
    </w:p>
    <w:p w14:paraId="09D0DCA6" w14:textId="1D5506BB" w:rsidR="005414EA" w:rsidRPr="00B01F9E" w:rsidRDefault="005414EA" w:rsidP="00D975D2">
      <w:pPr>
        <w:pStyle w:val="ListParagraph"/>
        <w:numPr>
          <w:ilvl w:val="0"/>
          <w:numId w:val="12"/>
        </w:numPr>
        <w:spacing w:after="120" w:line="240" w:lineRule="auto"/>
        <w:ind w:left="360"/>
        <w:contextualSpacing w:val="0"/>
        <w:rPr>
          <w:rFonts w:ascii="Arial" w:hAnsi="Arial" w:cs="Arial"/>
          <w:strike/>
          <w:sz w:val="20"/>
          <w:szCs w:val="20"/>
        </w:rPr>
      </w:pPr>
      <w:r w:rsidRPr="00B01F9E">
        <w:rPr>
          <w:rFonts w:ascii="Arial" w:hAnsi="Arial" w:cs="Arial"/>
          <w:sz w:val="20"/>
          <w:szCs w:val="20"/>
        </w:rPr>
        <w:t xml:space="preserve">Specimen source site (SNOMED CT): Utilize </w:t>
      </w:r>
      <w:bookmarkStart w:id="17" w:name="_Hlk163818660"/>
      <w:r w:rsidRPr="00B01F9E">
        <w:rPr>
          <w:rFonts w:ascii="Arial" w:hAnsi="Arial" w:cs="Arial"/>
          <w:sz w:val="20"/>
          <w:szCs w:val="20"/>
        </w:rPr>
        <w:t xml:space="preserve">the Epic SNOMED for Beaker Support Guide to update </w:t>
      </w:r>
      <w:bookmarkEnd w:id="17"/>
      <w:r w:rsidRPr="00B01F9E">
        <w:rPr>
          <w:rFonts w:ascii="Arial" w:hAnsi="Arial" w:cs="Arial"/>
          <w:sz w:val="20"/>
          <w:szCs w:val="20"/>
        </w:rPr>
        <w:t>the External Concept Mappings (EXM) master file to map SNOMED</w:t>
      </w:r>
      <w:r w:rsidR="00EB0E7B" w:rsidRPr="00B01F9E">
        <w:rPr>
          <w:rFonts w:ascii="Arial" w:hAnsi="Arial" w:cs="Arial"/>
          <w:sz w:val="20"/>
          <w:szCs w:val="20"/>
        </w:rPr>
        <w:t xml:space="preserve"> CT</w:t>
      </w:r>
      <w:r w:rsidRPr="00B01F9E">
        <w:rPr>
          <w:rFonts w:ascii="Arial" w:hAnsi="Arial" w:cs="Arial"/>
          <w:sz w:val="20"/>
          <w:szCs w:val="20"/>
        </w:rPr>
        <w:t xml:space="preserve"> concepts to specimen source. </w:t>
      </w:r>
    </w:p>
    <w:p w14:paraId="14B0487D" w14:textId="50BCF7A1" w:rsidR="005414EA" w:rsidRPr="00B01F9E" w:rsidRDefault="005414EA" w:rsidP="00D975D2">
      <w:pPr>
        <w:pStyle w:val="ListParagraph"/>
        <w:numPr>
          <w:ilvl w:val="0"/>
          <w:numId w:val="12"/>
        </w:numPr>
        <w:spacing w:after="120" w:line="240" w:lineRule="auto"/>
        <w:ind w:left="360"/>
        <w:contextualSpacing w:val="0"/>
        <w:rPr>
          <w:rFonts w:ascii="Arial" w:hAnsi="Arial" w:cs="Arial"/>
          <w:sz w:val="20"/>
          <w:szCs w:val="20"/>
        </w:rPr>
      </w:pPr>
      <w:r w:rsidRPr="00B01F9E">
        <w:rPr>
          <w:rFonts w:ascii="Arial" w:hAnsi="Arial" w:cs="Arial"/>
          <w:sz w:val="20"/>
          <w:szCs w:val="20"/>
        </w:rPr>
        <w:t>Specimen collection method (SNOMED CT): Utilize the Epic SNOMED for Beaker Support Guide to update the External Concept Mappings (EXM) master file to map SNOMED</w:t>
      </w:r>
      <w:r w:rsidR="00665825" w:rsidRPr="00B01F9E">
        <w:rPr>
          <w:rFonts w:ascii="Arial" w:hAnsi="Arial" w:cs="Arial"/>
          <w:sz w:val="20"/>
          <w:szCs w:val="20"/>
        </w:rPr>
        <w:t xml:space="preserve"> CT</w:t>
      </w:r>
      <w:r w:rsidRPr="00B01F9E">
        <w:rPr>
          <w:rFonts w:ascii="Arial" w:hAnsi="Arial" w:cs="Arial"/>
          <w:sz w:val="20"/>
          <w:szCs w:val="20"/>
        </w:rPr>
        <w:t xml:space="preserve"> concepts to specimen collection methods. </w:t>
      </w:r>
    </w:p>
    <w:p w14:paraId="2662822F" w14:textId="1264D7F8" w:rsidR="007D2FB3" w:rsidRPr="00B01F9E" w:rsidRDefault="007D2FB3" w:rsidP="00D975D2">
      <w:pPr>
        <w:pStyle w:val="ListParagraph"/>
        <w:numPr>
          <w:ilvl w:val="0"/>
          <w:numId w:val="12"/>
        </w:numPr>
        <w:spacing w:after="120" w:line="240" w:lineRule="auto"/>
        <w:ind w:left="360"/>
        <w:contextualSpacing w:val="0"/>
        <w:rPr>
          <w:rFonts w:ascii="Arial" w:hAnsi="Arial" w:cs="Arial"/>
          <w:sz w:val="20"/>
          <w:szCs w:val="20"/>
        </w:rPr>
      </w:pPr>
      <w:r w:rsidRPr="00B01F9E">
        <w:rPr>
          <w:rFonts w:ascii="Arial" w:hAnsi="Arial" w:cs="Arial"/>
          <w:sz w:val="20"/>
          <w:szCs w:val="20"/>
        </w:rPr>
        <w:t xml:space="preserve">UDI (kit) – </w:t>
      </w:r>
      <w:bookmarkStart w:id="18" w:name="_Hlk163043014"/>
      <w:r w:rsidR="007842D5" w:rsidRPr="00B01F9E">
        <w:rPr>
          <w:rFonts w:ascii="Arial" w:hAnsi="Arial" w:cs="Arial"/>
          <w:b/>
          <w:bCs/>
          <w:sz w:val="20"/>
          <w:szCs w:val="20"/>
        </w:rPr>
        <w:t>Note</w:t>
      </w:r>
      <w:r w:rsidRPr="00B01F9E">
        <w:rPr>
          <w:rFonts w:ascii="Arial" w:hAnsi="Arial" w:cs="Arial"/>
          <w:b/>
          <w:bCs/>
          <w:sz w:val="20"/>
          <w:szCs w:val="20"/>
        </w:rPr>
        <w:t>: This instruction is not standard and was developed as a workaround to capture the required test method for reportable results reporting during the COVID-19 pandemic. Epic Systems Corporation (Epic) does not recommend this setup as a permanent solution and may be investigating a future solution to this need.</w:t>
      </w:r>
      <w:r w:rsidRPr="00B01F9E">
        <w:rPr>
          <w:rFonts w:ascii="Arial" w:hAnsi="Arial" w:cs="Arial"/>
          <w:sz w:val="20"/>
          <w:szCs w:val="20"/>
        </w:rPr>
        <w:t xml:space="preserve"> </w:t>
      </w:r>
    </w:p>
    <w:p w14:paraId="3B2D26E3" w14:textId="6ED319D4" w:rsidR="007D2FB3" w:rsidRPr="00B01F9E" w:rsidRDefault="007D2FB3" w:rsidP="00D975D2">
      <w:pPr>
        <w:pStyle w:val="ListParagraph"/>
        <w:spacing w:after="120" w:line="240" w:lineRule="auto"/>
        <w:ind w:left="360"/>
        <w:contextualSpacing w:val="0"/>
        <w:rPr>
          <w:rFonts w:ascii="Arial" w:hAnsi="Arial" w:cs="Arial"/>
          <w:sz w:val="20"/>
          <w:szCs w:val="20"/>
        </w:rPr>
      </w:pPr>
      <w:r w:rsidRPr="00B01F9E">
        <w:rPr>
          <w:rFonts w:ascii="Arial" w:hAnsi="Arial" w:cs="Arial"/>
          <w:sz w:val="20"/>
          <w:szCs w:val="20"/>
        </w:rPr>
        <w:t xml:space="preserve">For the POC, the method record of the performing instrument </w:t>
      </w:r>
      <w:r w:rsidR="0080354E" w:rsidRPr="00B01F9E">
        <w:rPr>
          <w:rFonts w:ascii="Arial" w:hAnsi="Arial" w:cs="Arial"/>
          <w:sz w:val="20"/>
          <w:szCs w:val="20"/>
        </w:rPr>
        <w:t>was</w:t>
      </w:r>
      <w:r w:rsidRPr="00B01F9E">
        <w:rPr>
          <w:rFonts w:ascii="Arial" w:hAnsi="Arial" w:cs="Arial"/>
          <w:sz w:val="20"/>
          <w:szCs w:val="20"/>
        </w:rPr>
        <w:t xml:space="preserve"> mapped to a procedure record that represents it. This requires additional build out of a new procedure which is not performable.</w:t>
      </w:r>
    </w:p>
    <w:p w14:paraId="139CF4A5" w14:textId="77777777" w:rsidR="007D2FB3" w:rsidRPr="00B01F9E" w:rsidRDefault="007D2FB3" w:rsidP="00D975D2">
      <w:pPr>
        <w:pStyle w:val="ListParagraph"/>
        <w:numPr>
          <w:ilvl w:val="0"/>
          <w:numId w:val="13"/>
        </w:numPr>
        <w:spacing w:before="120" w:after="120" w:line="240" w:lineRule="auto"/>
        <w:ind w:left="1008"/>
        <w:rPr>
          <w:rFonts w:ascii="Arial" w:hAnsi="Arial" w:cs="Arial"/>
          <w:sz w:val="20"/>
          <w:szCs w:val="20"/>
        </w:rPr>
      </w:pPr>
      <w:r w:rsidRPr="00B01F9E">
        <w:rPr>
          <w:rFonts w:ascii="Arial" w:hAnsi="Arial" w:cs="Arial"/>
          <w:sz w:val="20"/>
          <w:szCs w:val="20"/>
        </w:rPr>
        <w:t xml:space="preserve">Enter the new procedure record in the observation methodology field on the general setup form of the method record. </w:t>
      </w:r>
    </w:p>
    <w:p w14:paraId="07620941" w14:textId="77777777" w:rsidR="007D2FB3" w:rsidRPr="00B01F9E" w:rsidRDefault="007D2FB3" w:rsidP="00D975D2">
      <w:pPr>
        <w:pStyle w:val="ListParagraph"/>
        <w:numPr>
          <w:ilvl w:val="0"/>
          <w:numId w:val="13"/>
        </w:numPr>
        <w:spacing w:before="120" w:after="120" w:line="240" w:lineRule="auto"/>
        <w:ind w:left="1008"/>
        <w:rPr>
          <w:rFonts w:ascii="Arial" w:hAnsi="Arial" w:cs="Arial"/>
          <w:sz w:val="20"/>
          <w:szCs w:val="20"/>
        </w:rPr>
      </w:pPr>
      <w:r w:rsidRPr="00B01F9E">
        <w:rPr>
          <w:rFonts w:ascii="Arial" w:hAnsi="Arial" w:cs="Arial"/>
          <w:sz w:val="20"/>
          <w:szCs w:val="20"/>
        </w:rPr>
        <w:t>In addition, an identity type record must be created for mapping this new procedure with the instrument UDI. The identity type record must be able to handle long lengths and alphanumeric characters to accommodate the manufacturer’s provided UDI.</w:t>
      </w:r>
    </w:p>
    <w:p w14:paraId="5709B5A3" w14:textId="4DF049AD" w:rsidR="007D2FB3" w:rsidRPr="00B01F9E" w:rsidRDefault="007D2FB3" w:rsidP="00D975D2">
      <w:pPr>
        <w:pStyle w:val="ListParagraph"/>
        <w:numPr>
          <w:ilvl w:val="0"/>
          <w:numId w:val="13"/>
        </w:numPr>
        <w:spacing w:after="120" w:line="240" w:lineRule="auto"/>
        <w:ind w:left="1008"/>
        <w:contextualSpacing w:val="0"/>
        <w:rPr>
          <w:rFonts w:ascii="Arial" w:hAnsi="Arial" w:cs="Arial"/>
          <w:sz w:val="20"/>
          <w:szCs w:val="20"/>
        </w:rPr>
      </w:pPr>
      <w:r w:rsidRPr="00B01F9E">
        <w:rPr>
          <w:rFonts w:ascii="Arial" w:hAnsi="Arial" w:cs="Arial"/>
          <w:sz w:val="20"/>
          <w:szCs w:val="20"/>
        </w:rPr>
        <w:t>Once the identity type record is created, the UDI can be entered for the new procedure using the ID maintenance function and specifying the new identity type with the UDI for the kit.</w:t>
      </w:r>
    </w:p>
    <w:bookmarkEnd w:id="18"/>
    <w:p w14:paraId="2A8A22CE" w14:textId="620E0005" w:rsidR="007D2FB3" w:rsidRPr="00B01F9E" w:rsidRDefault="007D2FB3" w:rsidP="00D975D2">
      <w:pPr>
        <w:pStyle w:val="ListParagraph"/>
        <w:numPr>
          <w:ilvl w:val="0"/>
          <w:numId w:val="12"/>
        </w:numPr>
        <w:spacing w:after="120" w:line="240" w:lineRule="auto"/>
        <w:ind w:left="360"/>
        <w:contextualSpacing w:val="0"/>
        <w:rPr>
          <w:rFonts w:ascii="Arial" w:hAnsi="Arial" w:cs="Arial"/>
          <w:sz w:val="20"/>
          <w:szCs w:val="20"/>
        </w:rPr>
      </w:pPr>
      <w:r w:rsidRPr="00B01F9E">
        <w:rPr>
          <w:rFonts w:ascii="Arial" w:hAnsi="Arial" w:cs="Arial"/>
          <w:sz w:val="20"/>
          <w:szCs w:val="20"/>
        </w:rPr>
        <w:t xml:space="preserve">UDI (instrument) - </w:t>
      </w:r>
      <w:r w:rsidRPr="00B01F9E">
        <w:rPr>
          <w:rFonts w:ascii="Arial" w:hAnsi="Arial" w:cs="Arial"/>
          <w:b/>
          <w:bCs/>
          <w:sz w:val="20"/>
          <w:szCs w:val="20"/>
        </w:rPr>
        <w:t>N</w:t>
      </w:r>
      <w:r w:rsidR="00120462" w:rsidRPr="00B01F9E">
        <w:rPr>
          <w:rFonts w:ascii="Arial" w:hAnsi="Arial" w:cs="Arial"/>
          <w:b/>
          <w:bCs/>
          <w:sz w:val="20"/>
          <w:szCs w:val="20"/>
        </w:rPr>
        <w:t>ote</w:t>
      </w:r>
      <w:r w:rsidRPr="00B01F9E">
        <w:rPr>
          <w:rFonts w:ascii="Arial" w:hAnsi="Arial" w:cs="Arial"/>
          <w:b/>
          <w:bCs/>
          <w:sz w:val="20"/>
          <w:szCs w:val="20"/>
        </w:rPr>
        <w:t xml:space="preserve">: This instruction is not standard and was developed as a workaround to capture the required test method for reportable results reporting during the COVID-19 </w:t>
      </w:r>
      <w:r w:rsidRPr="00B01F9E">
        <w:rPr>
          <w:rFonts w:ascii="Arial" w:hAnsi="Arial" w:cs="Arial"/>
          <w:b/>
          <w:bCs/>
          <w:sz w:val="20"/>
          <w:szCs w:val="20"/>
        </w:rPr>
        <w:lastRenderedPageBreak/>
        <w:t>pandemic. Epic Systems Corporation (Epic) does not recommend this setup as a permanent solution and may be investigating a future solution to this need.</w:t>
      </w:r>
      <w:r w:rsidRPr="00B01F9E">
        <w:rPr>
          <w:rFonts w:ascii="Arial" w:hAnsi="Arial" w:cs="Arial"/>
          <w:sz w:val="20"/>
          <w:szCs w:val="20"/>
        </w:rPr>
        <w:t xml:space="preserve"> </w:t>
      </w:r>
    </w:p>
    <w:p w14:paraId="34CAE0D5" w14:textId="57822B5C" w:rsidR="007D2FB3" w:rsidRPr="00B01F9E" w:rsidRDefault="007D2FB3" w:rsidP="00D975D2">
      <w:pPr>
        <w:pStyle w:val="ListParagraph"/>
        <w:spacing w:after="120" w:line="240" w:lineRule="auto"/>
        <w:ind w:left="360"/>
        <w:contextualSpacing w:val="0"/>
        <w:rPr>
          <w:rFonts w:ascii="Arial" w:hAnsi="Arial" w:cs="Arial"/>
          <w:sz w:val="20"/>
          <w:szCs w:val="20"/>
        </w:rPr>
      </w:pPr>
      <w:r w:rsidRPr="00B01F9E">
        <w:rPr>
          <w:rFonts w:ascii="Arial" w:hAnsi="Arial" w:cs="Arial"/>
          <w:sz w:val="20"/>
          <w:szCs w:val="20"/>
        </w:rPr>
        <w:t xml:space="preserve">For the POC, the method record of the performing instrument </w:t>
      </w:r>
      <w:r w:rsidR="0080354E" w:rsidRPr="00B01F9E">
        <w:rPr>
          <w:rFonts w:ascii="Arial" w:hAnsi="Arial" w:cs="Arial"/>
          <w:sz w:val="20"/>
          <w:szCs w:val="20"/>
        </w:rPr>
        <w:t>was</w:t>
      </w:r>
      <w:r w:rsidRPr="00B01F9E">
        <w:rPr>
          <w:rFonts w:ascii="Arial" w:hAnsi="Arial" w:cs="Arial"/>
          <w:sz w:val="20"/>
          <w:szCs w:val="20"/>
        </w:rPr>
        <w:t xml:space="preserve"> mapped to a procedure record that represents it. This requires additional build out of a new procedure which is not performable.</w:t>
      </w:r>
    </w:p>
    <w:p w14:paraId="7B4EDADB" w14:textId="77777777" w:rsidR="007D2FB3" w:rsidRPr="00B01F9E" w:rsidRDefault="007D2FB3" w:rsidP="00D975D2">
      <w:pPr>
        <w:pStyle w:val="ListParagraph"/>
        <w:numPr>
          <w:ilvl w:val="0"/>
          <w:numId w:val="14"/>
        </w:numPr>
        <w:spacing w:before="60" w:after="60" w:line="240" w:lineRule="auto"/>
        <w:ind w:left="1008"/>
        <w:rPr>
          <w:rFonts w:ascii="Arial" w:hAnsi="Arial" w:cs="Arial"/>
          <w:sz w:val="20"/>
          <w:szCs w:val="20"/>
        </w:rPr>
      </w:pPr>
      <w:r w:rsidRPr="00B01F9E">
        <w:rPr>
          <w:rFonts w:ascii="Arial" w:hAnsi="Arial" w:cs="Arial"/>
          <w:sz w:val="20"/>
          <w:szCs w:val="20"/>
        </w:rPr>
        <w:t xml:space="preserve">Enter the new procedure record in the observation methodology field on the general setup form of the method record. </w:t>
      </w:r>
    </w:p>
    <w:p w14:paraId="1B2EFF91" w14:textId="77777777" w:rsidR="007D2FB3" w:rsidRPr="00B01F9E" w:rsidRDefault="007D2FB3" w:rsidP="00D975D2">
      <w:pPr>
        <w:pStyle w:val="ListParagraph"/>
        <w:numPr>
          <w:ilvl w:val="0"/>
          <w:numId w:val="14"/>
        </w:numPr>
        <w:spacing w:before="60" w:after="60" w:line="240" w:lineRule="auto"/>
        <w:ind w:left="1008"/>
        <w:rPr>
          <w:rFonts w:ascii="Arial" w:hAnsi="Arial" w:cs="Arial"/>
          <w:sz w:val="20"/>
          <w:szCs w:val="20"/>
        </w:rPr>
      </w:pPr>
      <w:r w:rsidRPr="00B01F9E">
        <w:rPr>
          <w:rFonts w:ascii="Arial" w:hAnsi="Arial" w:cs="Arial"/>
          <w:sz w:val="20"/>
          <w:szCs w:val="20"/>
        </w:rPr>
        <w:t>In addition, an identity type record must be created for mapping this new procedure with the instrument UDI. The identity type record must be able to handle long lengths and alphanumeric characters to accommodate the manufacturer’s provided UDI.</w:t>
      </w:r>
    </w:p>
    <w:p w14:paraId="619E2DF9" w14:textId="1C9777F4" w:rsidR="007D2FB3" w:rsidRPr="00B01F9E" w:rsidRDefault="007D2FB3" w:rsidP="00D975D2">
      <w:pPr>
        <w:pStyle w:val="ListParagraph"/>
        <w:numPr>
          <w:ilvl w:val="0"/>
          <w:numId w:val="14"/>
        </w:numPr>
        <w:spacing w:before="60" w:after="60" w:line="240" w:lineRule="auto"/>
        <w:ind w:left="1008"/>
        <w:contextualSpacing w:val="0"/>
        <w:rPr>
          <w:rFonts w:ascii="Arial" w:hAnsi="Arial" w:cs="Arial"/>
          <w:sz w:val="20"/>
          <w:szCs w:val="20"/>
        </w:rPr>
      </w:pPr>
      <w:r w:rsidRPr="00B01F9E">
        <w:rPr>
          <w:rFonts w:ascii="Arial" w:hAnsi="Arial" w:cs="Arial"/>
          <w:sz w:val="20"/>
          <w:szCs w:val="20"/>
        </w:rPr>
        <w:t>Once the identity type record is created, the UDI can be entered for the new procedure using the ID maintenance function and specifying the new identity type with the UDI for the instrument.</w:t>
      </w:r>
    </w:p>
    <w:p w14:paraId="0C568519" w14:textId="77777777" w:rsidR="007D2FB3" w:rsidRPr="00B01F9E" w:rsidRDefault="007D2FB3" w:rsidP="00550F50">
      <w:pPr>
        <w:pStyle w:val="ListParagraph"/>
        <w:numPr>
          <w:ilvl w:val="0"/>
          <w:numId w:val="12"/>
        </w:numPr>
        <w:spacing w:after="120" w:line="240" w:lineRule="auto"/>
        <w:ind w:left="720"/>
        <w:contextualSpacing w:val="0"/>
        <w:rPr>
          <w:rFonts w:ascii="Arial" w:hAnsi="Arial" w:cs="Arial"/>
          <w:sz w:val="20"/>
          <w:szCs w:val="20"/>
        </w:rPr>
      </w:pPr>
      <w:r w:rsidRPr="00B01F9E">
        <w:rPr>
          <w:rFonts w:ascii="Arial" w:hAnsi="Arial" w:cs="Arial"/>
          <w:sz w:val="20"/>
          <w:szCs w:val="20"/>
        </w:rPr>
        <w:t xml:space="preserve">Units of Measure for Quantitative Results: If the result is numeric, enter the UOM in the </w:t>
      </w:r>
      <w:proofErr w:type="gramStart"/>
      <w:r w:rsidRPr="00B01F9E">
        <w:rPr>
          <w:rFonts w:ascii="Arial" w:hAnsi="Arial" w:cs="Arial"/>
          <w:sz w:val="20"/>
          <w:szCs w:val="20"/>
        </w:rPr>
        <w:t>units</w:t>
      </w:r>
      <w:proofErr w:type="gramEnd"/>
      <w:r w:rsidRPr="00B01F9E">
        <w:rPr>
          <w:rFonts w:ascii="Arial" w:hAnsi="Arial" w:cs="Arial"/>
          <w:sz w:val="20"/>
          <w:szCs w:val="20"/>
        </w:rPr>
        <w:t xml:space="preserve"> field on the “General Setup” form for the result components. </w:t>
      </w:r>
    </w:p>
    <w:p w14:paraId="2CFEACEC" w14:textId="616BA963" w:rsidR="007D2FB3" w:rsidRPr="00B01F9E" w:rsidRDefault="007D2FB3" w:rsidP="00550F50">
      <w:pPr>
        <w:pStyle w:val="ListParagraph"/>
        <w:numPr>
          <w:ilvl w:val="0"/>
          <w:numId w:val="12"/>
        </w:numPr>
        <w:spacing w:after="120" w:line="240" w:lineRule="auto"/>
        <w:ind w:left="720"/>
        <w:contextualSpacing w:val="0"/>
        <w:rPr>
          <w:rFonts w:ascii="Arial" w:hAnsi="Arial" w:cs="Arial"/>
          <w:strike/>
          <w:sz w:val="20"/>
          <w:szCs w:val="20"/>
        </w:rPr>
      </w:pPr>
      <w:r w:rsidRPr="00B01F9E">
        <w:rPr>
          <w:rFonts w:ascii="Arial" w:hAnsi="Arial" w:cs="Arial"/>
          <w:sz w:val="20"/>
          <w:szCs w:val="20"/>
        </w:rPr>
        <w:t xml:space="preserve">Qualitative Results (SNOMED CT): Utilize the Epic SNOMED for Beaker Support Guide to map SNOMED </w:t>
      </w:r>
      <w:r w:rsidR="000B16F1" w:rsidRPr="00B01F9E">
        <w:rPr>
          <w:rFonts w:ascii="Arial" w:hAnsi="Arial" w:cs="Arial"/>
          <w:sz w:val="20"/>
          <w:szCs w:val="20"/>
        </w:rPr>
        <w:t xml:space="preserve">CT </w:t>
      </w:r>
      <w:r w:rsidRPr="00B01F9E">
        <w:rPr>
          <w:rFonts w:ascii="Arial" w:hAnsi="Arial" w:cs="Arial"/>
          <w:sz w:val="20"/>
          <w:szCs w:val="20"/>
        </w:rPr>
        <w:t>concepts to result component values.</w:t>
      </w:r>
    </w:p>
    <w:p w14:paraId="50602478" w14:textId="3EAD95DF" w:rsidR="007D2FB3" w:rsidRPr="00B01F9E" w:rsidRDefault="007D2FB3" w:rsidP="00550F50">
      <w:pPr>
        <w:pStyle w:val="ListParagraph"/>
        <w:numPr>
          <w:ilvl w:val="0"/>
          <w:numId w:val="12"/>
        </w:numPr>
        <w:spacing w:after="120" w:line="240" w:lineRule="auto"/>
        <w:ind w:left="720"/>
        <w:contextualSpacing w:val="0"/>
        <w:rPr>
          <w:rFonts w:ascii="Arial" w:hAnsi="Arial" w:cs="Arial"/>
          <w:sz w:val="20"/>
          <w:szCs w:val="20"/>
        </w:rPr>
      </w:pPr>
      <w:r w:rsidRPr="00B01F9E">
        <w:rPr>
          <w:rFonts w:ascii="Arial" w:hAnsi="Arial" w:cs="Arial"/>
          <w:sz w:val="20"/>
          <w:szCs w:val="20"/>
        </w:rPr>
        <w:t>Nominal Results (SNOMED CT): For organisms, utilize the Epic SNOMED for Beaker Support Guide to map organisms to SNOMED</w:t>
      </w:r>
      <w:r w:rsidR="00897D2F" w:rsidRPr="00B01F9E">
        <w:rPr>
          <w:rFonts w:ascii="Arial" w:hAnsi="Arial" w:cs="Arial"/>
          <w:sz w:val="20"/>
          <w:szCs w:val="20"/>
        </w:rPr>
        <w:t xml:space="preserve"> CT</w:t>
      </w:r>
      <w:r w:rsidRPr="00B01F9E">
        <w:rPr>
          <w:rFonts w:ascii="Arial" w:hAnsi="Arial" w:cs="Arial"/>
          <w:sz w:val="20"/>
          <w:szCs w:val="20"/>
        </w:rPr>
        <w:t>.</w:t>
      </w:r>
    </w:p>
    <w:p w14:paraId="7EADEE93" w14:textId="77777777" w:rsidR="007D2FB3" w:rsidRPr="00B01F9E" w:rsidRDefault="007D2FB3" w:rsidP="00550F50">
      <w:pPr>
        <w:pStyle w:val="ListParagraph"/>
        <w:numPr>
          <w:ilvl w:val="0"/>
          <w:numId w:val="12"/>
        </w:numPr>
        <w:spacing w:after="120" w:line="240" w:lineRule="auto"/>
        <w:ind w:left="720"/>
        <w:contextualSpacing w:val="0"/>
        <w:rPr>
          <w:rFonts w:ascii="Arial" w:hAnsi="Arial" w:cs="Arial"/>
          <w:sz w:val="20"/>
          <w:szCs w:val="20"/>
        </w:rPr>
      </w:pPr>
      <w:r w:rsidRPr="00B01F9E">
        <w:rPr>
          <w:rFonts w:ascii="Arial" w:hAnsi="Arial" w:cs="Arial"/>
          <w:sz w:val="20"/>
          <w:szCs w:val="20"/>
        </w:rPr>
        <w:t xml:space="preserve">Resulting Lab CLIA Number: Entry of the performing lab CLIA number can be added to the resulting agency record. </w:t>
      </w:r>
    </w:p>
    <w:p w14:paraId="11E12916" w14:textId="1E3ADA39" w:rsidR="00703136" w:rsidRPr="00B01F9E" w:rsidRDefault="00703136" w:rsidP="00C83847">
      <w:pPr>
        <w:pStyle w:val="paragraph"/>
        <w:spacing w:before="0" w:beforeAutospacing="0" w:after="120" w:afterAutospacing="0"/>
        <w:textAlignment w:val="baseline"/>
        <w:rPr>
          <w:rStyle w:val="eop"/>
          <w:rFonts w:ascii="Arial" w:eastAsiaTheme="majorEastAsia" w:hAnsi="Arial" w:cs="Arial"/>
          <w:b/>
          <w:bCs/>
          <w:sz w:val="20"/>
          <w:szCs w:val="20"/>
        </w:rPr>
      </w:pPr>
      <w:r w:rsidRPr="00B01F9E">
        <w:rPr>
          <w:rStyle w:val="eop"/>
          <w:rFonts w:ascii="Arial" w:eastAsiaTheme="majorEastAsia" w:hAnsi="Arial" w:cs="Arial"/>
          <w:b/>
          <w:bCs/>
          <w:sz w:val="20"/>
          <w:szCs w:val="20"/>
        </w:rPr>
        <w:t xml:space="preserve">LIDR Test Compendium Report Requirements and Format </w:t>
      </w:r>
    </w:p>
    <w:p w14:paraId="7C81C594" w14:textId="223499C6" w:rsidR="006B23A7" w:rsidRPr="00B01F9E" w:rsidRDefault="006B23A7" w:rsidP="00C83847">
      <w:pPr>
        <w:spacing w:after="120" w:line="240" w:lineRule="auto"/>
        <w:textAlignment w:val="baseline"/>
        <w:rPr>
          <w:rFonts w:ascii="Arial" w:eastAsia="Times New Roman" w:hAnsi="Arial" w:cs="Arial"/>
          <w:bCs/>
          <w:sz w:val="20"/>
          <w:szCs w:val="20"/>
        </w:rPr>
      </w:pPr>
      <w:r w:rsidRPr="00B01F9E">
        <w:rPr>
          <w:rFonts w:ascii="Arial" w:eastAsia="Times New Roman" w:hAnsi="Arial" w:cs="Arial"/>
          <w:bCs/>
          <w:sz w:val="20"/>
          <w:szCs w:val="20"/>
        </w:rPr>
        <w:t xml:space="preserve">The LIDR Test Compendium Report development from Duke posed a challenge. </w:t>
      </w:r>
      <w:r w:rsidR="00CC54EA" w:rsidRPr="00B01F9E">
        <w:rPr>
          <w:rFonts w:ascii="Arial" w:eastAsia="Times New Roman" w:hAnsi="Arial" w:cs="Arial"/>
          <w:bCs/>
          <w:sz w:val="20"/>
          <w:szCs w:val="20"/>
        </w:rPr>
        <w:t xml:space="preserve">Aggregation and reporting </w:t>
      </w:r>
      <w:r w:rsidR="00E640E6" w:rsidRPr="00B01F9E">
        <w:rPr>
          <w:rFonts w:ascii="Arial" w:eastAsia="Times New Roman" w:hAnsi="Arial" w:cs="Arial"/>
          <w:bCs/>
          <w:sz w:val="20"/>
          <w:szCs w:val="20"/>
        </w:rPr>
        <w:t>were</w:t>
      </w:r>
      <w:r w:rsidR="00CC54EA" w:rsidRPr="00B01F9E">
        <w:rPr>
          <w:rFonts w:ascii="Arial" w:eastAsia="Times New Roman" w:hAnsi="Arial" w:cs="Arial"/>
          <w:bCs/>
          <w:sz w:val="20"/>
          <w:szCs w:val="20"/>
        </w:rPr>
        <w:t xml:space="preserve"> challenging due to the s</w:t>
      </w:r>
      <w:r w:rsidRPr="00B01F9E">
        <w:rPr>
          <w:rFonts w:ascii="Arial" w:eastAsia="Times New Roman" w:hAnsi="Arial" w:cs="Arial"/>
          <w:bCs/>
          <w:sz w:val="20"/>
          <w:szCs w:val="20"/>
        </w:rPr>
        <w:t xml:space="preserve">ystem architecture where test data elements </w:t>
      </w:r>
      <w:r w:rsidR="0080354E" w:rsidRPr="00B01F9E">
        <w:rPr>
          <w:rFonts w:ascii="Arial" w:eastAsia="Times New Roman" w:hAnsi="Arial" w:cs="Arial"/>
          <w:bCs/>
          <w:sz w:val="20"/>
          <w:szCs w:val="20"/>
        </w:rPr>
        <w:t>were</w:t>
      </w:r>
      <w:r w:rsidRPr="00B01F9E">
        <w:rPr>
          <w:rFonts w:ascii="Arial" w:eastAsia="Times New Roman" w:hAnsi="Arial" w:cs="Arial"/>
          <w:bCs/>
          <w:sz w:val="20"/>
          <w:szCs w:val="20"/>
        </w:rPr>
        <w:t xml:space="preserve"> distributed throughout various records</w:t>
      </w:r>
      <w:r w:rsidR="00CC54EA" w:rsidRPr="00B01F9E">
        <w:rPr>
          <w:rFonts w:ascii="Arial" w:eastAsia="Times New Roman" w:hAnsi="Arial" w:cs="Arial"/>
          <w:bCs/>
          <w:sz w:val="20"/>
          <w:szCs w:val="20"/>
        </w:rPr>
        <w:t xml:space="preserve">. </w:t>
      </w:r>
      <w:r w:rsidRPr="00B01F9E">
        <w:rPr>
          <w:rFonts w:ascii="Arial" w:eastAsia="Times New Roman" w:hAnsi="Arial" w:cs="Arial"/>
          <w:bCs/>
          <w:sz w:val="20"/>
          <w:szCs w:val="20"/>
        </w:rPr>
        <w:t xml:space="preserve">The utilization of an interface table to map SNOMED </w:t>
      </w:r>
      <w:r w:rsidR="000436FD" w:rsidRPr="00B01F9E">
        <w:rPr>
          <w:rFonts w:ascii="Arial" w:eastAsia="Times New Roman" w:hAnsi="Arial" w:cs="Arial"/>
          <w:bCs/>
          <w:sz w:val="20"/>
          <w:szCs w:val="20"/>
        </w:rPr>
        <w:t>CT</w:t>
      </w:r>
      <w:r w:rsidRPr="00B01F9E">
        <w:rPr>
          <w:rFonts w:ascii="Arial" w:eastAsia="Times New Roman" w:hAnsi="Arial" w:cs="Arial"/>
          <w:bCs/>
          <w:sz w:val="20"/>
          <w:szCs w:val="20"/>
        </w:rPr>
        <w:t xml:space="preserve"> coding challenge</w:t>
      </w:r>
      <w:r w:rsidR="00226BC7" w:rsidRPr="00B01F9E">
        <w:rPr>
          <w:rFonts w:ascii="Arial" w:eastAsia="Times New Roman" w:hAnsi="Arial" w:cs="Arial"/>
          <w:bCs/>
          <w:sz w:val="20"/>
          <w:szCs w:val="20"/>
        </w:rPr>
        <w:t>d</w:t>
      </w:r>
      <w:r w:rsidRPr="00B01F9E">
        <w:rPr>
          <w:rFonts w:ascii="Arial" w:eastAsia="Times New Roman" w:hAnsi="Arial" w:cs="Arial"/>
          <w:bCs/>
          <w:sz w:val="20"/>
          <w:szCs w:val="20"/>
        </w:rPr>
        <w:t xml:space="preserve"> this capability. The desire </w:t>
      </w:r>
      <w:r w:rsidR="00226BC7" w:rsidRPr="00B01F9E">
        <w:rPr>
          <w:rFonts w:ascii="Arial" w:eastAsia="Times New Roman" w:hAnsi="Arial" w:cs="Arial"/>
          <w:bCs/>
          <w:sz w:val="20"/>
          <w:szCs w:val="20"/>
        </w:rPr>
        <w:t xml:space="preserve">was </w:t>
      </w:r>
      <w:r w:rsidRPr="00B01F9E">
        <w:rPr>
          <w:rFonts w:ascii="Arial" w:eastAsia="Times New Roman" w:hAnsi="Arial" w:cs="Arial"/>
          <w:bCs/>
          <w:sz w:val="20"/>
          <w:szCs w:val="20"/>
        </w:rPr>
        <w:t>to capture all elements associated with the resulted test. </w:t>
      </w:r>
    </w:p>
    <w:p w14:paraId="5DD64351" w14:textId="64D3C68D" w:rsidR="004D0B3A" w:rsidRPr="00B01F9E" w:rsidRDefault="004D0B3A" w:rsidP="00C83847">
      <w:pPr>
        <w:spacing w:after="0" w:line="240" w:lineRule="auto"/>
        <w:textAlignment w:val="baseline"/>
        <w:rPr>
          <w:rFonts w:ascii="Arial" w:eastAsia="Times New Roman" w:hAnsi="Arial" w:cs="Arial"/>
          <w:b/>
          <w:color w:val="009BBF"/>
          <w:sz w:val="20"/>
          <w:szCs w:val="20"/>
        </w:rPr>
      </w:pPr>
      <w:r w:rsidRPr="00B01F9E">
        <w:rPr>
          <w:rFonts w:ascii="Arial" w:eastAsia="Times New Roman" w:hAnsi="Arial" w:cs="Arial"/>
          <w:b/>
          <w:color w:val="009BBF"/>
          <w:sz w:val="20"/>
          <w:szCs w:val="20"/>
        </w:rPr>
        <w:t xml:space="preserve">Table </w:t>
      </w:r>
      <w:r w:rsidR="00D478FA" w:rsidRPr="00B01F9E">
        <w:rPr>
          <w:rFonts w:ascii="Arial" w:eastAsia="Times New Roman" w:hAnsi="Arial" w:cs="Arial"/>
          <w:b/>
          <w:color w:val="009BBF"/>
          <w:sz w:val="20"/>
          <w:szCs w:val="20"/>
        </w:rPr>
        <w:t>6</w:t>
      </w:r>
      <w:r w:rsidRPr="00B01F9E">
        <w:rPr>
          <w:rFonts w:ascii="Arial" w:eastAsia="Times New Roman" w:hAnsi="Arial" w:cs="Arial"/>
          <w:b/>
          <w:color w:val="009BBF"/>
          <w:sz w:val="20"/>
          <w:szCs w:val="20"/>
        </w:rPr>
        <w:t xml:space="preserve">: Example Data Elements to be Captured in </w:t>
      </w:r>
      <w:r w:rsidR="00490D8C" w:rsidRPr="00B01F9E">
        <w:rPr>
          <w:rFonts w:ascii="Arial" w:eastAsia="Times New Roman" w:hAnsi="Arial" w:cs="Arial"/>
          <w:b/>
          <w:color w:val="009BBF"/>
          <w:sz w:val="20"/>
          <w:szCs w:val="20"/>
        </w:rPr>
        <w:t xml:space="preserve">LIDR </w:t>
      </w:r>
      <w:r w:rsidRPr="00B01F9E">
        <w:rPr>
          <w:rFonts w:ascii="Arial" w:eastAsia="Times New Roman" w:hAnsi="Arial" w:cs="Arial"/>
          <w:b/>
          <w:color w:val="009BBF"/>
          <w:sz w:val="20"/>
          <w:szCs w:val="20"/>
        </w:rPr>
        <w:t>Test Compendium Report for</w:t>
      </w:r>
      <w:r w:rsidR="005D614D" w:rsidRPr="00B01F9E">
        <w:rPr>
          <w:rFonts w:ascii="Arial" w:eastAsia="Times New Roman" w:hAnsi="Arial" w:cs="Arial"/>
          <w:b/>
          <w:color w:val="009BBF"/>
          <w:sz w:val="20"/>
          <w:szCs w:val="20"/>
        </w:rPr>
        <w:t xml:space="preserve"> </w:t>
      </w:r>
      <w:r w:rsidRPr="00B01F9E">
        <w:rPr>
          <w:rFonts w:ascii="Arial" w:eastAsia="Times New Roman" w:hAnsi="Arial" w:cs="Arial"/>
          <w:b/>
          <w:color w:val="009BBF"/>
          <w:sz w:val="20"/>
          <w:szCs w:val="20"/>
        </w:rPr>
        <w:t>Single Test </w:t>
      </w:r>
    </w:p>
    <w:tbl>
      <w:tblPr>
        <w:tblW w:w="9637"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70"/>
        <w:gridCol w:w="6467"/>
      </w:tblGrid>
      <w:tr w:rsidR="004D0B3A" w:rsidRPr="00B01F9E" w14:paraId="5ED5F015"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FE16A5D" w14:textId="77777777"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Test Ordered LOINC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5BA803A" w14:textId="77777777"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24321-2 (Basic metabolic 2000 panel - Serum or Plasma) </w:t>
            </w:r>
          </w:p>
        </w:tc>
      </w:tr>
      <w:tr w:rsidR="004D0B3A" w:rsidRPr="00B01F9E" w14:paraId="36345190"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0684C9D" w14:textId="77777777"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Test Performed LOINC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C500DF5" w14:textId="77777777"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2951-2 (Sodium [Moles/volume] in Serum or Plasma) </w:t>
            </w:r>
          </w:p>
        </w:tc>
      </w:tr>
      <w:tr w:rsidR="004D0B3A" w:rsidRPr="00B01F9E" w14:paraId="0F9FB1B5"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029C7D3" w14:textId="5BC228D7"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Specimen Type (SNOMED CT)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DE39A35" w14:textId="77777777"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119361006 (|Plasma specimen (specimen)|) </w:t>
            </w:r>
          </w:p>
        </w:tc>
      </w:tr>
      <w:tr w:rsidR="004D0B3A" w:rsidRPr="00B01F9E" w14:paraId="757F0E52"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C71270B" w14:textId="42A5B811"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Specimen Source (SNOMED CT)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BF3DD57" w14:textId="65C6038F"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119297000 (|Blood specimen (specimen)|) </w:t>
            </w:r>
          </w:p>
        </w:tc>
      </w:tr>
      <w:tr w:rsidR="004D0B3A" w:rsidRPr="00B01F9E" w14:paraId="48823850" w14:textId="77777777" w:rsidTr="004D0B3A">
        <w:trPr>
          <w:trHeight w:val="517"/>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6555714" w14:textId="6A933698"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Specimen Collection Method SNOMED CT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2FA5456" w14:textId="77777777"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28520004 (|Venipuncture for blood test (procedure)|) </w:t>
            </w:r>
          </w:p>
        </w:tc>
      </w:tr>
      <w:tr w:rsidR="004D0B3A" w:rsidRPr="00B01F9E" w14:paraId="21FF414A"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6B7436F" w14:textId="77777777"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UDI (Kit)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FA2C227" w14:textId="424E4D85" w:rsidR="004D0B3A" w:rsidRPr="00B01F9E" w:rsidRDefault="00405D97">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(150995902)-02491-33501-33525-33082</w:t>
            </w:r>
          </w:p>
        </w:tc>
      </w:tr>
      <w:tr w:rsidR="004D0B3A" w:rsidRPr="00B01F9E" w14:paraId="4F200B1D"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87875BE" w14:textId="77777777"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UDI (Instrument)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049ED44" w14:textId="77777777"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(01)15099590280994(21)7280 </w:t>
            </w:r>
          </w:p>
        </w:tc>
      </w:tr>
      <w:tr w:rsidR="004D0B3A" w:rsidRPr="00B01F9E" w14:paraId="19F56337"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B574755" w14:textId="77777777"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Units of Measure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E583BA7" w14:textId="77777777"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mmol/L </w:t>
            </w:r>
          </w:p>
        </w:tc>
      </w:tr>
      <w:tr w:rsidR="004D0B3A" w:rsidRPr="00B01F9E" w14:paraId="5E2E9265" w14:textId="77777777" w:rsidTr="005D614D">
        <w:trPr>
          <w:trHeight w:val="288"/>
        </w:trPr>
        <w:tc>
          <w:tcPr>
            <w:tcW w:w="3170"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5EBFE08" w14:textId="2CA25DEE" w:rsidR="004D0B3A" w:rsidRPr="00B01F9E" w:rsidRDefault="004D0B3A">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Qualitative Result SNOMED CT </w:t>
            </w:r>
          </w:p>
        </w:tc>
        <w:tc>
          <w:tcPr>
            <w:tcW w:w="6467"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97D7CED" w14:textId="77777777" w:rsidR="004D0B3A" w:rsidRPr="00B01F9E" w:rsidRDefault="004D0B3A">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N/A </w:t>
            </w:r>
          </w:p>
        </w:tc>
      </w:tr>
    </w:tbl>
    <w:p w14:paraId="0C047786" w14:textId="214F3282" w:rsidR="00662430" w:rsidRPr="00B01F9E" w:rsidRDefault="00662430" w:rsidP="00191BDF">
      <w:pPr>
        <w:rPr>
          <w:rFonts w:ascii="Arial" w:eastAsia="Times New Roman" w:hAnsi="Arial" w:cs="Arial"/>
          <w:bCs/>
          <w:sz w:val="20"/>
          <w:szCs w:val="20"/>
        </w:rPr>
      </w:pPr>
      <w:r w:rsidRPr="00B01F9E">
        <w:rPr>
          <w:rStyle w:val="normaltextrun"/>
          <w:rFonts w:ascii="Arial" w:hAnsi="Arial" w:cs="Arial"/>
          <w:color w:val="000000"/>
          <w:sz w:val="20"/>
          <w:szCs w:val="20"/>
          <w:shd w:val="clear" w:color="auto" w:fill="FFFFFF"/>
        </w:rPr>
        <w:lastRenderedPageBreak/>
        <w:t xml:space="preserve">The required format for delivery to the CAP is XML or JSON. </w:t>
      </w:r>
      <w:r w:rsidRPr="00B01F9E">
        <w:rPr>
          <w:rStyle w:val="normaltextrun"/>
          <w:rFonts w:ascii="Arial" w:hAnsi="Arial" w:cs="Arial"/>
          <w:sz w:val="20"/>
          <w:szCs w:val="20"/>
          <w:shd w:val="clear" w:color="auto" w:fill="FFFFFF"/>
        </w:rPr>
        <w:t xml:space="preserve">The original design anticipated that the laboratory would be able to export the LIDR Test Compendium Report from Epic and store it in a local network location for pickup by the CAP interface engine, ELLKAY. From there it could be delivered via an interface directly to the CAP data warehouse for analysis. Duke was unable to set up this </w:t>
      </w:r>
      <w:r w:rsidR="00347A60" w:rsidRPr="00B01F9E">
        <w:rPr>
          <w:rStyle w:val="normaltextrun"/>
          <w:rFonts w:ascii="Arial" w:hAnsi="Arial" w:cs="Arial"/>
          <w:sz w:val="20"/>
          <w:szCs w:val="20"/>
          <w:shd w:val="clear" w:color="auto" w:fill="FFFFFF"/>
        </w:rPr>
        <w:t>configuration,</w:t>
      </w:r>
      <w:r w:rsidRPr="00B01F9E">
        <w:rPr>
          <w:rStyle w:val="normaltextrun"/>
          <w:rFonts w:ascii="Arial" w:hAnsi="Arial" w:cs="Arial"/>
          <w:sz w:val="20"/>
          <w:szCs w:val="20"/>
          <w:shd w:val="clear" w:color="auto" w:fill="FFFFFF"/>
        </w:rPr>
        <w:t xml:space="preserve"> so the alternate method was utilized: exporting the file, naming it in a preferred format which identifies the laboratory, and emailing it to the CAP where it was consumed and analyzed. In a future state, an alternative </w:t>
      </w:r>
      <w:r w:rsidR="00A539B9" w:rsidRPr="00B01F9E">
        <w:rPr>
          <w:rStyle w:val="normaltextrun"/>
          <w:rFonts w:ascii="Arial" w:hAnsi="Arial" w:cs="Arial"/>
          <w:sz w:val="20"/>
          <w:szCs w:val="20"/>
          <w:shd w:val="clear" w:color="auto" w:fill="FFFFFF"/>
        </w:rPr>
        <w:t xml:space="preserve">method </w:t>
      </w:r>
      <w:r w:rsidRPr="00B01F9E">
        <w:rPr>
          <w:rStyle w:val="normaltextrun"/>
          <w:rFonts w:ascii="Arial" w:hAnsi="Arial" w:cs="Arial"/>
          <w:sz w:val="20"/>
          <w:szCs w:val="20"/>
          <w:shd w:val="clear" w:color="auto" w:fill="FFFFFF"/>
        </w:rPr>
        <w:t>would involve the participating laboratory uploading it into a CAP web portal.</w:t>
      </w:r>
      <w:r w:rsidRPr="00B01F9E">
        <w:rPr>
          <w:rStyle w:val="eop"/>
          <w:rFonts w:ascii="Arial" w:hAnsi="Arial" w:cs="Arial"/>
          <w:sz w:val="20"/>
          <w:szCs w:val="20"/>
          <w:shd w:val="clear" w:color="auto" w:fill="FFFFFF"/>
        </w:rPr>
        <w:t> </w:t>
      </w:r>
    </w:p>
    <w:p w14:paraId="02939C96" w14:textId="268C3F23" w:rsidR="00E5357E" w:rsidRPr="00B01F9E" w:rsidRDefault="00B84570" w:rsidP="4A53FECC">
      <w:pPr>
        <w:pStyle w:val="Heading2"/>
        <w:spacing w:before="0" w:after="120"/>
        <w:rPr>
          <w:rFonts w:ascii="Arial" w:hAnsi="Arial" w:cs="Arial"/>
          <w:b/>
          <w:bCs/>
          <w:color w:val="009BBF"/>
          <w:sz w:val="20"/>
          <w:szCs w:val="20"/>
        </w:rPr>
      </w:pPr>
      <w:bookmarkStart w:id="19" w:name="_3.4_Simulate_Test"/>
      <w:bookmarkStart w:id="20" w:name="_Toc177136986"/>
      <w:bookmarkEnd w:id="19"/>
      <w:r w:rsidRPr="00B01F9E">
        <w:rPr>
          <w:rFonts w:ascii="Arial" w:hAnsi="Arial" w:cs="Arial"/>
          <w:b/>
          <w:color w:val="009BBF"/>
          <w:sz w:val="20"/>
          <w:szCs w:val="20"/>
        </w:rPr>
        <w:t>3</w:t>
      </w:r>
      <w:r w:rsidR="00E5357E" w:rsidRPr="00B01F9E">
        <w:rPr>
          <w:rFonts w:ascii="Arial" w:hAnsi="Arial" w:cs="Arial"/>
          <w:b/>
          <w:color w:val="009BBF"/>
          <w:sz w:val="20"/>
          <w:szCs w:val="20"/>
        </w:rPr>
        <w:t xml:space="preserve">.4 </w:t>
      </w:r>
      <w:r w:rsidR="00E5357E" w:rsidRPr="00B01F9E">
        <w:rPr>
          <w:rFonts w:ascii="Arial" w:hAnsi="Arial" w:cs="Arial"/>
          <w:b/>
          <w:bCs/>
          <w:color w:val="009BBF"/>
          <w:sz w:val="20"/>
          <w:szCs w:val="20"/>
        </w:rPr>
        <w:t>Simulate Test Submission</w:t>
      </w:r>
      <w:bookmarkEnd w:id="20"/>
      <w:r w:rsidR="00E5357E" w:rsidRPr="00B01F9E">
        <w:rPr>
          <w:rFonts w:ascii="Arial" w:hAnsi="Arial" w:cs="Arial"/>
          <w:b/>
          <w:bCs/>
          <w:color w:val="009BBF"/>
          <w:sz w:val="20"/>
          <w:szCs w:val="20"/>
        </w:rPr>
        <w:t xml:space="preserve"> </w:t>
      </w:r>
    </w:p>
    <w:p w14:paraId="5E64E41B" w14:textId="39196B31" w:rsidR="00CA02B7" w:rsidRPr="00B01F9E" w:rsidRDefault="00CA02B7" w:rsidP="4A53FECC">
      <w:pPr>
        <w:spacing w:after="120"/>
        <w:rPr>
          <w:rFonts w:ascii="Arial" w:hAnsi="Arial" w:cs="Arial"/>
          <w:sz w:val="20"/>
          <w:szCs w:val="20"/>
        </w:rPr>
      </w:pPr>
      <w:r w:rsidRPr="00B01F9E">
        <w:rPr>
          <w:rFonts w:ascii="Arial" w:hAnsi="Arial" w:cs="Arial"/>
          <w:sz w:val="20"/>
          <w:szCs w:val="20"/>
        </w:rPr>
        <w:t>A component of the QA Program use</w:t>
      </w:r>
      <w:r w:rsidR="00E05519" w:rsidRPr="00B01F9E">
        <w:rPr>
          <w:rFonts w:ascii="Arial" w:hAnsi="Arial" w:cs="Arial"/>
          <w:sz w:val="20"/>
          <w:szCs w:val="20"/>
        </w:rPr>
        <w:t>d</w:t>
      </w:r>
      <w:r w:rsidRPr="00B01F9E">
        <w:rPr>
          <w:rFonts w:ascii="Arial" w:hAnsi="Arial" w:cs="Arial"/>
          <w:sz w:val="20"/>
          <w:szCs w:val="20"/>
        </w:rPr>
        <w:t xml:space="preserve"> an HL7 interface to transmit encoded laboratory test results from the information system of a laboratory to the CAP using appropriate LIDR elements. </w:t>
      </w:r>
    </w:p>
    <w:p w14:paraId="5F8FCBEE" w14:textId="2CF0B96A" w:rsidR="00CA02B7" w:rsidRPr="00B01F9E" w:rsidRDefault="00CA02B7" w:rsidP="00C83847">
      <w:pPr>
        <w:spacing w:after="120"/>
        <w:rPr>
          <w:rFonts w:ascii="Arial" w:hAnsi="Arial" w:cs="Arial"/>
          <w:sz w:val="20"/>
          <w:szCs w:val="20"/>
        </w:rPr>
      </w:pPr>
      <w:r w:rsidRPr="00B01F9E">
        <w:rPr>
          <w:rFonts w:ascii="Arial" w:hAnsi="Arial" w:cs="Arial"/>
          <w:sz w:val="20"/>
          <w:szCs w:val="20"/>
        </w:rPr>
        <w:t xml:space="preserve">The workflows and features of the QA Program are illustrated below (Figure </w:t>
      </w:r>
      <w:r w:rsidR="00E120AA" w:rsidRPr="00B01F9E">
        <w:rPr>
          <w:rFonts w:ascii="Arial" w:hAnsi="Arial" w:cs="Arial"/>
          <w:sz w:val="20"/>
          <w:szCs w:val="20"/>
        </w:rPr>
        <w:t>6</w:t>
      </w:r>
      <w:r w:rsidRPr="00B01F9E">
        <w:rPr>
          <w:rFonts w:ascii="Arial" w:hAnsi="Arial" w:cs="Arial"/>
          <w:sz w:val="20"/>
          <w:szCs w:val="20"/>
        </w:rPr>
        <w:t xml:space="preserve">). This </w:t>
      </w:r>
      <w:r w:rsidR="005E42FD" w:rsidRPr="00B01F9E">
        <w:rPr>
          <w:rFonts w:ascii="Arial" w:hAnsi="Arial" w:cs="Arial"/>
          <w:sz w:val="20"/>
          <w:szCs w:val="20"/>
        </w:rPr>
        <w:t xml:space="preserve">section </w:t>
      </w:r>
      <w:r w:rsidRPr="00B01F9E">
        <w:rPr>
          <w:rFonts w:ascii="Arial" w:hAnsi="Arial" w:cs="Arial"/>
          <w:sz w:val="20"/>
          <w:szCs w:val="20"/>
        </w:rPr>
        <w:t xml:space="preserve">discusses the process involved in generating the </w:t>
      </w:r>
      <w:r w:rsidR="00D60A51" w:rsidRPr="00B01F9E">
        <w:rPr>
          <w:rFonts w:ascii="Arial" w:hAnsi="Arial" w:cs="Arial"/>
          <w:sz w:val="20"/>
          <w:szCs w:val="20"/>
        </w:rPr>
        <w:t>I</w:t>
      </w:r>
      <w:r w:rsidRPr="00B01F9E">
        <w:rPr>
          <w:rFonts w:ascii="Arial" w:hAnsi="Arial" w:cs="Arial"/>
          <w:sz w:val="20"/>
          <w:szCs w:val="20"/>
        </w:rPr>
        <w:t>nstance</w:t>
      </w:r>
      <w:r w:rsidR="00D60A51" w:rsidRPr="00B01F9E">
        <w:rPr>
          <w:rFonts w:ascii="Arial" w:hAnsi="Arial" w:cs="Arial"/>
          <w:sz w:val="20"/>
          <w:szCs w:val="20"/>
        </w:rPr>
        <w:t xml:space="preserve"> Error</w:t>
      </w:r>
      <w:r w:rsidRPr="00B01F9E">
        <w:rPr>
          <w:rFonts w:ascii="Arial" w:hAnsi="Arial" w:cs="Arial"/>
          <w:sz w:val="20"/>
          <w:szCs w:val="20"/>
        </w:rPr>
        <w:t xml:space="preserve"> </w:t>
      </w:r>
      <w:r w:rsidR="00D60A51" w:rsidRPr="00B01F9E">
        <w:rPr>
          <w:rFonts w:ascii="Arial" w:hAnsi="Arial" w:cs="Arial"/>
          <w:sz w:val="20"/>
          <w:szCs w:val="20"/>
        </w:rPr>
        <w:t>C</w:t>
      </w:r>
      <w:r w:rsidRPr="00B01F9E">
        <w:rPr>
          <w:rFonts w:ascii="Arial" w:hAnsi="Arial" w:cs="Arial"/>
          <w:sz w:val="20"/>
          <w:szCs w:val="20"/>
        </w:rPr>
        <w:t xml:space="preserve">heck result messages and the findings from message analysis. </w:t>
      </w:r>
    </w:p>
    <w:p w14:paraId="154D8F6F" w14:textId="0727B8F3" w:rsidR="00052BAC" w:rsidRPr="00B01F9E" w:rsidRDefault="00052BAC" w:rsidP="00C83847">
      <w:pPr>
        <w:pStyle w:val="Heading5"/>
        <w:spacing w:before="0"/>
        <w:rPr>
          <w:rFonts w:ascii="Arial" w:hAnsi="Arial" w:cs="Arial"/>
          <w:b/>
          <w:bCs/>
          <w:color w:val="009BBF"/>
          <w:sz w:val="20"/>
          <w:szCs w:val="20"/>
        </w:rPr>
      </w:pPr>
      <w:r w:rsidRPr="00B01F9E">
        <w:rPr>
          <w:rFonts w:ascii="Arial" w:hAnsi="Arial" w:cs="Arial"/>
          <w:b/>
          <w:color w:val="009BBF"/>
          <w:sz w:val="20"/>
          <w:szCs w:val="20"/>
        </w:rPr>
        <w:lastRenderedPageBreak/>
        <w:t xml:space="preserve">Figure </w:t>
      </w:r>
      <w:r w:rsidR="00E120AA" w:rsidRPr="00B01F9E">
        <w:rPr>
          <w:rFonts w:ascii="Arial" w:hAnsi="Arial" w:cs="Arial"/>
          <w:b/>
          <w:color w:val="009BBF"/>
          <w:sz w:val="20"/>
          <w:szCs w:val="20"/>
        </w:rPr>
        <w:t>6</w:t>
      </w:r>
      <w:r w:rsidR="00E120AA" w:rsidRPr="00B01F9E">
        <w:rPr>
          <w:rFonts w:ascii="Arial" w:hAnsi="Arial" w:cs="Arial"/>
          <w:b/>
          <w:bCs/>
          <w:color w:val="009BBF"/>
          <w:sz w:val="20"/>
          <w:szCs w:val="20"/>
        </w:rPr>
        <w:t>:</w:t>
      </w:r>
      <w:r w:rsidRPr="00B01F9E">
        <w:rPr>
          <w:rFonts w:ascii="Arial" w:hAnsi="Arial" w:cs="Arial"/>
          <w:b/>
          <w:bCs/>
          <w:color w:val="009BBF"/>
          <w:sz w:val="20"/>
          <w:szCs w:val="20"/>
        </w:rPr>
        <w:t xml:space="preserve"> Workflows and Features of the QA Program POC</w:t>
      </w:r>
      <w:r w:rsidR="00B66E0D" w:rsidRPr="00B01F9E">
        <w:rPr>
          <w:rFonts w:ascii="Arial" w:hAnsi="Arial" w:cs="Arial"/>
          <w:b/>
          <w:bCs/>
          <w:color w:val="009BBF"/>
          <w:sz w:val="20"/>
          <w:szCs w:val="20"/>
        </w:rPr>
        <w:t xml:space="preserve"> </w:t>
      </w:r>
    </w:p>
    <w:p w14:paraId="40877B45" w14:textId="51B3F8E5" w:rsidR="008703EE" w:rsidRPr="00B01F9E" w:rsidRDefault="00207910" w:rsidP="006E661C">
      <w:pPr>
        <w:spacing w:after="120" w:line="240" w:lineRule="auto"/>
        <w:textAlignment w:val="baseline"/>
        <w:rPr>
          <w:rFonts w:ascii="Arial" w:eastAsia="Times New Roman" w:hAnsi="Arial" w:cs="Arial"/>
          <w:b/>
          <w:sz w:val="20"/>
          <w:szCs w:val="20"/>
        </w:rPr>
        <w:sectPr w:rsidR="008703EE" w:rsidRPr="00B01F9E" w:rsidSect="00C5319E">
          <w:headerReference w:type="default" r:id="rId32"/>
          <w:footerReference w:type="default" r:id="rId33"/>
          <w:pgSz w:w="12240" w:h="15840"/>
          <w:pgMar w:top="1440" w:right="1440" w:bottom="1440" w:left="1440" w:header="0" w:footer="720" w:gutter="0"/>
          <w:cols w:space="720"/>
          <w:docGrid w:linePitch="360"/>
        </w:sectPr>
      </w:pPr>
      <w:r w:rsidRPr="00B01F9E">
        <w:rPr>
          <w:rFonts w:ascii="Arial" w:eastAsia="Times New Roman" w:hAnsi="Arial" w:cs="Arial"/>
          <w:b/>
          <w:noProof/>
          <w:sz w:val="20"/>
          <w:szCs w:val="20"/>
        </w:rPr>
        <w:drawing>
          <wp:inline distT="0" distB="0" distL="0" distR="0" wp14:anchorId="4CE71DDC" wp14:editId="605FAE70">
            <wp:extent cx="5943600" cy="6032500"/>
            <wp:effectExtent l="0" t="0" r="0" b="6350"/>
            <wp:docPr id="162459255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592557" name="Graphic 1624592557"/>
                    <pic:cNvPicPr/>
                  </pic:nvPicPr>
                  <pic:blipFill>
                    <a:blip r:embed="rId34">
                      <a:extLst>
                        <a:ext uri="{96DAC541-7B7A-43D3-8B79-37D633B846F1}">
                          <asvg:svgBlip xmlns:asvg="http://schemas.microsoft.com/office/drawing/2016/SVG/main" r:embed="rId35"/>
                        </a:ext>
                      </a:extLst>
                    </a:blip>
                    <a:stretch>
                      <a:fillRect/>
                    </a:stretch>
                  </pic:blipFill>
                  <pic:spPr>
                    <a:xfrm>
                      <a:off x="0" y="0"/>
                      <a:ext cx="5943600" cy="6032500"/>
                    </a:xfrm>
                    <a:prstGeom prst="rect">
                      <a:avLst/>
                    </a:prstGeom>
                  </pic:spPr>
                </pic:pic>
              </a:graphicData>
            </a:graphic>
          </wp:inline>
        </w:drawing>
      </w:r>
    </w:p>
    <w:p w14:paraId="4CF89C14" w14:textId="5A32039D" w:rsidR="00F71371" w:rsidRPr="00B01F9E" w:rsidRDefault="00F71371" w:rsidP="00C83847">
      <w:pPr>
        <w:spacing w:after="120" w:line="240" w:lineRule="auto"/>
        <w:textAlignment w:val="baseline"/>
        <w:rPr>
          <w:rFonts w:ascii="Arial" w:eastAsia="Times New Roman" w:hAnsi="Arial" w:cs="Arial"/>
          <w:b/>
          <w:sz w:val="20"/>
          <w:szCs w:val="20"/>
        </w:rPr>
      </w:pPr>
      <w:r w:rsidRPr="00B01F9E">
        <w:rPr>
          <w:rFonts w:ascii="Arial" w:eastAsia="Times New Roman" w:hAnsi="Arial" w:cs="Arial"/>
          <w:b/>
          <w:sz w:val="20"/>
          <w:szCs w:val="20"/>
        </w:rPr>
        <w:lastRenderedPageBreak/>
        <w:t xml:space="preserve">Instance </w:t>
      </w:r>
      <w:r w:rsidR="00A67582" w:rsidRPr="00B01F9E">
        <w:rPr>
          <w:rFonts w:ascii="Arial" w:eastAsia="Times New Roman" w:hAnsi="Arial" w:cs="Arial"/>
          <w:b/>
          <w:sz w:val="20"/>
          <w:szCs w:val="20"/>
        </w:rPr>
        <w:t xml:space="preserve">Error </w:t>
      </w:r>
      <w:r w:rsidRPr="00B01F9E">
        <w:rPr>
          <w:rFonts w:ascii="Arial" w:eastAsia="Times New Roman" w:hAnsi="Arial" w:cs="Arial"/>
          <w:b/>
          <w:sz w:val="20"/>
          <w:szCs w:val="20"/>
        </w:rPr>
        <w:t>Check Workflow and Data Transfer</w:t>
      </w:r>
    </w:p>
    <w:p w14:paraId="3B706E42" w14:textId="3E99EB71" w:rsidR="008A4C33" w:rsidRPr="00B01F9E" w:rsidRDefault="008A4C33" w:rsidP="00C83847">
      <w:pPr>
        <w:spacing w:after="120"/>
        <w:rPr>
          <w:rFonts w:ascii="Arial" w:hAnsi="Arial" w:cs="Arial"/>
          <w:sz w:val="20"/>
          <w:szCs w:val="20"/>
        </w:rPr>
      </w:pPr>
      <w:r w:rsidRPr="00B01F9E">
        <w:rPr>
          <w:rFonts w:ascii="Arial" w:hAnsi="Arial" w:cs="Arial"/>
          <w:b/>
          <w:bCs/>
          <w:sz w:val="20"/>
          <w:szCs w:val="20"/>
        </w:rPr>
        <w:t>Workflow:</w:t>
      </w:r>
      <w:r w:rsidRPr="00B01F9E">
        <w:rPr>
          <w:rFonts w:ascii="Arial" w:hAnsi="Arial" w:cs="Arial"/>
          <w:sz w:val="20"/>
          <w:szCs w:val="20"/>
        </w:rPr>
        <w:t xml:space="preserve"> Once the laboratory confirm</w:t>
      </w:r>
      <w:r w:rsidR="00A558C0" w:rsidRPr="00B01F9E">
        <w:rPr>
          <w:rFonts w:ascii="Arial" w:hAnsi="Arial" w:cs="Arial"/>
          <w:sz w:val="20"/>
          <w:szCs w:val="20"/>
        </w:rPr>
        <w:t>ed</w:t>
      </w:r>
      <w:r w:rsidRPr="00B01F9E">
        <w:rPr>
          <w:rFonts w:ascii="Arial" w:hAnsi="Arial" w:cs="Arial"/>
          <w:sz w:val="20"/>
          <w:szCs w:val="20"/>
        </w:rPr>
        <w:t xml:space="preserve"> that the test definitions within their LIS </w:t>
      </w:r>
      <w:r w:rsidR="00A558C0" w:rsidRPr="00B01F9E">
        <w:rPr>
          <w:rFonts w:ascii="Arial" w:hAnsi="Arial" w:cs="Arial"/>
          <w:sz w:val="20"/>
          <w:szCs w:val="20"/>
        </w:rPr>
        <w:t>were</w:t>
      </w:r>
      <w:r w:rsidRPr="00B01F9E">
        <w:rPr>
          <w:rFonts w:ascii="Arial" w:hAnsi="Arial" w:cs="Arial"/>
          <w:sz w:val="20"/>
          <w:szCs w:val="20"/>
        </w:rPr>
        <w:t xml:space="preserve"> satisfactory by performing the self-</w:t>
      </w:r>
      <w:r w:rsidR="00231655" w:rsidRPr="00B01F9E">
        <w:rPr>
          <w:rFonts w:ascii="Arial" w:hAnsi="Arial" w:cs="Arial"/>
          <w:sz w:val="20"/>
          <w:szCs w:val="20"/>
        </w:rPr>
        <w:t>assessment</w:t>
      </w:r>
      <w:r w:rsidRPr="00B01F9E">
        <w:rPr>
          <w:rFonts w:ascii="Arial" w:hAnsi="Arial" w:cs="Arial"/>
          <w:sz w:val="20"/>
          <w:szCs w:val="20"/>
        </w:rPr>
        <w:t>, the laboratory staff proceed</w:t>
      </w:r>
      <w:r w:rsidR="00A558C0" w:rsidRPr="00B01F9E">
        <w:rPr>
          <w:rFonts w:ascii="Arial" w:hAnsi="Arial" w:cs="Arial"/>
          <w:sz w:val="20"/>
          <w:szCs w:val="20"/>
        </w:rPr>
        <w:t>ed</w:t>
      </w:r>
      <w:r w:rsidRPr="00B01F9E">
        <w:rPr>
          <w:rFonts w:ascii="Arial" w:hAnsi="Arial" w:cs="Arial"/>
          <w:sz w:val="20"/>
          <w:szCs w:val="20"/>
        </w:rPr>
        <w:t xml:space="preserve"> with the </w:t>
      </w:r>
      <w:r w:rsidR="00A558C0" w:rsidRPr="00B01F9E">
        <w:rPr>
          <w:rFonts w:ascii="Arial" w:hAnsi="Arial" w:cs="Arial"/>
          <w:sz w:val="20"/>
          <w:szCs w:val="20"/>
        </w:rPr>
        <w:t>I</w:t>
      </w:r>
      <w:r w:rsidRPr="00B01F9E">
        <w:rPr>
          <w:rFonts w:ascii="Arial" w:hAnsi="Arial" w:cs="Arial"/>
          <w:sz w:val="20"/>
          <w:szCs w:val="20"/>
        </w:rPr>
        <w:t xml:space="preserve">nstance </w:t>
      </w:r>
      <w:r w:rsidR="00A558C0" w:rsidRPr="00B01F9E">
        <w:rPr>
          <w:rFonts w:ascii="Arial" w:hAnsi="Arial" w:cs="Arial"/>
          <w:sz w:val="20"/>
          <w:szCs w:val="20"/>
        </w:rPr>
        <w:t>Error C</w:t>
      </w:r>
      <w:r w:rsidRPr="00B01F9E">
        <w:rPr>
          <w:rFonts w:ascii="Arial" w:hAnsi="Arial" w:cs="Arial"/>
          <w:sz w:val="20"/>
          <w:szCs w:val="20"/>
        </w:rPr>
        <w:t>heck within the test environment of their LIS. This process require</w:t>
      </w:r>
      <w:r w:rsidR="00A558C0" w:rsidRPr="00B01F9E">
        <w:rPr>
          <w:rFonts w:ascii="Arial" w:hAnsi="Arial" w:cs="Arial"/>
          <w:sz w:val="20"/>
          <w:szCs w:val="20"/>
        </w:rPr>
        <w:t>d</w:t>
      </w:r>
      <w:r w:rsidRPr="00B01F9E">
        <w:rPr>
          <w:rFonts w:ascii="Arial" w:hAnsi="Arial" w:cs="Arial"/>
          <w:sz w:val="20"/>
          <w:szCs w:val="20"/>
        </w:rPr>
        <w:t xml:space="preserve"> the laboratory staff to place an order for the indicated tests using the same workflow used for ordering tests from proficiency testing surveys. Once the order </w:t>
      </w:r>
      <w:r w:rsidR="00A558C0" w:rsidRPr="00B01F9E">
        <w:rPr>
          <w:rFonts w:ascii="Arial" w:hAnsi="Arial" w:cs="Arial"/>
          <w:sz w:val="20"/>
          <w:szCs w:val="20"/>
        </w:rPr>
        <w:t>was</w:t>
      </w:r>
      <w:r w:rsidRPr="00B01F9E">
        <w:rPr>
          <w:rFonts w:ascii="Arial" w:hAnsi="Arial" w:cs="Arial"/>
          <w:sz w:val="20"/>
          <w:szCs w:val="20"/>
        </w:rPr>
        <w:t xml:space="preserve"> placed, the tests </w:t>
      </w:r>
      <w:bookmarkStart w:id="21" w:name="_Int_EK8WYNZt"/>
      <w:proofErr w:type="gramStart"/>
      <w:r w:rsidR="00A558C0" w:rsidRPr="00B01F9E">
        <w:rPr>
          <w:rFonts w:ascii="Arial" w:hAnsi="Arial" w:cs="Arial"/>
          <w:sz w:val="20"/>
          <w:szCs w:val="20"/>
        </w:rPr>
        <w:t>were</w:t>
      </w:r>
      <w:r w:rsidRPr="00B01F9E">
        <w:rPr>
          <w:rFonts w:ascii="Arial" w:hAnsi="Arial" w:cs="Arial"/>
          <w:sz w:val="20"/>
          <w:szCs w:val="20"/>
        </w:rPr>
        <w:t xml:space="preserve"> resulted</w:t>
      </w:r>
      <w:bookmarkEnd w:id="21"/>
      <w:proofErr w:type="gramEnd"/>
      <w:r w:rsidRPr="00B01F9E">
        <w:rPr>
          <w:rFonts w:ascii="Arial" w:hAnsi="Arial" w:cs="Arial"/>
          <w:sz w:val="20"/>
          <w:szCs w:val="20"/>
        </w:rPr>
        <w:t xml:space="preserve"> in the LIS with simulated test results. These results </w:t>
      </w:r>
      <w:r w:rsidR="00A558C0" w:rsidRPr="00B01F9E">
        <w:rPr>
          <w:rFonts w:ascii="Arial" w:hAnsi="Arial" w:cs="Arial"/>
          <w:sz w:val="20"/>
          <w:szCs w:val="20"/>
        </w:rPr>
        <w:t>were</w:t>
      </w:r>
      <w:r w:rsidRPr="00B01F9E">
        <w:rPr>
          <w:rFonts w:ascii="Arial" w:hAnsi="Arial" w:cs="Arial"/>
          <w:sz w:val="20"/>
          <w:szCs w:val="20"/>
        </w:rPr>
        <w:t xml:space="preserve"> transmitted electronically to the CAP via the HL7 result interface.</w:t>
      </w:r>
    </w:p>
    <w:p w14:paraId="6342A055" w14:textId="0E17575B" w:rsidR="008A4C33" w:rsidRPr="00B01F9E" w:rsidRDefault="008A4C33" w:rsidP="00C83847">
      <w:pPr>
        <w:spacing w:after="120"/>
        <w:rPr>
          <w:rFonts w:ascii="Arial" w:hAnsi="Arial" w:cs="Arial"/>
          <w:sz w:val="20"/>
          <w:szCs w:val="20"/>
        </w:rPr>
      </w:pPr>
      <w:r w:rsidRPr="00B01F9E">
        <w:rPr>
          <w:rFonts w:ascii="Arial" w:hAnsi="Arial" w:cs="Arial"/>
          <w:b/>
          <w:bCs/>
          <w:sz w:val="20"/>
          <w:szCs w:val="20"/>
        </w:rPr>
        <w:t xml:space="preserve">Data </w:t>
      </w:r>
      <w:r w:rsidR="00FE209B" w:rsidRPr="00B01F9E">
        <w:rPr>
          <w:rFonts w:ascii="Arial" w:hAnsi="Arial" w:cs="Arial"/>
          <w:b/>
          <w:bCs/>
          <w:sz w:val="20"/>
          <w:szCs w:val="20"/>
        </w:rPr>
        <w:t>T</w:t>
      </w:r>
      <w:r w:rsidRPr="00B01F9E">
        <w:rPr>
          <w:rFonts w:ascii="Arial" w:hAnsi="Arial" w:cs="Arial"/>
          <w:b/>
          <w:bCs/>
          <w:sz w:val="20"/>
          <w:szCs w:val="20"/>
        </w:rPr>
        <w:t>ransfer:</w:t>
      </w:r>
      <w:r w:rsidRPr="00B01F9E">
        <w:rPr>
          <w:rFonts w:ascii="Arial" w:hAnsi="Arial" w:cs="Arial"/>
          <w:sz w:val="20"/>
          <w:szCs w:val="20"/>
        </w:rPr>
        <w:t xml:space="preserve"> Result messages from the Epic result interface </w:t>
      </w:r>
      <w:r w:rsidR="00A558C0" w:rsidRPr="00B01F9E">
        <w:rPr>
          <w:rFonts w:ascii="Arial" w:hAnsi="Arial" w:cs="Arial"/>
          <w:sz w:val="20"/>
          <w:szCs w:val="20"/>
        </w:rPr>
        <w:t>were</w:t>
      </w:r>
      <w:r w:rsidRPr="00B01F9E">
        <w:rPr>
          <w:rFonts w:ascii="Arial" w:hAnsi="Arial" w:cs="Arial"/>
          <w:sz w:val="20"/>
          <w:szCs w:val="20"/>
        </w:rPr>
        <w:t xml:space="preserve"> routed to the </w:t>
      </w:r>
      <w:bookmarkStart w:id="22" w:name="_Int_qBXik7YN"/>
      <w:proofErr w:type="gramStart"/>
      <w:r w:rsidRPr="00B01F9E">
        <w:rPr>
          <w:rFonts w:ascii="Arial" w:hAnsi="Arial" w:cs="Arial"/>
          <w:sz w:val="20"/>
          <w:szCs w:val="20"/>
        </w:rPr>
        <w:t>Duke</w:t>
      </w:r>
      <w:bookmarkEnd w:id="22"/>
      <w:proofErr w:type="gramEnd"/>
      <w:r w:rsidRPr="00B01F9E">
        <w:rPr>
          <w:rFonts w:ascii="Arial" w:hAnsi="Arial" w:cs="Arial"/>
          <w:sz w:val="20"/>
          <w:szCs w:val="20"/>
        </w:rPr>
        <w:t xml:space="preserve"> interface engine. The interface engine edit</w:t>
      </w:r>
      <w:r w:rsidR="00A558C0" w:rsidRPr="00B01F9E">
        <w:rPr>
          <w:rFonts w:ascii="Arial" w:hAnsi="Arial" w:cs="Arial"/>
          <w:sz w:val="20"/>
          <w:szCs w:val="20"/>
        </w:rPr>
        <w:t>ed</w:t>
      </w:r>
      <w:r w:rsidRPr="00B01F9E">
        <w:rPr>
          <w:rFonts w:ascii="Arial" w:hAnsi="Arial" w:cs="Arial"/>
          <w:sz w:val="20"/>
          <w:szCs w:val="20"/>
        </w:rPr>
        <w:t xml:space="preserve"> the messages to match interface specifications provided during environment </w:t>
      </w:r>
      <w:r w:rsidR="00A558C0" w:rsidRPr="00B01F9E">
        <w:rPr>
          <w:rFonts w:ascii="Arial" w:hAnsi="Arial" w:cs="Arial"/>
          <w:sz w:val="20"/>
          <w:szCs w:val="20"/>
        </w:rPr>
        <w:t>development</w:t>
      </w:r>
      <w:r w:rsidRPr="00B01F9E">
        <w:rPr>
          <w:rFonts w:ascii="Arial" w:hAnsi="Arial" w:cs="Arial"/>
          <w:sz w:val="20"/>
          <w:szCs w:val="20"/>
        </w:rPr>
        <w:t xml:space="preserve">. This transformation </w:t>
      </w:r>
      <w:r w:rsidR="00A558C0" w:rsidRPr="00B01F9E">
        <w:rPr>
          <w:rFonts w:ascii="Arial" w:hAnsi="Arial" w:cs="Arial"/>
          <w:sz w:val="20"/>
          <w:szCs w:val="20"/>
        </w:rPr>
        <w:t>was</w:t>
      </w:r>
      <w:r w:rsidRPr="00B01F9E">
        <w:rPr>
          <w:rFonts w:ascii="Arial" w:hAnsi="Arial" w:cs="Arial"/>
          <w:sz w:val="20"/>
          <w:szCs w:val="20"/>
        </w:rPr>
        <w:t xml:space="preserve"> necessary because the LIS c</w:t>
      </w:r>
      <w:r w:rsidR="00A558C0" w:rsidRPr="00B01F9E">
        <w:rPr>
          <w:rFonts w:ascii="Arial" w:hAnsi="Arial" w:cs="Arial"/>
          <w:sz w:val="20"/>
          <w:szCs w:val="20"/>
        </w:rPr>
        <w:t>ould not</w:t>
      </w:r>
      <w:r w:rsidRPr="00B01F9E">
        <w:rPr>
          <w:rFonts w:ascii="Arial" w:hAnsi="Arial" w:cs="Arial"/>
          <w:sz w:val="20"/>
          <w:szCs w:val="20"/>
        </w:rPr>
        <w:t xml:space="preserve"> send all LIDR elements in the expected HL7 segments (</w:t>
      </w:r>
      <w:hyperlink w:anchor="Table_3" w:history="1">
        <w:r w:rsidR="0075754F" w:rsidRPr="00B01F9E">
          <w:rPr>
            <w:rStyle w:val="Hyperlink"/>
            <w:rFonts w:ascii="Arial" w:hAnsi="Arial" w:cs="Arial"/>
            <w:sz w:val="20"/>
            <w:szCs w:val="20"/>
          </w:rPr>
          <w:t>Table 3)</w:t>
        </w:r>
      </w:hyperlink>
      <w:r w:rsidR="00FC4FE9" w:rsidRPr="00B01F9E">
        <w:rPr>
          <w:rStyle w:val="Hyperlink"/>
          <w:rFonts w:ascii="Arial" w:hAnsi="Arial" w:cs="Arial"/>
          <w:color w:val="auto"/>
          <w:sz w:val="20"/>
          <w:szCs w:val="20"/>
          <w:u w:val="none"/>
        </w:rPr>
        <w:t>.</w:t>
      </w:r>
      <w:r w:rsidR="00B8743E" w:rsidRPr="00B01F9E">
        <w:rPr>
          <w:rStyle w:val="Hyperlink"/>
          <w:rFonts w:ascii="Arial" w:hAnsi="Arial" w:cs="Arial"/>
          <w:color w:val="auto"/>
          <w:sz w:val="20"/>
          <w:szCs w:val="20"/>
          <w:u w:val="none"/>
        </w:rPr>
        <w:t xml:space="preserve"> </w:t>
      </w:r>
      <w:r w:rsidRPr="00B01F9E">
        <w:rPr>
          <w:rFonts w:ascii="Arial" w:hAnsi="Arial" w:cs="Arial"/>
          <w:sz w:val="20"/>
          <w:szCs w:val="20"/>
        </w:rPr>
        <w:t xml:space="preserve">The edited message </w:t>
      </w:r>
      <w:r w:rsidR="00A558C0" w:rsidRPr="00B01F9E">
        <w:rPr>
          <w:rFonts w:ascii="Arial" w:hAnsi="Arial" w:cs="Arial"/>
          <w:sz w:val="20"/>
          <w:szCs w:val="20"/>
        </w:rPr>
        <w:t>was</w:t>
      </w:r>
      <w:r w:rsidRPr="00B01F9E">
        <w:rPr>
          <w:rFonts w:ascii="Arial" w:hAnsi="Arial" w:cs="Arial"/>
          <w:sz w:val="20"/>
          <w:szCs w:val="20"/>
        </w:rPr>
        <w:t xml:space="preserve"> transmitted to the CAP interface engine, </w:t>
      </w:r>
      <w:r w:rsidR="00EC3012" w:rsidRPr="00B01F9E">
        <w:rPr>
          <w:rFonts w:ascii="Arial" w:hAnsi="Arial" w:cs="Arial"/>
          <w:sz w:val="20"/>
          <w:szCs w:val="20"/>
        </w:rPr>
        <w:t xml:space="preserve">ELLKAY </w:t>
      </w:r>
      <w:r w:rsidRPr="00B01F9E">
        <w:rPr>
          <w:rFonts w:ascii="Arial" w:hAnsi="Arial" w:cs="Arial"/>
          <w:sz w:val="20"/>
          <w:szCs w:val="20"/>
        </w:rPr>
        <w:t>Orbit™, which passe</w:t>
      </w:r>
      <w:r w:rsidR="00A558C0" w:rsidRPr="00B01F9E">
        <w:rPr>
          <w:rFonts w:ascii="Arial" w:hAnsi="Arial" w:cs="Arial"/>
          <w:sz w:val="20"/>
          <w:szCs w:val="20"/>
        </w:rPr>
        <w:t>d</w:t>
      </w:r>
      <w:r w:rsidRPr="00B01F9E">
        <w:rPr>
          <w:rFonts w:ascii="Arial" w:hAnsi="Arial" w:cs="Arial"/>
          <w:sz w:val="20"/>
          <w:szCs w:val="20"/>
        </w:rPr>
        <w:t xml:space="preserve"> it to the newly created CAP HL7 interface. </w:t>
      </w:r>
    </w:p>
    <w:p w14:paraId="5B7D469D" w14:textId="40E2D484" w:rsidR="001C6BEE" w:rsidRPr="00B01F9E" w:rsidRDefault="001C6BEE" w:rsidP="00C83847">
      <w:pPr>
        <w:spacing w:after="120"/>
        <w:rPr>
          <w:rFonts w:ascii="Arial" w:hAnsi="Arial" w:cs="Arial"/>
          <w:sz w:val="20"/>
          <w:szCs w:val="20"/>
        </w:rPr>
      </w:pPr>
      <w:r w:rsidRPr="00B01F9E">
        <w:rPr>
          <w:rFonts w:ascii="Arial" w:hAnsi="Arial" w:cs="Arial"/>
          <w:b/>
          <w:bCs/>
          <w:sz w:val="20"/>
          <w:szCs w:val="20"/>
        </w:rPr>
        <w:t>Analysis:</w:t>
      </w:r>
      <w:r w:rsidRPr="00B01F9E">
        <w:rPr>
          <w:rFonts w:ascii="Arial" w:hAnsi="Arial" w:cs="Arial"/>
          <w:sz w:val="20"/>
          <w:szCs w:val="20"/>
        </w:rPr>
        <w:t xml:space="preserve"> The final HL7 result messages </w:t>
      </w:r>
      <w:r w:rsidR="00A95484" w:rsidRPr="00B01F9E">
        <w:rPr>
          <w:rFonts w:ascii="Arial" w:hAnsi="Arial" w:cs="Arial"/>
          <w:sz w:val="20"/>
          <w:szCs w:val="20"/>
        </w:rPr>
        <w:t xml:space="preserve">were </w:t>
      </w:r>
      <w:r w:rsidRPr="00B01F9E">
        <w:rPr>
          <w:rFonts w:ascii="Arial" w:hAnsi="Arial" w:cs="Arial"/>
          <w:sz w:val="20"/>
          <w:szCs w:val="20"/>
        </w:rPr>
        <w:t xml:space="preserve">collected and manually analyzed. </w:t>
      </w:r>
      <w:bookmarkStart w:id="23" w:name="_Int_bfhLurSJ"/>
      <w:r w:rsidRPr="00B01F9E">
        <w:rPr>
          <w:rFonts w:ascii="Arial" w:hAnsi="Arial" w:cs="Arial"/>
          <w:sz w:val="20"/>
          <w:szCs w:val="20"/>
        </w:rPr>
        <w:t xml:space="preserve">The analysis </w:t>
      </w:r>
      <w:r w:rsidR="00A95484" w:rsidRPr="00B01F9E">
        <w:rPr>
          <w:rFonts w:ascii="Arial" w:hAnsi="Arial" w:cs="Arial"/>
          <w:sz w:val="20"/>
          <w:szCs w:val="20"/>
        </w:rPr>
        <w:t xml:space="preserve">included </w:t>
      </w:r>
      <w:r w:rsidRPr="00B01F9E">
        <w:rPr>
          <w:rFonts w:ascii="Arial" w:hAnsi="Arial" w:cs="Arial"/>
          <w:sz w:val="20"/>
          <w:szCs w:val="20"/>
        </w:rPr>
        <w:t xml:space="preserve">a comparison to the interface specification to ensure the LIDR elements </w:t>
      </w:r>
      <w:r w:rsidR="00A558C0" w:rsidRPr="00B01F9E">
        <w:rPr>
          <w:rFonts w:ascii="Arial" w:hAnsi="Arial" w:cs="Arial"/>
          <w:sz w:val="20"/>
          <w:szCs w:val="20"/>
        </w:rPr>
        <w:t>were</w:t>
      </w:r>
      <w:r w:rsidRPr="00B01F9E">
        <w:rPr>
          <w:rFonts w:ascii="Arial" w:hAnsi="Arial" w:cs="Arial"/>
          <w:sz w:val="20"/>
          <w:szCs w:val="20"/>
        </w:rPr>
        <w:t xml:space="preserve"> in the correct segments of the HL7 message, as well as a comparison to the simulated LIDR for accurate coding.</w:t>
      </w:r>
      <w:bookmarkEnd w:id="23"/>
      <w:r w:rsidRPr="00B01F9E">
        <w:rPr>
          <w:rFonts w:ascii="Arial" w:hAnsi="Arial" w:cs="Arial"/>
          <w:sz w:val="20"/>
          <w:szCs w:val="20"/>
        </w:rPr>
        <w:t xml:space="preserve"> A summary of </w:t>
      </w:r>
      <w:r w:rsidR="002A6DF3" w:rsidRPr="00B01F9E">
        <w:rPr>
          <w:rFonts w:ascii="Arial" w:hAnsi="Arial" w:cs="Arial"/>
          <w:sz w:val="20"/>
          <w:szCs w:val="20"/>
        </w:rPr>
        <w:t>a urinalysis test</w:t>
      </w:r>
      <w:r w:rsidRPr="00B01F9E">
        <w:rPr>
          <w:rFonts w:ascii="Arial" w:hAnsi="Arial" w:cs="Arial"/>
          <w:sz w:val="20"/>
          <w:szCs w:val="20"/>
        </w:rPr>
        <w:t xml:space="preserve"> analys</w:t>
      </w:r>
      <w:r w:rsidR="006C7099" w:rsidRPr="00B01F9E">
        <w:rPr>
          <w:rFonts w:ascii="Arial" w:hAnsi="Arial" w:cs="Arial"/>
          <w:sz w:val="20"/>
          <w:szCs w:val="20"/>
        </w:rPr>
        <w:t>i</w:t>
      </w:r>
      <w:r w:rsidRPr="00B01F9E">
        <w:rPr>
          <w:rFonts w:ascii="Arial" w:hAnsi="Arial" w:cs="Arial"/>
          <w:sz w:val="20"/>
          <w:szCs w:val="20"/>
        </w:rPr>
        <w:t xml:space="preserve">s is displayed below (Table </w:t>
      </w:r>
      <w:r w:rsidR="00A829FC" w:rsidRPr="00B01F9E">
        <w:rPr>
          <w:rFonts w:ascii="Arial" w:hAnsi="Arial" w:cs="Arial"/>
          <w:sz w:val="20"/>
          <w:szCs w:val="20"/>
        </w:rPr>
        <w:t>7</w:t>
      </w:r>
      <w:r w:rsidRPr="00B01F9E">
        <w:rPr>
          <w:rFonts w:ascii="Arial" w:hAnsi="Arial" w:cs="Arial"/>
          <w:sz w:val="20"/>
          <w:szCs w:val="20"/>
        </w:rPr>
        <w:t>). The complete documentation detailing the analyses and accompanying result messages is provided as an additional attachment alongside this deliverable</w:t>
      </w:r>
      <w:r w:rsidR="00803DE3" w:rsidRPr="00B01F9E">
        <w:rPr>
          <w:rFonts w:ascii="Arial" w:hAnsi="Arial" w:cs="Arial"/>
          <w:sz w:val="20"/>
          <w:szCs w:val="20"/>
        </w:rPr>
        <w:t xml:space="preserve"> (</w:t>
      </w:r>
      <w:hyperlink w:anchor="_7.3.1_Proof_of" w:history="1">
        <w:r w:rsidR="00803DE3" w:rsidRPr="00B01F9E">
          <w:rPr>
            <w:rStyle w:val="Hyperlink"/>
            <w:rFonts w:ascii="Arial" w:hAnsi="Arial" w:cs="Arial"/>
            <w:sz w:val="20"/>
            <w:szCs w:val="20"/>
          </w:rPr>
          <w:t xml:space="preserve">Section </w:t>
        </w:r>
        <w:r w:rsidR="00D6218D" w:rsidRPr="00B01F9E">
          <w:rPr>
            <w:rStyle w:val="Hyperlink"/>
            <w:rFonts w:ascii="Arial" w:hAnsi="Arial" w:cs="Arial"/>
            <w:sz w:val="20"/>
            <w:szCs w:val="20"/>
          </w:rPr>
          <w:t>7</w:t>
        </w:r>
        <w:r w:rsidR="00803DE3" w:rsidRPr="00B01F9E">
          <w:rPr>
            <w:rStyle w:val="Hyperlink"/>
            <w:rFonts w:ascii="Arial" w:hAnsi="Arial" w:cs="Arial"/>
            <w:sz w:val="20"/>
            <w:szCs w:val="20"/>
          </w:rPr>
          <w:t>.</w:t>
        </w:r>
        <w:r w:rsidR="00304EA1" w:rsidRPr="00B01F9E">
          <w:rPr>
            <w:rStyle w:val="Hyperlink"/>
            <w:rFonts w:ascii="Arial" w:hAnsi="Arial" w:cs="Arial"/>
            <w:sz w:val="20"/>
            <w:szCs w:val="20"/>
          </w:rPr>
          <w:t>3</w:t>
        </w:r>
        <w:r w:rsidR="00803DE3" w:rsidRPr="00B01F9E">
          <w:rPr>
            <w:rStyle w:val="Hyperlink"/>
            <w:rFonts w:ascii="Arial" w:hAnsi="Arial" w:cs="Arial"/>
            <w:sz w:val="20"/>
            <w:szCs w:val="20"/>
          </w:rPr>
          <w:t>.</w:t>
        </w:r>
        <w:r w:rsidR="00304EA1" w:rsidRPr="00B01F9E">
          <w:rPr>
            <w:rStyle w:val="Hyperlink"/>
            <w:rFonts w:ascii="Arial" w:hAnsi="Arial" w:cs="Arial"/>
            <w:sz w:val="20"/>
            <w:szCs w:val="20"/>
          </w:rPr>
          <w:t>1</w:t>
        </w:r>
      </w:hyperlink>
      <w:r w:rsidR="00DC5BE3" w:rsidRPr="00B01F9E">
        <w:rPr>
          <w:rFonts w:ascii="Arial" w:hAnsi="Arial" w:cs="Arial"/>
          <w:sz w:val="20"/>
          <w:szCs w:val="20"/>
        </w:rPr>
        <w:t>)</w:t>
      </w:r>
      <w:r w:rsidRPr="00B01F9E">
        <w:rPr>
          <w:rFonts w:ascii="Arial" w:hAnsi="Arial" w:cs="Arial"/>
          <w:sz w:val="20"/>
          <w:szCs w:val="20"/>
        </w:rPr>
        <w:t xml:space="preserve">. Findings highlighted in blue indicate that the location within the HL7 segment and the code are correct, while findings highlighted in red indicate an error. This process </w:t>
      </w:r>
      <w:r w:rsidR="005A2BCD" w:rsidRPr="00B01F9E">
        <w:rPr>
          <w:rFonts w:ascii="Arial" w:hAnsi="Arial" w:cs="Arial"/>
          <w:sz w:val="20"/>
          <w:szCs w:val="20"/>
        </w:rPr>
        <w:t>was</w:t>
      </w:r>
      <w:r w:rsidRPr="00B01F9E">
        <w:rPr>
          <w:rFonts w:ascii="Arial" w:hAnsi="Arial" w:cs="Arial"/>
          <w:sz w:val="20"/>
          <w:szCs w:val="20"/>
        </w:rPr>
        <w:t xml:space="preserve"> repeated several times to determine if additional modifications to the LIS test build or the simulated LIDR </w:t>
      </w:r>
      <w:r w:rsidR="00752AB6" w:rsidRPr="00B01F9E">
        <w:rPr>
          <w:rFonts w:ascii="Arial" w:hAnsi="Arial" w:cs="Arial"/>
          <w:sz w:val="20"/>
          <w:szCs w:val="20"/>
        </w:rPr>
        <w:t xml:space="preserve">were </w:t>
      </w:r>
      <w:r w:rsidRPr="00B01F9E">
        <w:rPr>
          <w:rFonts w:ascii="Arial" w:hAnsi="Arial" w:cs="Arial"/>
          <w:sz w:val="20"/>
          <w:szCs w:val="20"/>
        </w:rPr>
        <w:t xml:space="preserve">required. </w:t>
      </w:r>
    </w:p>
    <w:p w14:paraId="648D1EB3" w14:textId="77777777" w:rsidR="004E2C7F" w:rsidRPr="00B01F9E" w:rsidRDefault="004E2C7F">
      <w:pPr>
        <w:rPr>
          <w:rFonts w:ascii="Arial" w:hAnsi="Arial" w:cs="Arial"/>
          <w:b/>
          <w:bCs/>
          <w:color w:val="009BBF"/>
          <w:sz w:val="20"/>
          <w:szCs w:val="20"/>
        </w:rPr>
      </w:pPr>
      <w:r w:rsidRPr="00B01F9E">
        <w:rPr>
          <w:rFonts w:ascii="Arial" w:hAnsi="Arial" w:cs="Arial"/>
          <w:b/>
          <w:bCs/>
          <w:color w:val="009BBF"/>
          <w:sz w:val="20"/>
          <w:szCs w:val="20"/>
        </w:rPr>
        <w:br w:type="page"/>
      </w:r>
    </w:p>
    <w:p w14:paraId="1701F1AC" w14:textId="3F5CC20C" w:rsidR="00191714" w:rsidRPr="00B01F9E" w:rsidRDefault="00191714" w:rsidP="00C83847">
      <w:pPr>
        <w:spacing w:after="0"/>
        <w:rPr>
          <w:rFonts w:ascii="Arial" w:hAnsi="Arial" w:cs="Arial"/>
          <w:color w:val="009BBF"/>
          <w:sz w:val="20"/>
          <w:szCs w:val="20"/>
        </w:rPr>
      </w:pPr>
      <w:r w:rsidRPr="00B01F9E">
        <w:rPr>
          <w:rFonts w:ascii="Arial" w:hAnsi="Arial" w:cs="Arial"/>
          <w:b/>
          <w:bCs/>
          <w:color w:val="009BBF"/>
          <w:sz w:val="20"/>
          <w:szCs w:val="20"/>
        </w:rPr>
        <w:lastRenderedPageBreak/>
        <w:t xml:space="preserve">Table </w:t>
      </w:r>
      <w:r w:rsidR="00A829FC" w:rsidRPr="00B01F9E">
        <w:rPr>
          <w:rFonts w:ascii="Arial" w:hAnsi="Arial" w:cs="Arial"/>
          <w:b/>
          <w:bCs/>
          <w:color w:val="009BBF"/>
          <w:sz w:val="20"/>
          <w:szCs w:val="20"/>
        </w:rPr>
        <w:t>7</w:t>
      </w:r>
      <w:r w:rsidRPr="00B01F9E">
        <w:rPr>
          <w:rFonts w:ascii="Arial" w:hAnsi="Arial" w:cs="Arial"/>
          <w:b/>
          <w:bCs/>
          <w:color w:val="009BBF"/>
          <w:sz w:val="20"/>
          <w:szCs w:val="20"/>
        </w:rPr>
        <w:t xml:space="preserve">: Summary Analysis of Complete Urinalysis Received Message </w:t>
      </w:r>
    </w:p>
    <w:tbl>
      <w:tblPr>
        <w:tblW w:w="9982"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324"/>
        <w:gridCol w:w="1066"/>
        <w:gridCol w:w="1155"/>
        <w:gridCol w:w="6437"/>
      </w:tblGrid>
      <w:tr w:rsidR="00976478" w:rsidRPr="00B01F9E" w14:paraId="44A012AE" w14:textId="77777777" w:rsidTr="00A13235">
        <w:trPr>
          <w:trHeight w:val="901"/>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E12883B"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b/>
                <w:bCs/>
                <w:sz w:val="20"/>
                <w:szCs w:val="20"/>
              </w:rPr>
              <w:t>LIDR Data Element/ Requirement</w:t>
            </w:r>
            <w:r w:rsidRPr="00B01F9E">
              <w:rPr>
                <w:rFonts w:ascii="Arial" w:eastAsia="Times New Roman" w:hAnsi="Arial" w:cs="Arial"/>
                <w:sz w:val="20"/>
                <w:szCs w:val="20"/>
              </w:rPr>
              <w:t>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8010A11"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b/>
                <w:bCs/>
                <w:sz w:val="20"/>
                <w:szCs w:val="20"/>
              </w:rPr>
              <w:t>HL7 Field utilized by the LIS</w:t>
            </w:r>
            <w:r w:rsidRPr="00B01F9E">
              <w:rPr>
                <w:rFonts w:ascii="Arial" w:eastAsia="Times New Roman" w:hAnsi="Arial" w:cs="Arial"/>
                <w:sz w:val="20"/>
                <w:szCs w:val="20"/>
              </w:rPr>
              <w:t>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AEBDE5A"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b/>
                <w:bCs/>
                <w:sz w:val="20"/>
                <w:szCs w:val="20"/>
              </w:rPr>
              <w:t>HL7 Field post -transform by engine</w:t>
            </w:r>
            <w:r w:rsidRPr="00B01F9E">
              <w:rPr>
                <w:rFonts w:ascii="Arial" w:eastAsia="Times New Roman" w:hAnsi="Arial" w:cs="Arial"/>
                <w:sz w:val="20"/>
                <w:szCs w:val="20"/>
              </w:rPr>
              <w:t> </w:t>
            </w:r>
          </w:p>
        </w:tc>
        <w:tc>
          <w:tcPr>
            <w:tcW w:w="6437" w:type="dxa"/>
            <w:tcBorders>
              <w:top w:val="single" w:sz="6" w:space="0" w:color="909090"/>
              <w:left w:val="single" w:sz="6" w:space="0" w:color="909090"/>
              <w:bottom w:val="single" w:sz="6" w:space="0" w:color="909090"/>
              <w:right w:val="single" w:sz="6" w:space="0" w:color="909090"/>
            </w:tcBorders>
          </w:tcPr>
          <w:p w14:paraId="45BE1B08" w14:textId="77777777" w:rsidR="00976478" w:rsidRPr="00B01F9E" w:rsidRDefault="00976478" w:rsidP="00A13235">
            <w:pPr>
              <w:spacing w:after="0" w:line="240" w:lineRule="auto"/>
              <w:textAlignment w:val="baseline"/>
              <w:rPr>
                <w:rFonts w:ascii="Arial" w:eastAsia="Times New Roman" w:hAnsi="Arial" w:cs="Arial"/>
                <w:b/>
                <w:bCs/>
                <w:sz w:val="20"/>
                <w:szCs w:val="20"/>
              </w:rPr>
            </w:pPr>
            <w:r w:rsidRPr="00B01F9E">
              <w:rPr>
                <w:rFonts w:ascii="Arial" w:eastAsia="Times New Roman" w:hAnsi="Arial" w:cs="Arial"/>
                <w:b/>
                <w:bCs/>
                <w:sz w:val="20"/>
                <w:szCs w:val="20"/>
              </w:rPr>
              <w:t>From message</w:t>
            </w:r>
          </w:p>
          <w:p w14:paraId="291FD0F5" w14:textId="77777777" w:rsidR="00976478" w:rsidRPr="00B01F9E" w:rsidRDefault="00976478" w:rsidP="00A13235">
            <w:pPr>
              <w:spacing w:after="0" w:line="240" w:lineRule="auto"/>
              <w:textAlignment w:val="baseline"/>
              <w:rPr>
                <w:rFonts w:ascii="Arial" w:eastAsia="Times New Roman" w:hAnsi="Arial" w:cs="Arial"/>
                <w:b/>
                <w:bCs/>
                <w:sz w:val="20"/>
                <w:szCs w:val="20"/>
              </w:rPr>
            </w:pPr>
          </w:p>
        </w:tc>
      </w:tr>
      <w:tr w:rsidR="00976478" w:rsidRPr="00B01F9E" w14:paraId="350997A8" w14:textId="77777777" w:rsidTr="00A13235">
        <w:trPr>
          <w:trHeight w:val="457"/>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BF98895" w14:textId="446B6C43"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Test Ordered LOINC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EF9A122" w14:textId="68CEFD90"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OBR</w:t>
            </w:r>
            <w:r w:rsidR="006303B5" w:rsidRPr="00B01F9E">
              <w:rPr>
                <w:rFonts w:ascii="Arial" w:eastAsia="Times New Roman" w:hAnsi="Arial" w:cs="Arial"/>
                <w:sz w:val="20"/>
                <w:szCs w:val="20"/>
              </w:rPr>
              <w:t>-</w:t>
            </w:r>
            <w:r w:rsidRPr="00B01F9E">
              <w:rPr>
                <w:rFonts w:ascii="Arial" w:eastAsia="Times New Roman" w:hAnsi="Arial" w:cs="Arial"/>
                <w:sz w:val="20"/>
                <w:szCs w:val="20"/>
              </w:rPr>
              <w:t>4 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9A76980" w14:textId="67E266E2"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OBR</w:t>
            </w:r>
            <w:r w:rsidR="006303B5" w:rsidRPr="00B01F9E">
              <w:rPr>
                <w:rFonts w:ascii="Arial" w:eastAsia="Times New Roman" w:hAnsi="Arial" w:cs="Arial"/>
                <w:sz w:val="20"/>
                <w:szCs w:val="20"/>
              </w:rPr>
              <w:t>-</w:t>
            </w:r>
            <w:r w:rsidRPr="00B01F9E">
              <w:rPr>
                <w:rFonts w:ascii="Arial" w:eastAsia="Times New Roman" w:hAnsi="Arial" w:cs="Arial"/>
                <w:sz w:val="20"/>
                <w:szCs w:val="20"/>
              </w:rPr>
              <w:t>4 </w:t>
            </w:r>
          </w:p>
        </w:tc>
        <w:tc>
          <w:tcPr>
            <w:tcW w:w="6437" w:type="dxa"/>
            <w:tcBorders>
              <w:top w:val="single" w:sz="6" w:space="0" w:color="909090"/>
              <w:left w:val="single" w:sz="6" w:space="0" w:color="909090"/>
              <w:bottom w:val="single" w:sz="6" w:space="0" w:color="909090"/>
              <w:right w:val="single" w:sz="6" w:space="0" w:color="909090"/>
            </w:tcBorders>
          </w:tcPr>
          <w:p w14:paraId="7687064C" w14:textId="77777777" w:rsidR="00976478" w:rsidRPr="00B01F9E" w:rsidRDefault="00976478" w:rsidP="00A13235">
            <w:pPr>
              <w:spacing w:after="0" w:line="240" w:lineRule="auto"/>
              <w:textAlignment w:val="baseline"/>
              <w:rPr>
                <w:rFonts w:ascii="Arial" w:eastAsia="Times New Roman" w:hAnsi="Arial" w:cs="Arial"/>
                <w:color w:val="92D050"/>
                <w:sz w:val="20"/>
                <w:szCs w:val="20"/>
              </w:rPr>
            </w:pPr>
            <w:r w:rsidRPr="00B01F9E">
              <w:rPr>
                <w:rFonts w:ascii="Arial" w:hAnsi="Arial" w:cs="Arial"/>
                <w:color w:val="0070C0"/>
                <w:sz w:val="20"/>
                <w:szCs w:val="20"/>
              </w:rPr>
              <w:t xml:space="preserve">24356-8^Urinalysis complete </w:t>
            </w:r>
            <w:proofErr w:type="spellStart"/>
            <w:r w:rsidRPr="00B01F9E">
              <w:rPr>
                <w:rFonts w:ascii="Arial" w:hAnsi="Arial" w:cs="Arial"/>
                <w:color w:val="0070C0"/>
                <w:sz w:val="20"/>
                <w:szCs w:val="20"/>
              </w:rPr>
              <w:t>pnl</w:t>
            </w:r>
            <w:proofErr w:type="spellEnd"/>
            <w:r w:rsidRPr="00B01F9E">
              <w:rPr>
                <w:rFonts w:ascii="Arial" w:hAnsi="Arial" w:cs="Arial"/>
                <w:color w:val="0070C0"/>
                <w:sz w:val="20"/>
                <w:szCs w:val="20"/>
              </w:rPr>
              <w:t xml:space="preserve"> </w:t>
            </w:r>
            <w:proofErr w:type="spellStart"/>
            <w:r w:rsidRPr="00B01F9E">
              <w:rPr>
                <w:rFonts w:ascii="Arial" w:hAnsi="Arial" w:cs="Arial"/>
                <w:color w:val="0070C0"/>
                <w:sz w:val="20"/>
                <w:szCs w:val="20"/>
              </w:rPr>
              <w:t>Ur^LN</w:t>
            </w:r>
            <w:proofErr w:type="spellEnd"/>
          </w:p>
        </w:tc>
      </w:tr>
      <w:tr w:rsidR="00976478" w:rsidRPr="00B01F9E" w14:paraId="4F1B6A4A" w14:textId="77777777" w:rsidTr="00A13235">
        <w:trPr>
          <w:trHeight w:val="3574"/>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C0BE039"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Test Performed LOINC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EA5BC86" w14:textId="7391E9AE"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3 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73E6E5F" w14:textId="3FBEA289"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3 </w:t>
            </w:r>
          </w:p>
        </w:tc>
        <w:tc>
          <w:tcPr>
            <w:tcW w:w="6437" w:type="dxa"/>
            <w:tcBorders>
              <w:top w:val="single" w:sz="6" w:space="0" w:color="909090"/>
              <w:left w:val="single" w:sz="6" w:space="0" w:color="909090"/>
              <w:bottom w:val="single" w:sz="6" w:space="0" w:color="909090"/>
              <w:right w:val="single" w:sz="6" w:space="0" w:color="909090"/>
            </w:tcBorders>
          </w:tcPr>
          <w:p w14:paraId="711CF891"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50553-7^Color Ur </w:t>
            </w:r>
            <w:proofErr w:type="spellStart"/>
            <w:r w:rsidRPr="00B01F9E">
              <w:rPr>
                <w:rFonts w:ascii="Arial" w:hAnsi="Arial" w:cs="Arial"/>
                <w:color w:val="0070C0"/>
                <w:sz w:val="20"/>
                <w:szCs w:val="20"/>
              </w:rPr>
              <w:t>Auto^LN</w:t>
            </w:r>
            <w:proofErr w:type="spellEnd"/>
          </w:p>
          <w:p w14:paraId="7F78CC81"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50552-9^Clarity Ur </w:t>
            </w:r>
            <w:proofErr w:type="spellStart"/>
            <w:r w:rsidRPr="00B01F9E">
              <w:rPr>
                <w:rFonts w:ascii="Arial" w:hAnsi="Arial" w:cs="Arial"/>
                <w:color w:val="0070C0"/>
                <w:sz w:val="20"/>
                <w:szCs w:val="20"/>
              </w:rPr>
              <w:t>Refract.auto^LN</w:t>
            </w:r>
            <w:proofErr w:type="spellEnd"/>
          </w:p>
          <w:p w14:paraId="584A7E8D"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50562-8^Sp Gr Ur </w:t>
            </w:r>
            <w:proofErr w:type="spellStart"/>
            <w:r w:rsidRPr="00B01F9E">
              <w:rPr>
                <w:rFonts w:ascii="Arial" w:hAnsi="Arial" w:cs="Arial"/>
                <w:color w:val="0070C0"/>
                <w:sz w:val="20"/>
                <w:szCs w:val="20"/>
              </w:rPr>
              <w:t>Refract.auto^LN</w:t>
            </w:r>
            <w:proofErr w:type="spellEnd"/>
          </w:p>
          <w:p w14:paraId="3CE5D3A5"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50555-2^Glucose Ur Ql </w:t>
            </w:r>
            <w:proofErr w:type="spellStart"/>
            <w:r w:rsidRPr="00B01F9E">
              <w:rPr>
                <w:rFonts w:ascii="Arial" w:hAnsi="Arial" w:cs="Arial"/>
                <w:color w:val="0070C0"/>
                <w:sz w:val="20"/>
                <w:szCs w:val="20"/>
              </w:rPr>
              <w:t>Strip.auto^LN</w:t>
            </w:r>
            <w:proofErr w:type="spellEnd"/>
          </w:p>
          <w:p w14:paraId="57F53469"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50551-1^Bilirub Ur Ql </w:t>
            </w:r>
            <w:proofErr w:type="spellStart"/>
            <w:r w:rsidRPr="00B01F9E">
              <w:rPr>
                <w:rFonts w:ascii="Arial" w:hAnsi="Arial" w:cs="Arial"/>
                <w:color w:val="0070C0"/>
                <w:sz w:val="20"/>
                <w:szCs w:val="20"/>
              </w:rPr>
              <w:t>Strip.auto^LN</w:t>
            </w:r>
            <w:proofErr w:type="spellEnd"/>
          </w:p>
          <w:p w14:paraId="74E88751"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57734-6^Ketones Ur Ql </w:t>
            </w:r>
            <w:proofErr w:type="spellStart"/>
            <w:r w:rsidRPr="00B01F9E">
              <w:rPr>
                <w:rFonts w:ascii="Arial" w:hAnsi="Arial" w:cs="Arial"/>
                <w:color w:val="0070C0"/>
                <w:sz w:val="20"/>
                <w:szCs w:val="20"/>
              </w:rPr>
              <w:t>Strip.auto^LN</w:t>
            </w:r>
            <w:proofErr w:type="spellEnd"/>
            <w:r w:rsidRPr="00B01F9E">
              <w:rPr>
                <w:rFonts w:ascii="Arial" w:hAnsi="Arial" w:cs="Arial"/>
                <w:color w:val="0070C0"/>
                <w:sz w:val="20"/>
                <w:szCs w:val="20"/>
              </w:rPr>
              <w:t>^</w:t>
            </w:r>
          </w:p>
          <w:p w14:paraId="179C3334"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57751-0^Hgb Ur Ql </w:t>
            </w:r>
            <w:proofErr w:type="spellStart"/>
            <w:r w:rsidRPr="00B01F9E">
              <w:rPr>
                <w:rFonts w:ascii="Arial" w:hAnsi="Arial" w:cs="Arial"/>
                <w:color w:val="0070C0"/>
                <w:sz w:val="20"/>
                <w:szCs w:val="20"/>
              </w:rPr>
              <w:t>Strip.auto^LN</w:t>
            </w:r>
            <w:proofErr w:type="spellEnd"/>
          </w:p>
          <w:p w14:paraId="5E650045"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5803-2^pH Ur </w:t>
            </w:r>
            <w:proofErr w:type="spellStart"/>
            <w:r w:rsidRPr="00B01F9E">
              <w:rPr>
                <w:rFonts w:ascii="Arial" w:hAnsi="Arial" w:cs="Arial"/>
                <w:color w:val="0070C0"/>
                <w:sz w:val="20"/>
                <w:szCs w:val="20"/>
              </w:rPr>
              <w:t>Strip^LN</w:t>
            </w:r>
            <w:proofErr w:type="spellEnd"/>
          </w:p>
          <w:p w14:paraId="63C8419D"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57735-3^Prot Ur Ql </w:t>
            </w:r>
            <w:proofErr w:type="spellStart"/>
            <w:r w:rsidRPr="00B01F9E">
              <w:rPr>
                <w:rFonts w:ascii="Arial" w:hAnsi="Arial" w:cs="Arial"/>
                <w:color w:val="0070C0"/>
                <w:sz w:val="20"/>
                <w:szCs w:val="20"/>
              </w:rPr>
              <w:t>Strip.auto^LN</w:t>
            </w:r>
            <w:proofErr w:type="spellEnd"/>
          </w:p>
          <w:p w14:paraId="148A091E" w14:textId="77777777" w:rsidR="00976478" w:rsidRPr="00B01F9E" w:rsidRDefault="00976478" w:rsidP="00A13235">
            <w:pPr>
              <w:spacing w:after="0" w:line="240" w:lineRule="auto"/>
              <w:textAlignment w:val="baseline"/>
              <w:rPr>
                <w:rFonts w:ascii="Arial" w:hAnsi="Arial" w:cs="Arial"/>
                <w:color w:val="0070C0"/>
                <w:sz w:val="20"/>
                <w:szCs w:val="20"/>
                <w:bdr w:val="none" w:sz="0" w:space="0" w:color="auto" w:frame="1"/>
              </w:rPr>
            </w:pPr>
            <w:r w:rsidRPr="00B01F9E">
              <w:rPr>
                <w:rFonts w:ascii="Arial" w:hAnsi="Arial" w:cs="Arial"/>
                <w:color w:val="0070C0"/>
                <w:sz w:val="20"/>
                <w:szCs w:val="20"/>
                <w:bdr w:val="none" w:sz="0" w:space="0" w:color="auto" w:frame="1"/>
              </w:rPr>
              <w:t>BEAKERLRR^62487-4</w:t>
            </w:r>
          </w:p>
          <w:p w14:paraId="0E8C78A7"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50558-6^Nitrite Ur Ql </w:t>
            </w:r>
            <w:proofErr w:type="spellStart"/>
            <w:r w:rsidRPr="00B01F9E">
              <w:rPr>
                <w:rFonts w:ascii="Arial" w:hAnsi="Arial" w:cs="Arial"/>
                <w:color w:val="0070C0"/>
                <w:sz w:val="20"/>
                <w:szCs w:val="20"/>
              </w:rPr>
              <w:t>Strip.auto^LN</w:t>
            </w:r>
            <w:proofErr w:type="spellEnd"/>
          </w:p>
          <w:p w14:paraId="3DFD4D59"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60026-2^Leukocyte esterase Ur Ql </w:t>
            </w:r>
            <w:proofErr w:type="spellStart"/>
            <w:r w:rsidRPr="00B01F9E">
              <w:rPr>
                <w:rFonts w:ascii="Arial" w:hAnsi="Arial" w:cs="Arial"/>
                <w:color w:val="0070C0"/>
                <w:sz w:val="20"/>
                <w:szCs w:val="20"/>
              </w:rPr>
              <w:t>Strip.auto^LN</w:t>
            </w:r>
            <w:proofErr w:type="spellEnd"/>
          </w:p>
          <w:p w14:paraId="398D2F64"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46419-8^RBC #/area </w:t>
            </w:r>
            <w:proofErr w:type="spellStart"/>
            <w:r w:rsidRPr="00B01F9E">
              <w:rPr>
                <w:rFonts w:ascii="Arial" w:hAnsi="Arial" w:cs="Arial"/>
                <w:color w:val="0070C0"/>
                <w:sz w:val="20"/>
                <w:szCs w:val="20"/>
              </w:rPr>
              <w:t>UrnS</w:t>
            </w:r>
            <w:proofErr w:type="spellEnd"/>
            <w:r w:rsidRPr="00B01F9E">
              <w:rPr>
                <w:rFonts w:ascii="Arial" w:hAnsi="Arial" w:cs="Arial"/>
                <w:color w:val="0070C0"/>
                <w:sz w:val="20"/>
                <w:szCs w:val="20"/>
              </w:rPr>
              <w:t xml:space="preserve"> </w:t>
            </w:r>
            <w:proofErr w:type="spellStart"/>
            <w:r w:rsidRPr="00B01F9E">
              <w:rPr>
                <w:rFonts w:ascii="Arial" w:hAnsi="Arial" w:cs="Arial"/>
                <w:color w:val="0070C0"/>
                <w:sz w:val="20"/>
                <w:szCs w:val="20"/>
              </w:rPr>
              <w:t>Auto^LN</w:t>
            </w:r>
            <w:proofErr w:type="spellEnd"/>
          </w:p>
          <w:p w14:paraId="785FE3EB" w14:textId="77777777" w:rsidR="00976478" w:rsidRPr="00B01F9E" w:rsidRDefault="00976478" w:rsidP="00A13235">
            <w:pPr>
              <w:spacing w:after="0" w:line="240" w:lineRule="auto"/>
              <w:textAlignment w:val="baseline"/>
              <w:rPr>
                <w:rFonts w:ascii="Arial" w:hAnsi="Arial" w:cs="Arial"/>
                <w:color w:val="0070C0"/>
                <w:sz w:val="20"/>
                <w:szCs w:val="20"/>
              </w:rPr>
            </w:pPr>
            <w:r w:rsidRPr="00B01F9E">
              <w:rPr>
                <w:rFonts w:ascii="Arial" w:hAnsi="Arial" w:cs="Arial"/>
                <w:color w:val="0070C0"/>
                <w:sz w:val="20"/>
                <w:szCs w:val="20"/>
              </w:rPr>
              <w:t xml:space="preserve">46702-7^WBC #/area </w:t>
            </w:r>
            <w:proofErr w:type="spellStart"/>
            <w:r w:rsidRPr="00B01F9E">
              <w:rPr>
                <w:rFonts w:ascii="Arial" w:hAnsi="Arial" w:cs="Arial"/>
                <w:color w:val="0070C0"/>
                <w:sz w:val="20"/>
                <w:szCs w:val="20"/>
              </w:rPr>
              <w:t>UrnS</w:t>
            </w:r>
            <w:proofErr w:type="spellEnd"/>
            <w:r w:rsidRPr="00B01F9E">
              <w:rPr>
                <w:rFonts w:ascii="Arial" w:hAnsi="Arial" w:cs="Arial"/>
                <w:color w:val="0070C0"/>
                <w:sz w:val="20"/>
                <w:szCs w:val="20"/>
              </w:rPr>
              <w:t xml:space="preserve"> </w:t>
            </w:r>
            <w:proofErr w:type="spellStart"/>
            <w:r w:rsidRPr="00B01F9E">
              <w:rPr>
                <w:rFonts w:ascii="Arial" w:hAnsi="Arial" w:cs="Arial"/>
                <w:color w:val="0070C0"/>
                <w:sz w:val="20"/>
                <w:szCs w:val="20"/>
              </w:rPr>
              <w:t>Auto^LN</w:t>
            </w:r>
            <w:proofErr w:type="spellEnd"/>
          </w:p>
          <w:p w14:paraId="11B7B159" w14:textId="77777777" w:rsidR="00976478" w:rsidRPr="00B01F9E" w:rsidRDefault="00976478" w:rsidP="00A13235">
            <w:pPr>
              <w:rPr>
                <w:rFonts w:ascii="Arial" w:eastAsia="Times New Roman" w:hAnsi="Arial" w:cs="Arial"/>
                <w:b/>
                <w:bCs/>
                <w:color w:val="00B050"/>
                <w:sz w:val="20"/>
                <w:szCs w:val="20"/>
              </w:rPr>
            </w:pPr>
            <w:r w:rsidRPr="00B01F9E">
              <w:rPr>
                <w:rFonts w:ascii="Arial" w:hAnsi="Arial" w:cs="Arial"/>
                <w:color w:val="0070C0"/>
                <w:sz w:val="20"/>
                <w:szCs w:val="20"/>
                <w:bdr w:val="none" w:sz="0" w:space="0" w:color="auto" w:frame="1"/>
              </w:rPr>
              <w:t xml:space="preserve">53320-8^Casts Ur Ql </w:t>
            </w:r>
            <w:proofErr w:type="spellStart"/>
            <w:r w:rsidRPr="00B01F9E">
              <w:rPr>
                <w:rFonts w:ascii="Arial" w:hAnsi="Arial" w:cs="Arial"/>
                <w:color w:val="0070C0"/>
                <w:sz w:val="20"/>
                <w:szCs w:val="20"/>
                <w:bdr w:val="none" w:sz="0" w:space="0" w:color="auto" w:frame="1"/>
              </w:rPr>
              <w:t>Auto^LN</w:t>
            </w:r>
            <w:proofErr w:type="spellEnd"/>
            <w:r w:rsidRPr="00B01F9E">
              <w:rPr>
                <w:rFonts w:ascii="Arial" w:hAnsi="Arial" w:cs="Arial"/>
                <w:color w:val="0070C0"/>
                <w:sz w:val="20"/>
                <w:szCs w:val="20"/>
                <w:bdr w:val="none" w:sz="0" w:space="0" w:color="auto" w:frame="1"/>
              </w:rPr>
              <w:t xml:space="preserve"> -</w:t>
            </w:r>
          </w:p>
        </w:tc>
      </w:tr>
      <w:tr w:rsidR="00976478" w:rsidRPr="00B01F9E" w14:paraId="44F94A51" w14:textId="77777777" w:rsidTr="00A13235">
        <w:trPr>
          <w:trHeight w:val="901"/>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9C9733E" w14:textId="68250E7E"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Specimen Type SNOMED CT</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05713F9" w14:textId="0F6E3205"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SPM</w:t>
            </w:r>
            <w:r w:rsidR="006303B5" w:rsidRPr="00B01F9E">
              <w:rPr>
                <w:rFonts w:ascii="Arial" w:eastAsia="Times New Roman" w:hAnsi="Arial" w:cs="Arial"/>
                <w:sz w:val="20"/>
                <w:szCs w:val="20"/>
              </w:rPr>
              <w:t>-</w:t>
            </w:r>
            <w:r w:rsidRPr="00B01F9E">
              <w:rPr>
                <w:rFonts w:ascii="Arial" w:eastAsia="Times New Roman" w:hAnsi="Arial" w:cs="Arial"/>
                <w:sz w:val="20"/>
                <w:szCs w:val="20"/>
              </w:rPr>
              <w:t>4 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7A61A5C" w14:textId="1181B1E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SPM</w:t>
            </w:r>
            <w:r w:rsidR="006303B5" w:rsidRPr="00B01F9E">
              <w:rPr>
                <w:rFonts w:ascii="Arial" w:eastAsia="Times New Roman" w:hAnsi="Arial" w:cs="Arial"/>
                <w:sz w:val="20"/>
                <w:szCs w:val="20"/>
              </w:rPr>
              <w:t>-</w:t>
            </w:r>
            <w:r w:rsidRPr="00B01F9E">
              <w:rPr>
                <w:rFonts w:ascii="Arial" w:eastAsia="Times New Roman" w:hAnsi="Arial" w:cs="Arial"/>
                <w:sz w:val="20"/>
                <w:szCs w:val="20"/>
              </w:rPr>
              <w:t>4 </w:t>
            </w:r>
          </w:p>
        </w:tc>
        <w:tc>
          <w:tcPr>
            <w:tcW w:w="6437" w:type="dxa"/>
            <w:tcBorders>
              <w:top w:val="single" w:sz="6" w:space="0" w:color="909090"/>
              <w:left w:val="single" w:sz="6" w:space="0" w:color="909090"/>
              <w:bottom w:val="single" w:sz="6" w:space="0" w:color="909090"/>
              <w:right w:val="single" w:sz="6" w:space="0" w:color="909090"/>
            </w:tcBorders>
          </w:tcPr>
          <w:p w14:paraId="1A4E32A3"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hAnsi="Arial" w:cs="Arial"/>
                <w:color w:val="0070C0"/>
                <w:sz w:val="20"/>
                <w:szCs w:val="20"/>
              </w:rPr>
              <w:t>122575003^Urine</w:t>
            </w:r>
          </w:p>
        </w:tc>
      </w:tr>
      <w:tr w:rsidR="00976478" w:rsidRPr="00B01F9E" w14:paraId="5040E6B9" w14:textId="77777777" w:rsidTr="00A13235">
        <w:trPr>
          <w:trHeight w:val="1816"/>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AA4DA9F" w14:textId="2AD11106"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Specimen Source Site SNOMED</w:t>
            </w:r>
            <w:r w:rsidR="000436FD" w:rsidRPr="00B01F9E">
              <w:rPr>
                <w:rFonts w:ascii="Arial" w:eastAsia="Times New Roman" w:hAnsi="Arial" w:cs="Arial"/>
                <w:sz w:val="20"/>
                <w:szCs w:val="20"/>
              </w:rPr>
              <w:t xml:space="preserve"> CT</w:t>
            </w:r>
            <w:r w:rsidRPr="00B01F9E">
              <w:rPr>
                <w:rFonts w:ascii="Arial" w:eastAsia="Times New Roman" w:hAnsi="Arial" w:cs="Arial"/>
                <w:sz w:val="20"/>
                <w:szCs w:val="20"/>
              </w:rPr>
              <w:t>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163CD65" w14:textId="3792945B"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SPM</w:t>
            </w:r>
            <w:r w:rsidR="006303B5" w:rsidRPr="00B01F9E">
              <w:rPr>
                <w:rFonts w:ascii="Arial" w:eastAsia="Times New Roman" w:hAnsi="Arial" w:cs="Arial"/>
                <w:sz w:val="20"/>
                <w:szCs w:val="20"/>
              </w:rPr>
              <w:t>-</w:t>
            </w:r>
            <w:r w:rsidRPr="00B01F9E">
              <w:rPr>
                <w:rFonts w:ascii="Arial" w:eastAsia="Times New Roman" w:hAnsi="Arial" w:cs="Arial"/>
                <w:sz w:val="20"/>
                <w:szCs w:val="20"/>
              </w:rPr>
              <w:t>8 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CCB680B" w14:textId="0D522BB2"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SPM</w:t>
            </w:r>
            <w:r w:rsidR="006303B5" w:rsidRPr="00B01F9E">
              <w:rPr>
                <w:rFonts w:ascii="Arial" w:eastAsia="Times New Roman" w:hAnsi="Arial" w:cs="Arial"/>
                <w:sz w:val="20"/>
                <w:szCs w:val="20"/>
              </w:rPr>
              <w:t>-</w:t>
            </w:r>
            <w:r w:rsidRPr="00B01F9E">
              <w:rPr>
                <w:rFonts w:ascii="Arial" w:eastAsia="Times New Roman" w:hAnsi="Arial" w:cs="Arial"/>
                <w:sz w:val="20"/>
                <w:szCs w:val="20"/>
              </w:rPr>
              <w:t>8 </w:t>
            </w:r>
          </w:p>
        </w:tc>
        <w:tc>
          <w:tcPr>
            <w:tcW w:w="6437" w:type="dxa"/>
            <w:tcBorders>
              <w:top w:val="single" w:sz="6" w:space="0" w:color="909090"/>
              <w:left w:val="single" w:sz="6" w:space="0" w:color="909090"/>
              <w:bottom w:val="single" w:sz="6" w:space="0" w:color="909090"/>
              <w:right w:val="single" w:sz="6" w:space="0" w:color="909090"/>
            </w:tcBorders>
          </w:tcPr>
          <w:p w14:paraId="62634B5B" w14:textId="77777777" w:rsidR="00976478" w:rsidRPr="00B01F9E" w:rsidRDefault="00976478" w:rsidP="00A13235">
            <w:pPr>
              <w:spacing w:after="0" w:line="240" w:lineRule="auto"/>
              <w:textAlignment w:val="baseline"/>
              <w:rPr>
                <w:rFonts w:ascii="Arial" w:hAnsi="Arial" w:cs="Arial"/>
                <w:color w:val="FF0000"/>
                <w:sz w:val="20"/>
                <w:szCs w:val="20"/>
                <w:bdr w:val="none" w:sz="0" w:space="0" w:color="auto" w:frame="1"/>
              </w:rPr>
            </w:pPr>
            <w:r w:rsidRPr="00B01F9E">
              <w:rPr>
                <w:rFonts w:ascii="Arial" w:hAnsi="Arial" w:cs="Arial"/>
                <w:color w:val="FF0000"/>
                <w:sz w:val="20"/>
                <w:szCs w:val="20"/>
                <w:bdr w:val="none" w:sz="0" w:space="0" w:color="auto" w:frame="1"/>
              </w:rPr>
              <w:t>446775007^Catheter, Indwelling, Foley</w:t>
            </w:r>
          </w:p>
          <w:p w14:paraId="164EC857"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 xml:space="preserve">Looking for: </w:t>
            </w:r>
          </w:p>
          <w:p w14:paraId="676862C2"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16221251000119108 | Urine specimen obtained via straight catheter (specimen) |</w:t>
            </w:r>
          </w:p>
          <w:p w14:paraId="2AA18C50"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122880004 | Urine specimen obtained by clean catch procedure (specimen) |</w:t>
            </w:r>
          </w:p>
          <w:p w14:paraId="129098C1"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446846006 | Urine specimen obtained via indwelling urinary catheter (specimen) |</w:t>
            </w:r>
          </w:p>
        </w:tc>
      </w:tr>
      <w:tr w:rsidR="00976478" w:rsidRPr="00B01F9E" w14:paraId="25284511" w14:textId="77777777" w:rsidTr="00A13235">
        <w:trPr>
          <w:trHeight w:val="901"/>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4E03367" w14:textId="71818D45"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Specimen Collection Method SNOMED </w:t>
            </w:r>
            <w:r w:rsidR="000436FD" w:rsidRPr="00B01F9E">
              <w:rPr>
                <w:rFonts w:ascii="Arial" w:eastAsia="Times New Roman" w:hAnsi="Arial" w:cs="Arial"/>
                <w:sz w:val="20"/>
                <w:szCs w:val="20"/>
              </w:rPr>
              <w:t>CT</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820DB5A" w14:textId="24630DD4"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SPM</w:t>
            </w:r>
            <w:r w:rsidR="006303B5" w:rsidRPr="00B01F9E">
              <w:rPr>
                <w:rFonts w:ascii="Arial" w:eastAsia="Times New Roman" w:hAnsi="Arial" w:cs="Arial"/>
                <w:sz w:val="20"/>
                <w:szCs w:val="20"/>
              </w:rPr>
              <w:t>-</w:t>
            </w:r>
            <w:r w:rsidRPr="00B01F9E">
              <w:rPr>
                <w:rFonts w:ascii="Arial" w:eastAsia="Times New Roman" w:hAnsi="Arial" w:cs="Arial"/>
                <w:sz w:val="20"/>
                <w:szCs w:val="20"/>
              </w:rPr>
              <w:t>7 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6F8BB281" w14:textId="07164068"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SPM</w:t>
            </w:r>
            <w:r w:rsidR="006303B5" w:rsidRPr="00B01F9E">
              <w:rPr>
                <w:rFonts w:ascii="Arial" w:eastAsia="Times New Roman" w:hAnsi="Arial" w:cs="Arial"/>
                <w:sz w:val="20"/>
                <w:szCs w:val="20"/>
              </w:rPr>
              <w:t>-</w:t>
            </w:r>
            <w:r w:rsidRPr="00B01F9E">
              <w:rPr>
                <w:rFonts w:ascii="Arial" w:eastAsia="Times New Roman" w:hAnsi="Arial" w:cs="Arial"/>
                <w:sz w:val="20"/>
                <w:szCs w:val="20"/>
              </w:rPr>
              <w:t>7 </w:t>
            </w:r>
          </w:p>
        </w:tc>
        <w:tc>
          <w:tcPr>
            <w:tcW w:w="6437" w:type="dxa"/>
            <w:tcBorders>
              <w:top w:val="single" w:sz="6" w:space="0" w:color="909090"/>
              <w:left w:val="single" w:sz="6" w:space="0" w:color="909090"/>
              <w:bottom w:val="single" w:sz="6" w:space="0" w:color="909090"/>
              <w:right w:val="single" w:sz="6" w:space="0" w:color="909090"/>
            </w:tcBorders>
          </w:tcPr>
          <w:p w14:paraId="5D4C0283" w14:textId="77777777" w:rsidR="00976478" w:rsidRPr="00B01F9E" w:rsidRDefault="00976478" w:rsidP="00A13235">
            <w:pPr>
              <w:spacing w:after="0" w:line="240" w:lineRule="auto"/>
              <w:textAlignment w:val="baseline"/>
              <w:rPr>
                <w:rFonts w:ascii="Arial" w:eastAsia="Times New Roman" w:hAnsi="Arial" w:cs="Arial"/>
                <w:color w:val="0070C0"/>
                <w:sz w:val="20"/>
                <w:szCs w:val="20"/>
              </w:rPr>
            </w:pPr>
            <w:r w:rsidRPr="00B01F9E">
              <w:rPr>
                <w:rFonts w:ascii="Arial" w:eastAsia="Times New Roman" w:hAnsi="Arial" w:cs="Arial"/>
                <w:color w:val="0070C0"/>
                <w:sz w:val="20"/>
                <w:szCs w:val="20"/>
              </w:rPr>
              <w:t>73416001</w:t>
            </w:r>
          </w:p>
          <w:p w14:paraId="48093AF9"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Urine specimen collection, clean catch (procedure)</w:t>
            </w:r>
          </w:p>
        </w:tc>
      </w:tr>
      <w:tr w:rsidR="00976478" w:rsidRPr="00B01F9E" w14:paraId="71057B83" w14:textId="77777777" w:rsidTr="00A13235">
        <w:trPr>
          <w:trHeight w:val="678"/>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4EE5227"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Test Kit UDI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5D265C2" w14:textId="7BB186B5"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17 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39670CF" w14:textId="6489BF0B"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18.1 </w:t>
            </w:r>
          </w:p>
        </w:tc>
        <w:tc>
          <w:tcPr>
            <w:tcW w:w="6437" w:type="dxa"/>
            <w:tcBorders>
              <w:top w:val="single" w:sz="6" w:space="0" w:color="909090"/>
              <w:left w:val="single" w:sz="6" w:space="0" w:color="909090"/>
              <w:bottom w:val="single" w:sz="6" w:space="0" w:color="909090"/>
              <w:right w:val="single" w:sz="6" w:space="0" w:color="909090"/>
            </w:tcBorders>
          </w:tcPr>
          <w:p w14:paraId="7D728AEA" w14:textId="77777777" w:rsidR="00976478" w:rsidRPr="00B01F9E" w:rsidRDefault="00976478" w:rsidP="00A13235">
            <w:pPr>
              <w:spacing w:after="0" w:line="240" w:lineRule="auto"/>
              <w:textAlignment w:val="baseline"/>
              <w:rPr>
                <w:rFonts w:ascii="Arial" w:hAnsi="Arial" w:cs="Arial"/>
                <w:color w:val="00B050"/>
                <w:sz w:val="20"/>
                <w:szCs w:val="20"/>
                <w:bdr w:val="none" w:sz="0" w:space="0" w:color="auto" w:frame="1"/>
              </w:rPr>
            </w:pPr>
            <w:r w:rsidRPr="00B01F9E">
              <w:rPr>
                <w:rFonts w:ascii="Arial" w:hAnsi="Arial" w:cs="Arial"/>
                <w:color w:val="0070C0"/>
                <w:sz w:val="20"/>
                <w:szCs w:val="20"/>
                <w:bdr w:val="none" w:sz="0" w:space="0" w:color="auto" w:frame="1"/>
              </w:rPr>
              <w:t xml:space="preserve">15482736279 </w:t>
            </w:r>
            <w:r w:rsidRPr="00B01F9E">
              <w:rPr>
                <w:rFonts w:ascii="Arial" w:hAnsi="Arial" w:cs="Arial"/>
                <w:sz w:val="20"/>
                <w:szCs w:val="20"/>
                <w:bdr w:val="none" w:sz="0" w:space="0" w:color="auto" w:frame="1"/>
              </w:rPr>
              <w:t>–</w:t>
            </w:r>
            <w:r w:rsidRPr="00B01F9E">
              <w:rPr>
                <w:rFonts w:ascii="Arial" w:hAnsi="Arial" w:cs="Arial"/>
                <w:color w:val="0070C0"/>
                <w:sz w:val="20"/>
                <w:szCs w:val="20"/>
                <w:bdr w:val="none" w:sz="0" w:space="0" w:color="auto" w:frame="1"/>
              </w:rPr>
              <w:t xml:space="preserve"> </w:t>
            </w:r>
            <w:r w:rsidRPr="00B01F9E">
              <w:rPr>
                <w:rFonts w:ascii="Arial" w:hAnsi="Arial" w:cs="Arial"/>
                <w:sz w:val="20"/>
                <w:szCs w:val="20"/>
                <w:bdr w:val="none" w:sz="0" w:space="0" w:color="auto" w:frame="1"/>
              </w:rPr>
              <w:t>For Dipstick Results Only</w:t>
            </w:r>
          </w:p>
          <w:p w14:paraId="2E482B6B" w14:textId="77777777" w:rsidR="00976478" w:rsidRPr="00B01F9E" w:rsidRDefault="00976478" w:rsidP="00A13235">
            <w:pPr>
              <w:spacing w:after="0" w:line="240" w:lineRule="auto"/>
              <w:textAlignment w:val="baseline"/>
              <w:rPr>
                <w:rFonts w:ascii="Arial" w:hAnsi="Arial" w:cs="Arial"/>
                <w:sz w:val="20"/>
                <w:szCs w:val="20"/>
              </w:rPr>
            </w:pPr>
            <w:r w:rsidRPr="00B01F9E">
              <w:rPr>
                <w:rFonts w:ascii="Arial" w:hAnsi="Arial" w:cs="Arial"/>
                <w:color w:val="0070C0"/>
                <w:sz w:val="20"/>
                <w:szCs w:val="20"/>
                <w:bdr w:val="none" w:sz="0" w:space="0" w:color="auto" w:frame="1"/>
              </w:rPr>
              <w:t>4987486738114</w:t>
            </w:r>
            <w:r w:rsidRPr="00B01F9E">
              <w:rPr>
                <w:rFonts w:ascii="Arial" w:hAnsi="Arial" w:cs="Arial"/>
                <w:sz w:val="20"/>
                <w:szCs w:val="20"/>
                <w:bdr w:val="none" w:sz="0" w:space="0" w:color="auto" w:frame="1"/>
              </w:rPr>
              <w:t xml:space="preserve"> – For Microscopic Results Only</w:t>
            </w:r>
          </w:p>
          <w:p w14:paraId="21B67DD1" w14:textId="77777777" w:rsidR="00976478" w:rsidRPr="00B01F9E" w:rsidRDefault="00976478" w:rsidP="00A13235">
            <w:pPr>
              <w:spacing w:after="0" w:line="240" w:lineRule="auto"/>
              <w:rPr>
                <w:rFonts w:ascii="Arial" w:eastAsia="Times New Roman" w:hAnsi="Arial" w:cs="Arial"/>
                <w:color w:val="92D050"/>
                <w:sz w:val="20"/>
                <w:szCs w:val="20"/>
              </w:rPr>
            </w:pPr>
          </w:p>
        </w:tc>
      </w:tr>
      <w:tr w:rsidR="00976478" w:rsidRPr="00B01F9E" w14:paraId="3BAE02E8" w14:textId="77777777" w:rsidTr="00A13235">
        <w:trPr>
          <w:trHeight w:val="678"/>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A604074"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Device UDI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995A9AF" w14:textId="1372FB6A"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17 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D9B8F0A" w14:textId="3D23D2FF"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18.4 </w:t>
            </w:r>
          </w:p>
        </w:tc>
        <w:tc>
          <w:tcPr>
            <w:tcW w:w="6437" w:type="dxa"/>
            <w:tcBorders>
              <w:top w:val="single" w:sz="6" w:space="0" w:color="909090"/>
              <w:left w:val="single" w:sz="6" w:space="0" w:color="909090"/>
              <w:bottom w:val="single" w:sz="6" w:space="0" w:color="909090"/>
              <w:right w:val="single" w:sz="6" w:space="0" w:color="909090"/>
            </w:tcBorders>
          </w:tcPr>
          <w:p w14:paraId="33CB6520" w14:textId="77777777" w:rsidR="00976478" w:rsidRPr="00B01F9E" w:rsidRDefault="00976478" w:rsidP="00A13235">
            <w:pPr>
              <w:spacing w:after="0" w:line="240" w:lineRule="auto"/>
              <w:textAlignment w:val="baseline"/>
              <w:rPr>
                <w:rFonts w:ascii="Arial" w:hAnsi="Arial" w:cs="Arial"/>
                <w:sz w:val="20"/>
                <w:szCs w:val="20"/>
              </w:rPr>
            </w:pPr>
            <w:r w:rsidRPr="00B01F9E">
              <w:rPr>
                <w:rFonts w:ascii="Arial" w:hAnsi="Arial" w:cs="Arial"/>
                <w:color w:val="0070C0"/>
                <w:sz w:val="20"/>
                <w:szCs w:val="20"/>
              </w:rPr>
              <w:t xml:space="preserve">(01)0015482145057(21)12106004 </w:t>
            </w:r>
            <w:r w:rsidRPr="00B01F9E">
              <w:rPr>
                <w:rFonts w:ascii="Arial" w:hAnsi="Arial" w:cs="Arial"/>
                <w:sz w:val="20"/>
                <w:szCs w:val="20"/>
              </w:rPr>
              <w:t>-</w:t>
            </w:r>
            <w:r w:rsidRPr="00B01F9E">
              <w:rPr>
                <w:rFonts w:ascii="Arial" w:hAnsi="Arial" w:cs="Arial"/>
                <w:color w:val="0070C0"/>
                <w:sz w:val="20"/>
                <w:szCs w:val="20"/>
              </w:rPr>
              <w:t xml:space="preserve"> </w:t>
            </w:r>
            <w:r w:rsidRPr="00B01F9E">
              <w:rPr>
                <w:rFonts w:ascii="Arial" w:hAnsi="Arial" w:cs="Arial"/>
                <w:sz w:val="20"/>
                <w:szCs w:val="20"/>
                <w:bdr w:val="none" w:sz="0" w:space="0" w:color="auto" w:frame="1"/>
              </w:rPr>
              <w:t>For Dipstick Results Only</w:t>
            </w:r>
          </w:p>
          <w:p w14:paraId="1CF34515" w14:textId="77777777" w:rsidR="00976478" w:rsidRPr="00B01F9E" w:rsidRDefault="00976478" w:rsidP="00A13235">
            <w:pPr>
              <w:spacing w:after="0" w:line="240" w:lineRule="auto"/>
              <w:rPr>
                <w:rFonts w:ascii="Arial" w:eastAsia="Times New Roman" w:hAnsi="Arial" w:cs="Arial"/>
                <w:sz w:val="20"/>
                <w:szCs w:val="20"/>
              </w:rPr>
            </w:pPr>
            <w:r w:rsidRPr="00B01F9E">
              <w:rPr>
                <w:rFonts w:ascii="Arial" w:hAnsi="Arial" w:cs="Arial"/>
                <w:color w:val="0070C0"/>
                <w:sz w:val="20"/>
                <w:szCs w:val="20"/>
                <w:bdr w:val="none" w:sz="0" w:space="0" w:color="auto" w:frame="1"/>
              </w:rPr>
              <w:t xml:space="preserve">(01)15099590748654(11)211018(21)100022 </w:t>
            </w:r>
            <w:r w:rsidRPr="00B01F9E">
              <w:rPr>
                <w:rFonts w:ascii="Arial" w:hAnsi="Arial" w:cs="Arial"/>
                <w:sz w:val="20"/>
                <w:szCs w:val="20"/>
                <w:bdr w:val="none" w:sz="0" w:space="0" w:color="auto" w:frame="1"/>
              </w:rPr>
              <w:t>-</w:t>
            </w:r>
            <w:r w:rsidRPr="00B01F9E">
              <w:rPr>
                <w:rFonts w:ascii="Arial" w:hAnsi="Arial" w:cs="Arial"/>
                <w:color w:val="0070C0"/>
                <w:sz w:val="20"/>
                <w:szCs w:val="20"/>
                <w:bdr w:val="none" w:sz="0" w:space="0" w:color="auto" w:frame="1"/>
              </w:rPr>
              <w:t xml:space="preserve"> </w:t>
            </w:r>
            <w:r w:rsidRPr="00B01F9E">
              <w:rPr>
                <w:rFonts w:ascii="Arial" w:hAnsi="Arial" w:cs="Arial"/>
                <w:sz w:val="20"/>
                <w:szCs w:val="20"/>
                <w:bdr w:val="none" w:sz="0" w:space="0" w:color="auto" w:frame="1"/>
              </w:rPr>
              <w:t>For Dipstick Results Only</w:t>
            </w:r>
            <w:r w:rsidRPr="00B01F9E">
              <w:rPr>
                <w:rFonts w:ascii="Arial" w:eastAsia="Times New Roman" w:hAnsi="Arial" w:cs="Arial"/>
                <w:sz w:val="20"/>
                <w:szCs w:val="20"/>
              </w:rPr>
              <w:t xml:space="preserve"> </w:t>
            </w:r>
          </w:p>
        </w:tc>
      </w:tr>
      <w:tr w:rsidR="00976478" w:rsidRPr="00B01F9E" w14:paraId="689C05F1" w14:textId="77777777" w:rsidTr="00A13235">
        <w:trPr>
          <w:trHeight w:val="901"/>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DB254AD"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lastRenderedPageBreak/>
              <w:t>Numeric result UOM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D6734E2" w14:textId="22625109"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6 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B64993E" w14:textId="30CB9C4A"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6 </w:t>
            </w:r>
          </w:p>
        </w:tc>
        <w:tc>
          <w:tcPr>
            <w:tcW w:w="6437" w:type="dxa"/>
            <w:tcBorders>
              <w:top w:val="single" w:sz="6" w:space="0" w:color="909090"/>
              <w:left w:val="single" w:sz="6" w:space="0" w:color="909090"/>
              <w:bottom w:val="single" w:sz="6" w:space="0" w:color="909090"/>
              <w:right w:val="single" w:sz="6" w:space="0" w:color="909090"/>
            </w:tcBorders>
          </w:tcPr>
          <w:p w14:paraId="3D57C2E1"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color w:val="0070C0"/>
                <w:sz w:val="20"/>
                <w:szCs w:val="20"/>
              </w:rPr>
              <w:t xml:space="preserve">6.2 </w:t>
            </w:r>
            <w:r w:rsidRPr="00B01F9E">
              <w:rPr>
                <w:rFonts w:ascii="Arial" w:eastAsia="Times New Roman" w:hAnsi="Arial" w:cs="Arial"/>
                <w:sz w:val="20"/>
                <w:szCs w:val="20"/>
              </w:rPr>
              <w:t>–</w:t>
            </w:r>
            <w:r w:rsidRPr="00B01F9E">
              <w:rPr>
                <w:rFonts w:ascii="Arial" w:eastAsia="Times New Roman" w:hAnsi="Arial" w:cs="Arial"/>
                <w:color w:val="0070C0"/>
                <w:sz w:val="20"/>
                <w:szCs w:val="20"/>
              </w:rPr>
              <w:t xml:space="preserve"> </w:t>
            </w:r>
            <w:r w:rsidRPr="00B01F9E">
              <w:rPr>
                <w:rFonts w:ascii="Arial" w:eastAsia="Times New Roman" w:hAnsi="Arial" w:cs="Arial"/>
                <w:sz w:val="20"/>
                <w:szCs w:val="20"/>
              </w:rPr>
              <w:t>pH</w:t>
            </w:r>
          </w:p>
          <w:p w14:paraId="6ADC0608"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hAnsi="Arial" w:cs="Arial"/>
                <w:color w:val="0070C0"/>
                <w:sz w:val="20"/>
                <w:szCs w:val="20"/>
              </w:rPr>
              <w:t xml:space="preserve">1.025 </w:t>
            </w:r>
            <w:r w:rsidRPr="00B01F9E">
              <w:rPr>
                <w:rFonts w:ascii="Arial" w:hAnsi="Arial" w:cs="Arial"/>
                <w:sz w:val="20"/>
                <w:szCs w:val="20"/>
              </w:rPr>
              <w:t>–</w:t>
            </w:r>
            <w:r w:rsidRPr="00B01F9E">
              <w:rPr>
                <w:rFonts w:ascii="Arial" w:hAnsi="Arial" w:cs="Arial"/>
                <w:color w:val="0070C0"/>
                <w:sz w:val="20"/>
                <w:szCs w:val="20"/>
              </w:rPr>
              <w:t xml:space="preserve"> </w:t>
            </w:r>
            <w:r w:rsidRPr="00B01F9E">
              <w:rPr>
                <w:rFonts w:ascii="Arial" w:hAnsi="Arial" w:cs="Arial"/>
                <w:sz w:val="20"/>
                <w:szCs w:val="20"/>
              </w:rPr>
              <w:t>Specific Gravity</w:t>
            </w:r>
          </w:p>
          <w:p w14:paraId="15E04803" w14:textId="77777777" w:rsidR="00976478" w:rsidRPr="00B01F9E" w:rsidRDefault="00976478" w:rsidP="00A13235">
            <w:pPr>
              <w:spacing w:after="0" w:line="240" w:lineRule="auto"/>
              <w:textAlignment w:val="baseline"/>
              <w:rPr>
                <w:rFonts w:ascii="Arial" w:hAnsi="Arial" w:cs="Arial"/>
                <w:sz w:val="20"/>
                <w:szCs w:val="20"/>
              </w:rPr>
            </w:pPr>
            <w:r w:rsidRPr="00B01F9E">
              <w:rPr>
                <w:rFonts w:ascii="Arial" w:hAnsi="Arial" w:cs="Arial"/>
                <w:color w:val="FF0000"/>
                <w:sz w:val="20"/>
                <w:szCs w:val="20"/>
              </w:rPr>
              <w:t xml:space="preserve">Missing the result entirely </w:t>
            </w:r>
            <w:r w:rsidRPr="00B01F9E">
              <w:rPr>
                <w:rFonts w:ascii="Arial" w:hAnsi="Arial" w:cs="Arial"/>
                <w:sz w:val="20"/>
                <w:szCs w:val="20"/>
              </w:rPr>
              <w:t>– Urobilinogen -expecting numeric value in mg/dL</w:t>
            </w:r>
          </w:p>
          <w:p w14:paraId="58374C2B"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rPr>
              <w:t>1|/</w:t>
            </w:r>
            <w:proofErr w:type="spellStart"/>
            <w:r w:rsidRPr="00B01F9E">
              <w:rPr>
                <w:rFonts w:ascii="Arial" w:hAnsi="Arial" w:cs="Arial"/>
                <w:color w:val="0070C0"/>
                <w:sz w:val="20"/>
                <w:szCs w:val="20"/>
              </w:rPr>
              <w:t>hpf</w:t>
            </w:r>
            <w:proofErr w:type="spellEnd"/>
            <w:r w:rsidRPr="00B01F9E">
              <w:rPr>
                <w:rFonts w:ascii="Arial" w:hAnsi="Arial" w:cs="Arial"/>
                <w:color w:val="0070C0"/>
                <w:sz w:val="20"/>
                <w:szCs w:val="20"/>
              </w:rPr>
              <w:t xml:space="preserve"> </w:t>
            </w:r>
            <w:r w:rsidRPr="00B01F9E">
              <w:rPr>
                <w:rFonts w:ascii="Arial" w:hAnsi="Arial" w:cs="Arial"/>
                <w:sz w:val="20"/>
                <w:szCs w:val="20"/>
              </w:rPr>
              <w:t>–</w:t>
            </w:r>
            <w:r w:rsidRPr="00B01F9E">
              <w:rPr>
                <w:rFonts w:ascii="Arial" w:hAnsi="Arial" w:cs="Arial"/>
                <w:color w:val="0070C0"/>
                <w:sz w:val="20"/>
                <w:szCs w:val="20"/>
              </w:rPr>
              <w:t xml:space="preserve"> </w:t>
            </w:r>
            <w:r w:rsidRPr="00B01F9E">
              <w:rPr>
                <w:rFonts w:ascii="Arial" w:hAnsi="Arial" w:cs="Arial"/>
                <w:sz w:val="20"/>
                <w:szCs w:val="20"/>
              </w:rPr>
              <w:t>RBC</w:t>
            </w:r>
          </w:p>
          <w:p w14:paraId="5C71E67C" w14:textId="77777777" w:rsidR="00976478" w:rsidRPr="00B01F9E" w:rsidRDefault="00976478" w:rsidP="00A13235">
            <w:pPr>
              <w:spacing w:after="0" w:line="240" w:lineRule="auto"/>
              <w:textAlignment w:val="baseline"/>
              <w:rPr>
                <w:rFonts w:ascii="Arial" w:hAnsi="Arial" w:cs="Arial"/>
                <w:sz w:val="20"/>
                <w:szCs w:val="20"/>
              </w:rPr>
            </w:pPr>
            <w:r w:rsidRPr="00B01F9E">
              <w:rPr>
                <w:rFonts w:ascii="Arial" w:hAnsi="Arial" w:cs="Arial"/>
                <w:color w:val="0070C0"/>
                <w:sz w:val="20"/>
                <w:szCs w:val="20"/>
              </w:rPr>
              <w:t>4|/</w:t>
            </w:r>
            <w:proofErr w:type="spellStart"/>
            <w:r w:rsidRPr="00B01F9E">
              <w:rPr>
                <w:rFonts w:ascii="Arial" w:hAnsi="Arial" w:cs="Arial"/>
                <w:color w:val="0070C0"/>
                <w:sz w:val="20"/>
                <w:szCs w:val="20"/>
              </w:rPr>
              <w:t>hpf</w:t>
            </w:r>
            <w:proofErr w:type="spellEnd"/>
            <w:r w:rsidRPr="00B01F9E">
              <w:rPr>
                <w:rFonts w:ascii="Arial" w:hAnsi="Arial" w:cs="Arial"/>
                <w:color w:val="0070C0"/>
                <w:sz w:val="20"/>
                <w:szCs w:val="20"/>
              </w:rPr>
              <w:t xml:space="preserve"> </w:t>
            </w:r>
            <w:r w:rsidRPr="00B01F9E">
              <w:rPr>
                <w:rFonts w:ascii="Arial" w:hAnsi="Arial" w:cs="Arial"/>
                <w:sz w:val="20"/>
                <w:szCs w:val="20"/>
              </w:rPr>
              <w:t>–</w:t>
            </w:r>
            <w:r w:rsidRPr="00B01F9E">
              <w:rPr>
                <w:rFonts w:ascii="Arial" w:hAnsi="Arial" w:cs="Arial"/>
                <w:color w:val="0070C0"/>
                <w:sz w:val="20"/>
                <w:szCs w:val="20"/>
              </w:rPr>
              <w:t xml:space="preserve"> </w:t>
            </w:r>
            <w:r w:rsidRPr="00B01F9E">
              <w:rPr>
                <w:rFonts w:ascii="Arial" w:hAnsi="Arial" w:cs="Arial"/>
                <w:sz w:val="20"/>
                <w:szCs w:val="20"/>
              </w:rPr>
              <w:t>WBC</w:t>
            </w:r>
          </w:p>
          <w:p w14:paraId="18A40D39"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color w:val="0070C0"/>
                <w:sz w:val="20"/>
                <w:szCs w:val="20"/>
              </w:rPr>
              <w:t>0/</w:t>
            </w:r>
            <w:proofErr w:type="spellStart"/>
            <w:r w:rsidRPr="00B01F9E">
              <w:rPr>
                <w:rFonts w:ascii="Arial" w:eastAsia="Times New Roman" w:hAnsi="Arial" w:cs="Arial"/>
                <w:color w:val="0070C0"/>
                <w:sz w:val="20"/>
                <w:szCs w:val="20"/>
              </w:rPr>
              <w:t>lpf</w:t>
            </w:r>
            <w:proofErr w:type="spellEnd"/>
            <w:r w:rsidRPr="00B01F9E">
              <w:rPr>
                <w:rFonts w:ascii="Arial" w:eastAsia="Times New Roman" w:hAnsi="Arial" w:cs="Arial"/>
                <w:color w:val="0070C0"/>
                <w:sz w:val="20"/>
                <w:szCs w:val="20"/>
              </w:rPr>
              <w:t xml:space="preserve"> </w:t>
            </w:r>
            <w:r w:rsidRPr="00B01F9E">
              <w:rPr>
                <w:rFonts w:ascii="Arial" w:eastAsia="Times New Roman" w:hAnsi="Arial" w:cs="Arial"/>
                <w:sz w:val="20"/>
                <w:szCs w:val="20"/>
              </w:rPr>
              <w:t>- Casts</w:t>
            </w:r>
          </w:p>
        </w:tc>
      </w:tr>
      <w:tr w:rsidR="00976478" w:rsidRPr="00B01F9E" w14:paraId="4465E5AC" w14:textId="77777777" w:rsidTr="00A13235">
        <w:trPr>
          <w:trHeight w:val="2037"/>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449CDE45" w14:textId="2324A881"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Qualitative Result SNOMED </w:t>
            </w:r>
            <w:r w:rsidR="000436FD" w:rsidRPr="00B01F9E">
              <w:rPr>
                <w:rFonts w:ascii="Arial" w:eastAsia="Times New Roman" w:hAnsi="Arial" w:cs="Arial"/>
                <w:sz w:val="20"/>
                <w:szCs w:val="20"/>
              </w:rPr>
              <w:t>CT</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5107D03C" w14:textId="0E378A71"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5 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3CC7F77" w14:textId="03C6D670"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5 </w:t>
            </w:r>
          </w:p>
        </w:tc>
        <w:tc>
          <w:tcPr>
            <w:tcW w:w="6437" w:type="dxa"/>
            <w:tcBorders>
              <w:top w:val="single" w:sz="6" w:space="0" w:color="909090"/>
              <w:left w:val="single" w:sz="6" w:space="0" w:color="909090"/>
              <w:bottom w:val="single" w:sz="6" w:space="0" w:color="909090"/>
              <w:right w:val="single" w:sz="6" w:space="0" w:color="909090"/>
            </w:tcBorders>
          </w:tcPr>
          <w:p w14:paraId="4742C0C3"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bdr w:val="none" w:sz="0" w:space="0" w:color="auto" w:frame="1"/>
              </w:rPr>
              <w:t xml:space="preserve">449251000124106^Dark-brown colored </w:t>
            </w:r>
            <w:proofErr w:type="spellStart"/>
            <w:r w:rsidRPr="00B01F9E">
              <w:rPr>
                <w:rFonts w:ascii="Arial" w:hAnsi="Arial" w:cs="Arial"/>
                <w:color w:val="0070C0"/>
                <w:sz w:val="20"/>
                <w:szCs w:val="20"/>
                <w:bdr w:val="none" w:sz="0" w:space="0" w:color="auto" w:frame="1"/>
              </w:rPr>
              <w:t>urine^SCT</w:t>
            </w:r>
            <w:proofErr w:type="spellEnd"/>
            <w:r w:rsidRPr="00B01F9E">
              <w:rPr>
                <w:rFonts w:ascii="Arial" w:hAnsi="Arial" w:cs="Arial"/>
                <w:color w:val="0070C0"/>
                <w:sz w:val="20"/>
                <w:szCs w:val="20"/>
              </w:rPr>
              <w:t xml:space="preserve"> </w:t>
            </w:r>
            <w:r w:rsidRPr="00B01F9E">
              <w:rPr>
                <w:rFonts w:ascii="Arial" w:hAnsi="Arial" w:cs="Arial"/>
                <w:sz w:val="20"/>
                <w:szCs w:val="20"/>
              </w:rPr>
              <w:t>– Color</w:t>
            </w:r>
          </w:p>
          <w:p w14:paraId="66E9CC15"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rPr>
              <w:t xml:space="preserve">167236000^Urine looks </w:t>
            </w:r>
            <w:proofErr w:type="spellStart"/>
            <w:r w:rsidRPr="00B01F9E">
              <w:rPr>
                <w:rFonts w:ascii="Arial" w:hAnsi="Arial" w:cs="Arial"/>
                <w:color w:val="0070C0"/>
                <w:sz w:val="20"/>
                <w:szCs w:val="20"/>
              </w:rPr>
              <w:t>clear^SCT</w:t>
            </w:r>
            <w:proofErr w:type="spellEnd"/>
            <w:r w:rsidRPr="00B01F9E">
              <w:rPr>
                <w:rFonts w:ascii="Arial" w:hAnsi="Arial" w:cs="Arial"/>
                <w:color w:val="0070C0"/>
                <w:sz w:val="20"/>
                <w:szCs w:val="20"/>
              </w:rPr>
              <w:t xml:space="preserve"> </w:t>
            </w:r>
            <w:r w:rsidRPr="00B01F9E">
              <w:rPr>
                <w:rFonts w:ascii="Arial" w:hAnsi="Arial" w:cs="Arial"/>
                <w:sz w:val="20"/>
                <w:szCs w:val="20"/>
              </w:rPr>
              <w:t>– Clarity</w:t>
            </w:r>
          </w:p>
          <w:p w14:paraId="32473A44" w14:textId="77777777" w:rsidR="00976478" w:rsidRPr="00B01F9E" w:rsidRDefault="00976478" w:rsidP="00A13235">
            <w:pPr>
              <w:spacing w:after="0" w:line="240" w:lineRule="auto"/>
              <w:textAlignment w:val="baseline"/>
              <w:rPr>
                <w:rFonts w:ascii="Arial" w:hAnsi="Arial" w:cs="Arial"/>
                <w:sz w:val="20"/>
                <w:szCs w:val="20"/>
              </w:rPr>
            </w:pPr>
            <w:r w:rsidRPr="00B01F9E">
              <w:rPr>
                <w:rFonts w:ascii="Arial" w:hAnsi="Arial" w:cs="Arial"/>
                <w:color w:val="0070C0"/>
                <w:sz w:val="20"/>
                <w:szCs w:val="20"/>
              </w:rPr>
              <w:t xml:space="preserve">167261002^Urine glucose not </w:t>
            </w:r>
            <w:proofErr w:type="spellStart"/>
            <w:r w:rsidRPr="00B01F9E">
              <w:rPr>
                <w:rFonts w:ascii="Arial" w:hAnsi="Arial" w:cs="Arial"/>
                <w:color w:val="0070C0"/>
                <w:sz w:val="20"/>
                <w:szCs w:val="20"/>
              </w:rPr>
              <w:t>detected^SCT</w:t>
            </w:r>
            <w:proofErr w:type="spellEnd"/>
            <w:r w:rsidRPr="00B01F9E">
              <w:rPr>
                <w:rFonts w:ascii="Arial" w:hAnsi="Arial" w:cs="Arial"/>
                <w:color w:val="0070C0"/>
                <w:sz w:val="20"/>
                <w:szCs w:val="20"/>
              </w:rPr>
              <w:t xml:space="preserve"> </w:t>
            </w:r>
            <w:r w:rsidRPr="00B01F9E">
              <w:rPr>
                <w:rFonts w:ascii="Arial" w:hAnsi="Arial" w:cs="Arial"/>
                <w:sz w:val="20"/>
                <w:szCs w:val="20"/>
              </w:rPr>
              <w:t>-Glucose</w:t>
            </w:r>
          </w:p>
          <w:p w14:paraId="7193071C"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bdr w:val="none" w:sz="0" w:space="0" w:color="auto" w:frame="1"/>
              </w:rPr>
              <w:t>260385009^Negative^SCT</w:t>
            </w:r>
            <w:r w:rsidRPr="00B01F9E">
              <w:rPr>
                <w:rFonts w:ascii="Arial" w:hAnsi="Arial" w:cs="Arial"/>
                <w:color w:val="0070C0"/>
                <w:sz w:val="20"/>
                <w:szCs w:val="20"/>
              </w:rPr>
              <w:t xml:space="preserve"> </w:t>
            </w:r>
            <w:r w:rsidRPr="00B01F9E">
              <w:rPr>
                <w:rFonts w:ascii="Arial" w:hAnsi="Arial" w:cs="Arial"/>
                <w:sz w:val="20"/>
                <w:szCs w:val="20"/>
              </w:rPr>
              <w:t>– Bilirubin</w:t>
            </w:r>
          </w:p>
          <w:p w14:paraId="3084B728"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bdr w:val="none" w:sz="0" w:space="0" w:color="auto" w:frame="1"/>
              </w:rPr>
              <w:t xml:space="preserve">167287002^Urine ketones not </w:t>
            </w:r>
            <w:proofErr w:type="spellStart"/>
            <w:r w:rsidRPr="00B01F9E">
              <w:rPr>
                <w:rFonts w:ascii="Arial" w:hAnsi="Arial" w:cs="Arial"/>
                <w:color w:val="0070C0"/>
                <w:sz w:val="20"/>
                <w:szCs w:val="20"/>
                <w:bdr w:val="none" w:sz="0" w:space="0" w:color="auto" w:frame="1"/>
              </w:rPr>
              <w:t>detected^SCT</w:t>
            </w:r>
            <w:proofErr w:type="spellEnd"/>
            <w:r w:rsidRPr="00B01F9E">
              <w:rPr>
                <w:rFonts w:ascii="Arial" w:hAnsi="Arial" w:cs="Arial"/>
                <w:color w:val="0070C0"/>
                <w:sz w:val="20"/>
                <w:szCs w:val="20"/>
              </w:rPr>
              <w:t xml:space="preserve"> </w:t>
            </w:r>
            <w:r w:rsidRPr="00B01F9E">
              <w:rPr>
                <w:rFonts w:ascii="Arial" w:hAnsi="Arial" w:cs="Arial"/>
                <w:sz w:val="20"/>
                <w:szCs w:val="20"/>
              </w:rPr>
              <w:t>– Ketones</w:t>
            </w:r>
          </w:p>
          <w:p w14:paraId="6E734847" w14:textId="77777777" w:rsidR="00976478" w:rsidRPr="00B01F9E" w:rsidRDefault="00976478" w:rsidP="00A13235">
            <w:pPr>
              <w:spacing w:after="0" w:line="240" w:lineRule="auto"/>
              <w:textAlignment w:val="baseline"/>
              <w:rPr>
                <w:rFonts w:ascii="Arial" w:hAnsi="Arial" w:cs="Arial"/>
                <w:sz w:val="20"/>
                <w:szCs w:val="20"/>
              </w:rPr>
            </w:pPr>
            <w:r w:rsidRPr="00B01F9E">
              <w:rPr>
                <w:rFonts w:ascii="Arial" w:hAnsi="Arial" w:cs="Arial"/>
                <w:color w:val="0070C0"/>
                <w:sz w:val="20"/>
                <w:szCs w:val="20"/>
                <w:bdr w:val="none" w:sz="0" w:space="0" w:color="auto" w:frame="1"/>
              </w:rPr>
              <w:t xml:space="preserve">167300001^Urine blood test = +^SCT^^^^^^1+ </w:t>
            </w:r>
            <w:r w:rsidRPr="00B01F9E">
              <w:rPr>
                <w:rFonts w:ascii="Arial" w:hAnsi="Arial" w:cs="Arial"/>
                <w:sz w:val="20"/>
                <w:szCs w:val="20"/>
              </w:rPr>
              <w:t>–</w:t>
            </w:r>
            <w:r w:rsidRPr="00B01F9E">
              <w:rPr>
                <w:rFonts w:ascii="Arial" w:hAnsi="Arial" w:cs="Arial"/>
                <w:color w:val="0070C0"/>
                <w:sz w:val="20"/>
                <w:szCs w:val="20"/>
              </w:rPr>
              <w:t xml:space="preserve"> </w:t>
            </w:r>
            <w:r w:rsidRPr="00B01F9E">
              <w:rPr>
                <w:rFonts w:ascii="Arial" w:hAnsi="Arial" w:cs="Arial"/>
                <w:sz w:val="20"/>
                <w:szCs w:val="20"/>
              </w:rPr>
              <w:t xml:space="preserve">Hgb </w:t>
            </w:r>
          </w:p>
          <w:p w14:paraId="57A8C853"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bdr w:val="none" w:sz="0" w:space="0" w:color="auto" w:frame="1"/>
              </w:rPr>
              <w:t xml:space="preserve">167273002^Urine protein not </w:t>
            </w:r>
            <w:proofErr w:type="spellStart"/>
            <w:r w:rsidRPr="00B01F9E">
              <w:rPr>
                <w:rFonts w:ascii="Arial" w:hAnsi="Arial" w:cs="Arial"/>
                <w:color w:val="0070C0"/>
                <w:sz w:val="20"/>
                <w:szCs w:val="20"/>
                <w:bdr w:val="none" w:sz="0" w:space="0" w:color="auto" w:frame="1"/>
              </w:rPr>
              <w:t>detected^SCT</w:t>
            </w:r>
            <w:proofErr w:type="spellEnd"/>
            <w:r w:rsidRPr="00B01F9E">
              <w:rPr>
                <w:rFonts w:ascii="Arial" w:hAnsi="Arial" w:cs="Arial"/>
                <w:color w:val="0070C0"/>
                <w:sz w:val="20"/>
                <w:szCs w:val="20"/>
              </w:rPr>
              <w:t xml:space="preserve"> </w:t>
            </w:r>
            <w:r w:rsidRPr="00B01F9E">
              <w:rPr>
                <w:rFonts w:ascii="Arial" w:hAnsi="Arial" w:cs="Arial"/>
                <w:sz w:val="20"/>
                <w:szCs w:val="20"/>
              </w:rPr>
              <w:t>- Protein</w:t>
            </w:r>
          </w:p>
          <w:p w14:paraId="0119EDCD"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bdr w:val="none" w:sz="0" w:space="0" w:color="auto" w:frame="1"/>
              </w:rPr>
              <w:t>10828004^Positive^SCT</w:t>
            </w:r>
            <w:r w:rsidRPr="00B01F9E">
              <w:rPr>
                <w:rFonts w:ascii="Arial" w:hAnsi="Arial" w:cs="Arial"/>
                <w:color w:val="0070C0"/>
                <w:sz w:val="20"/>
                <w:szCs w:val="20"/>
              </w:rPr>
              <w:t xml:space="preserve"> </w:t>
            </w:r>
            <w:r w:rsidRPr="00B01F9E">
              <w:rPr>
                <w:rFonts w:ascii="Arial" w:hAnsi="Arial" w:cs="Arial"/>
                <w:sz w:val="20"/>
                <w:szCs w:val="20"/>
              </w:rPr>
              <w:t>-</w:t>
            </w:r>
            <w:r w:rsidRPr="00B01F9E">
              <w:rPr>
                <w:rFonts w:ascii="Arial" w:hAnsi="Arial" w:cs="Arial"/>
                <w:color w:val="00B050"/>
                <w:sz w:val="20"/>
                <w:szCs w:val="20"/>
              </w:rPr>
              <w:t xml:space="preserve"> </w:t>
            </w:r>
            <w:r w:rsidRPr="00B01F9E">
              <w:rPr>
                <w:rFonts w:ascii="Arial" w:hAnsi="Arial" w:cs="Arial"/>
                <w:sz w:val="20"/>
                <w:szCs w:val="20"/>
              </w:rPr>
              <w:t>Nitrite</w:t>
            </w:r>
          </w:p>
          <w:p w14:paraId="5AC47630" w14:textId="77777777" w:rsidR="00976478" w:rsidRPr="00B01F9E" w:rsidRDefault="00976478" w:rsidP="00A13235">
            <w:pPr>
              <w:spacing w:after="0" w:line="240" w:lineRule="auto"/>
              <w:textAlignment w:val="baseline"/>
              <w:rPr>
                <w:rFonts w:ascii="Arial" w:hAnsi="Arial" w:cs="Arial"/>
                <w:color w:val="92D050"/>
                <w:sz w:val="20"/>
                <w:szCs w:val="20"/>
              </w:rPr>
            </w:pPr>
            <w:r w:rsidRPr="00B01F9E">
              <w:rPr>
                <w:rFonts w:ascii="Arial" w:hAnsi="Arial" w:cs="Arial"/>
                <w:color w:val="0070C0"/>
                <w:sz w:val="20"/>
                <w:szCs w:val="20"/>
                <w:bdr w:val="none" w:sz="0" w:space="0" w:color="auto" w:frame="1"/>
              </w:rPr>
              <w:t>260385009^Negative^SCT</w:t>
            </w:r>
            <w:r w:rsidRPr="00B01F9E">
              <w:rPr>
                <w:rFonts w:ascii="Arial" w:hAnsi="Arial" w:cs="Arial"/>
                <w:color w:val="0070C0"/>
                <w:sz w:val="20"/>
                <w:szCs w:val="20"/>
              </w:rPr>
              <w:t xml:space="preserve"> </w:t>
            </w:r>
            <w:r w:rsidRPr="00B01F9E">
              <w:rPr>
                <w:rFonts w:ascii="Arial" w:hAnsi="Arial" w:cs="Arial"/>
                <w:sz w:val="20"/>
                <w:szCs w:val="20"/>
              </w:rPr>
              <w:t>–</w:t>
            </w:r>
            <w:r w:rsidRPr="00B01F9E">
              <w:rPr>
                <w:rFonts w:ascii="Arial" w:hAnsi="Arial" w:cs="Arial"/>
                <w:color w:val="00B050"/>
                <w:sz w:val="20"/>
                <w:szCs w:val="20"/>
              </w:rPr>
              <w:t xml:space="preserve"> </w:t>
            </w:r>
            <w:r w:rsidRPr="00B01F9E">
              <w:rPr>
                <w:rFonts w:ascii="Arial" w:hAnsi="Arial" w:cs="Arial"/>
                <w:sz w:val="20"/>
                <w:szCs w:val="20"/>
              </w:rPr>
              <w:t>Leukocyte Esterase</w:t>
            </w:r>
          </w:p>
          <w:p w14:paraId="3DF6E96E" w14:textId="77777777" w:rsidR="00976478" w:rsidRPr="00B01F9E" w:rsidRDefault="00976478" w:rsidP="00A13235">
            <w:pPr>
              <w:spacing w:after="0" w:line="240" w:lineRule="auto"/>
              <w:textAlignment w:val="baseline"/>
              <w:rPr>
                <w:rFonts w:ascii="Arial" w:eastAsia="Times New Roman" w:hAnsi="Arial" w:cs="Arial"/>
                <w:sz w:val="20"/>
                <w:szCs w:val="20"/>
              </w:rPr>
            </w:pPr>
          </w:p>
        </w:tc>
      </w:tr>
      <w:tr w:rsidR="00976478" w:rsidRPr="00B01F9E" w14:paraId="57A9BCEA" w14:textId="77777777" w:rsidTr="00A13235">
        <w:trPr>
          <w:trHeight w:val="141"/>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1428C09E"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CLIA Identifier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A722BA9" w14:textId="7E1D41CD"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23 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901F06D" w14:textId="4C417E8F"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OBX</w:t>
            </w:r>
            <w:r w:rsidR="00163480" w:rsidRPr="00B01F9E">
              <w:rPr>
                <w:rFonts w:ascii="Arial" w:eastAsia="Times New Roman" w:hAnsi="Arial" w:cs="Arial"/>
                <w:sz w:val="20"/>
                <w:szCs w:val="20"/>
              </w:rPr>
              <w:t>-</w:t>
            </w:r>
            <w:r w:rsidRPr="00B01F9E">
              <w:rPr>
                <w:rFonts w:ascii="Arial" w:eastAsia="Times New Roman" w:hAnsi="Arial" w:cs="Arial"/>
                <w:sz w:val="20"/>
                <w:szCs w:val="20"/>
              </w:rPr>
              <w:t>23 </w:t>
            </w:r>
          </w:p>
        </w:tc>
        <w:tc>
          <w:tcPr>
            <w:tcW w:w="6437" w:type="dxa"/>
            <w:tcBorders>
              <w:top w:val="single" w:sz="6" w:space="0" w:color="909090"/>
              <w:left w:val="single" w:sz="6" w:space="0" w:color="909090"/>
              <w:bottom w:val="single" w:sz="6" w:space="0" w:color="909090"/>
              <w:right w:val="single" w:sz="6" w:space="0" w:color="909090"/>
            </w:tcBorders>
          </w:tcPr>
          <w:p w14:paraId="2A714D28"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hAnsi="Arial" w:cs="Arial"/>
                <w:color w:val="0070C0"/>
                <w:sz w:val="20"/>
                <w:szCs w:val="20"/>
              </w:rPr>
              <w:t>34D0240734</w:t>
            </w:r>
          </w:p>
        </w:tc>
      </w:tr>
      <w:tr w:rsidR="00976478" w:rsidRPr="00B01F9E" w14:paraId="73D93FF5" w14:textId="77777777" w:rsidTr="00A13235">
        <w:trPr>
          <w:trHeight w:val="141"/>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5C13E7E"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CAP Number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01872751" w14:textId="437261BD"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ZRQ</w:t>
            </w:r>
            <w:r w:rsidR="006303B5" w:rsidRPr="00B01F9E">
              <w:rPr>
                <w:rFonts w:ascii="Arial" w:eastAsia="Times New Roman" w:hAnsi="Arial" w:cs="Arial"/>
                <w:sz w:val="20"/>
                <w:szCs w:val="20"/>
              </w:rPr>
              <w:t>-</w:t>
            </w:r>
            <w:r w:rsidRPr="00B01F9E">
              <w:rPr>
                <w:rFonts w:ascii="Arial" w:eastAsia="Times New Roman" w:hAnsi="Arial" w:cs="Arial"/>
                <w:sz w:val="20"/>
                <w:szCs w:val="20"/>
              </w:rPr>
              <w:t>5 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8FC031A" w14:textId="161C6AB3"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MSH</w:t>
            </w:r>
            <w:r w:rsidR="006303B5" w:rsidRPr="00B01F9E">
              <w:rPr>
                <w:rFonts w:ascii="Arial" w:eastAsia="Times New Roman" w:hAnsi="Arial" w:cs="Arial"/>
                <w:sz w:val="20"/>
                <w:szCs w:val="20"/>
              </w:rPr>
              <w:t>-</w:t>
            </w:r>
            <w:r w:rsidRPr="00B01F9E">
              <w:rPr>
                <w:rFonts w:ascii="Arial" w:eastAsia="Times New Roman" w:hAnsi="Arial" w:cs="Arial"/>
                <w:sz w:val="20"/>
                <w:szCs w:val="20"/>
              </w:rPr>
              <w:t>4 </w:t>
            </w:r>
          </w:p>
        </w:tc>
        <w:tc>
          <w:tcPr>
            <w:tcW w:w="6437" w:type="dxa"/>
            <w:tcBorders>
              <w:top w:val="single" w:sz="6" w:space="0" w:color="909090"/>
              <w:left w:val="single" w:sz="6" w:space="0" w:color="909090"/>
              <w:bottom w:val="single" w:sz="6" w:space="0" w:color="909090"/>
              <w:right w:val="single" w:sz="6" w:space="0" w:color="909090"/>
            </w:tcBorders>
          </w:tcPr>
          <w:p w14:paraId="370FCA86" w14:textId="77777777" w:rsidR="00976478" w:rsidRPr="00B01F9E" w:rsidRDefault="00976478" w:rsidP="00A13235">
            <w:pPr>
              <w:spacing w:after="0" w:line="240" w:lineRule="auto"/>
              <w:textAlignment w:val="baseline"/>
              <w:rPr>
                <w:rFonts w:ascii="Arial" w:eastAsia="Times New Roman" w:hAnsi="Arial" w:cs="Arial"/>
                <w:color w:val="92D050"/>
                <w:sz w:val="20"/>
                <w:szCs w:val="20"/>
              </w:rPr>
            </w:pPr>
            <w:r w:rsidRPr="00B01F9E">
              <w:rPr>
                <w:rFonts w:ascii="Arial" w:eastAsia="Times New Roman" w:hAnsi="Arial" w:cs="Arial"/>
                <w:color w:val="0070C0"/>
                <w:sz w:val="20"/>
                <w:szCs w:val="20"/>
              </w:rPr>
              <w:t>1400801</w:t>
            </w:r>
          </w:p>
        </w:tc>
      </w:tr>
      <w:tr w:rsidR="00976478" w:rsidRPr="00B01F9E" w14:paraId="255E23E8" w14:textId="77777777" w:rsidTr="00A13235">
        <w:trPr>
          <w:trHeight w:val="141"/>
        </w:trPr>
        <w:tc>
          <w:tcPr>
            <w:tcW w:w="1324"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70778C91"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CAP Kit ID </w:t>
            </w:r>
          </w:p>
        </w:tc>
        <w:tc>
          <w:tcPr>
            <w:tcW w:w="1066"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35588C8A" w14:textId="5B36231A"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ZRQ</w:t>
            </w:r>
            <w:r w:rsidR="006303B5" w:rsidRPr="00B01F9E">
              <w:rPr>
                <w:rFonts w:ascii="Arial" w:eastAsia="Times New Roman" w:hAnsi="Arial" w:cs="Arial"/>
                <w:sz w:val="20"/>
                <w:szCs w:val="20"/>
              </w:rPr>
              <w:t>-</w:t>
            </w:r>
            <w:r w:rsidRPr="00B01F9E">
              <w:rPr>
                <w:rFonts w:ascii="Arial" w:eastAsia="Times New Roman" w:hAnsi="Arial" w:cs="Arial"/>
                <w:sz w:val="20"/>
                <w:szCs w:val="20"/>
              </w:rPr>
              <w:t>5 </w:t>
            </w:r>
          </w:p>
        </w:tc>
        <w:tc>
          <w:tcPr>
            <w:tcW w:w="1155" w:type="dxa"/>
            <w:tcBorders>
              <w:top w:val="single" w:sz="6" w:space="0" w:color="909090"/>
              <w:left w:val="single" w:sz="6" w:space="0" w:color="909090"/>
              <w:bottom w:val="single" w:sz="6" w:space="0" w:color="909090"/>
              <w:right w:val="single" w:sz="6" w:space="0" w:color="909090"/>
            </w:tcBorders>
            <w:shd w:val="clear" w:color="auto" w:fill="auto"/>
            <w:tcMar>
              <w:top w:w="45" w:type="dxa"/>
              <w:left w:w="0" w:type="dxa"/>
              <w:bottom w:w="45" w:type="dxa"/>
              <w:right w:w="0" w:type="dxa"/>
            </w:tcMar>
            <w:hideMark/>
          </w:tcPr>
          <w:p w14:paraId="21145956" w14:textId="46ED80A0"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ORC</w:t>
            </w:r>
            <w:r w:rsidR="006303B5" w:rsidRPr="00B01F9E">
              <w:rPr>
                <w:rFonts w:ascii="Arial" w:eastAsia="Times New Roman" w:hAnsi="Arial" w:cs="Arial"/>
                <w:sz w:val="20"/>
                <w:szCs w:val="20"/>
              </w:rPr>
              <w:t>-</w:t>
            </w:r>
            <w:r w:rsidRPr="00B01F9E">
              <w:rPr>
                <w:rFonts w:ascii="Arial" w:eastAsia="Times New Roman" w:hAnsi="Arial" w:cs="Arial"/>
                <w:sz w:val="20"/>
                <w:szCs w:val="20"/>
              </w:rPr>
              <w:t>4 </w:t>
            </w:r>
          </w:p>
        </w:tc>
        <w:tc>
          <w:tcPr>
            <w:tcW w:w="6437" w:type="dxa"/>
            <w:tcBorders>
              <w:top w:val="single" w:sz="6" w:space="0" w:color="909090"/>
              <w:left w:val="single" w:sz="6" w:space="0" w:color="909090"/>
              <w:bottom w:val="single" w:sz="6" w:space="0" w:color="909090"/>
              <w:right w:val="single" w:sz="6" w:space="0" w:color="909090"/>
            </w:tcBorders>
          </w:tcPr>
          <w:p w14:paraId="24B3EB7F"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color w:val="0070C0"/>
                <w:sz w:val="20"/>
                <w:szCs w:val="20"/>
              </w:rPr>
              <w:t>879456231</w:t>
            </w:r>
          </w:p>
        </w:tc>
      </w:tr>
      <w:tr w:rsidR="00976478" w:rsidRPr="00B01F9E" w14:paraId="16444CD4" w14:textId="77777777" w:rsidTr="00A13235">
        <w:trPr>
          <w:trHeight w:val="141"/>
        </w:trPr>
        <w:tc>
          <w:tcPr>
            <w:tcW w:w="1324" w:type="dxa"/>
            <w:tcBorders>
              <w:top w:val="single" w:sz="6" w:space="0" w:color="909090"/>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14:paraId="27943AAC"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CAP Specimen ID </w:t>
            </w:r>
          </w:p>
        </w:tc>
        <w:tc>
          <w:tcPr>
            <w:tcW w:w="1066" w:type="dxa"/>
            <w:tcBorders>
              <w:top w:val="single" w:sz="6" w:space="0" w:color="909090"/>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14:paraId="7C9BA595" w14:textId="206C4E59"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ZRQ</w:t>
            </w:r>
            <w:r w:rsidR="006303B5" w:rsidRPr="00B01F9E">
              <w:rPr>
                <w:rFonts w:ascii="Arial" w:eastAsia="Times New Roman" w:hAnsi="Arial" w:cs="Arial"/>
                <w:sz w:val="20"/>
                <w:szCs w:val="20"/>
              </w:rPr>
              <w:t>-</w:t>
            </w:r>
            <w:r w:rsidRPr="00B01F9E">
              <w:rPr>
                <w:rFonts w:ascii="Arial" w:eastAsia="Times New Roman" w:hAnsi="Arial" w:cs="Arial"/>
                <w:sz w:val="20"/>
                <w:szCs w:val="20"/>
              </w:rPr>
              <w:t>5 </w:t>
            </w:r>
          </w:p>
        </w:tc>
        <w:tc>
          <w:tcPr>
            <w:tcW w:w="1155" w:type="dxa"/>
            <w:tcBorders>
              <w:top w:val="single" w:sz="6" w:space="0" w:color="909090"/>
              <w:left w:val="single" w:sz="6" w:space="0" w:color="909090"/>
              <w:bottom w:val="single" w:sz="4" w:space="0" w:color="auto"/>
              <w:right w:val="single" w:sz="6" w:space="0" w:color="909090"/>
            </w:tcBorders>
            <w:shd w:val="clear" w:color="auto" w:fill="auto"/>
            <w:tcMar>
              <w:top w:w="45" w:type="dxa"/>
              <w:left w:w="0" w:type="dxa"/>
              <w:bottom w:w="45" w:type="dxa"/>
              <w:right w:w="0" w:type="dxa"/>
            </w:tcMar>
            <w:hideMark/>
          </w:tcPr>
          <w:p w14:paraId="7A2C41CE" w14:textId="76066619"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eastAsia="Times New Roman" w:hAnsi="Arial" w:cs="Arial"/>
                <w:sz w:val="20"/>
                <w:szCs w:val="20"/>
              </w:rPr>
              <w:t>SPM</w:t>
            </w:r>
            <w:r w:rsidR="006303B5" w:rsidRPr="00B01F9E">
              <w:rPr>
                <w:rFonts w:ascii="Arial" w:eastAsia="Times New Roman" w:hAnsi="Arial" w:cs="Arial"/>
                <w:sz w:val="20"/>
                <w:szCs w:val="20"/>
              </w:rPr>
              <w:t>-</w:t>
            </w:r>
            <w:r w:rsidRPr="00B01F9E">
              <w:rPr>
                <w:rFonts w:ascii="Arial" w:eastAsia="Times New Roman" w:hAnsi="Arial" w:cs="Arial"/>
                <w:sz w:val="20"/>
                <w:szCs w:val="20"/>
              </w:rPr>
              <w:t>2.1 </w:t>
            </w:r>
          </w:p>
        </w:tc>
        <w:tc>
          <w:tcPr>
            <w:tcW w:w="6437" w:type="dxa"/>
            <w:tcBorders>
              <w:top w:val="single" w:sz="6" w:space="0" w:color="909090"/>
              <w:left w:val="single" w:sz="6" w:space="0" w:color="909090"/>
              <w:bottom w:val="single" w:sz="4" w:space="0" w:color="auto"/>
              <w:right w:val="single" w:sz="6" w:space="0" w:color="909090"/>
            </w:tcBorders>
          </w:tcPr>
          <w:p w14:paraId="0EE585A2" w14:textId="77777777" w:rsidR="00976478" w:rsidRPr="00B01F9E" w:rsidRDefault="00976478" w:rsidP="00A13235">
            <w:pPr>
              <w:spacing w:after="0" w:line="240" w:lineRule="auto"/>
              <w:textAlignment w:val="baseline"/>
              <w:rPr>
                <w:rFonts w:ascii="Arial" w:eastAsia="Times New Roman" w:hAnsi="Arial" w:cs="Arial"/>
                <w:sz w:val="20"/>
                <w:szCs w:val="20"/>
              </w:rPr>
            </w:pPr>
            <w:r w:rsidRPr="00B01F9E">
              <w:rPr>
                <w:rFonts w:ascii="Arial" w:hAnsi="Arial" w:cs="Arial"/>
                <w:color w:val="0070C0"/>
                <w:sz w:val="20"/>
                <w:szCs w:val="20"/>
              </w:rPr>
              <w:t>UA01</w:t>
            </w:r>
          </w:p>
        </w:tc>
      </w:tr>
      <w:tr w:rsidR="00976478" w:rsidRPr="00B01F9E" w14:paraId="50FC9BE6" w14:textId="77777777" w:rsidTr="00D6218D">
        <w:trPr>
          <w:trHeight w:val="221"/>
        </w:trPr>
        <w:tc>
          <w:tcPr>
            <w:tcW w:w="1324" w:type="dxa"/>
            <w:tcBorders>
              <w:top w:val="single" w:sz="4" w:space="0" w:color="auto"/>
              <w:left w:val="nil"/>
              <w:bottom w:val="nil"/>
              <w:right w:val="nil"/>
            </w:tcBorders>
            <w:shd w:val="clear" w:color="auto" w:fill="auto"/>
            <w:tcMar>
              <w:top w:w="45" w:type="dxa"/>
              <w:left w:w="0" w:type="dxa"/>
              <w:bottom w:w="45" w:type="dxa"/>
              <w:right w:w="0" w:type="dxa"/>
            </w:tcMar>
          </w:tcPr>
          <w:p w14:paraId="5544249A" w14:textId="77777777" w:rsidR="00976478" w:rsidRPr="00B01F9E" w:rsidRDefault="00976478">
            <w:pPr>
              <w:spacing w:after="0" w:line="240" w:lineRule="auto"/>
              <w:textAlignment w:val="baseline"/>
              <w:rPr>
                <w:rFonts w:ascii="Arial" w:eastAsia="Times New Roman" w:hAnsi="Arial" w:cs="Arial"/>
                <w:sz w:val="20"/>
                <w:szCs w:val="20"/>
              </w:rPr>
            </w:pPr>
          </w:p>
        </w:tc>
        <w:tc>
          <w:tcPr>
            <w:tcW w:w="1066" w:type="dxa"/>
            <w:tcBorders>
              <w:top w:val="single" w:sz="4" w:space="0" w:color="auto"/>
              <w:left w:val="nil"/>
              <w:bottom w:val="nil"/>
              <w:right w:val="nil"/>
            </w:tcBorders>
            <w:shd w:val="clear" w:color="auto" w:fill="auto"/>
            <w:tcMar>
              <w:top w:w="45" w:type="dxa"/>
              <w:left w:w="0" w:type="dxa"/>
              <w:bottom w:w="45" w:type="dxa"/>
              <w:right w:w="0" w:type="dxa"/>
            </w:tcMar>
          </w:tcPr>
          <w:p w14:paraId="323CFBA4" w14:textId="77777777" w:rsidR="00976478" w:rsidRPr="00B01F9E" w:rsidRDefault="00976478">
            <w:pPr>
              <w:spacing w:after="0" w:line="240" w:lineRule="auto"/>
              <w:textAlignment w:val="baseline"/>
              <w:rPr>
                <w:rFonts w:ascii="Arial" w:eastAsia="Times New Roman" w:hAnsi="Arial" w:cs="Arial"/>
                <w:sz w:val="20"/>
                <w:szCs w:val="20"/>
              </w:rPr>
            </w:pPr>
          </w:p>
        </w:tc>
        <w:tc>
          <w:tcPr>
            <w:tcW w:w="1155" w:type="dxa"/>
            <w:tcBorders>
              <w:top w:val="single" w:sz="4" w:space="0" w:color="auto"/>
              <w:left w:val="nil"/>
              <w:bottom w:val="nil"/>
              <w:right w:val="nil"/>
            </w:tcBorders>
            <w:shd w:val="clear" w:color="auto" w:fill="auto"/>
            <w:tcMar>
              <w:top w:w="45" w:type="dxa"/>
              <w:left w:w="0" w:type="dxa"/>
              <w:bottom w:w="45" w:type="dxa"/>
              <w:right w:w="0" w:type="dxa"/>
            </w:tcMar>
          </w:tcPr>
          <w:p w14:paraId="688E984B" w14:textId="77777777" w:rsidR="00976478" w:rsidRPr="00B01F9E" w:rsidRDefault="00976478">
            <w:pPr>
              <w:spacing w:after="0" w:line="240" w:lineRule="auto"/>
              <w:textAlignment w:val="baseline"/>
              <w:rPr>
                <w:rFonts w:ascii="Arial" w:eastAsia="Times New Roman" w:hAnsi="Arial" w:cs="Arial"/>
                <w:sz w:val="20"/>
                <w:szCs w:val="20"/>
              </w:rPr>
            </w:pPr>
          </w:p>
        </w:tc>
        <w:tc>
          <w:tcPr>
            <w:tcW w:w="6437" w:type="dxa"/>
            <w:tcBorders>
              <w:top w:val="single" w:sz="4" w:space="0" w:color="auto"/>
              <w:left w:val="nil"/>
              <w:bottom w:val="nil"/>
              <w:right w:val="nil"/>
            </w:tcBorders>
          </w:tcPr>
          <w:p w14:paraId="41756DA8" w14:textId="77777777" w:rsidR="00976478" w:rsidRPr="00B01F9E" w:rsidRDefault="00976478">
            <w:pPr>
              <w:spacing w:after="0" w:line="240" w:lineRule="auto"/>
              <w:textAlignment w:val="baseline"/>
              <w:rPr>
                <w:rFonts w:ascii="Arial" w:hAnsi="Arial" w:cs="Arial"/>
                <w:color w:val="0070C0"/>
                <w:sz w:val="20"/>
                <w:szCs w:val="20"/>
              </w:rPr>
            </w:pPr>
          </w:p>
        </w:tc>
      </w:tr>
    </w:tbl>
    <w:tbl>
      <w:tblPr>
        <w:tblStyle w:val="TableGrid"/>
        <w:tblW w:w="0" w:type="auto"/>
        <w:tblLook w:val="04A0" w:firstRow="1" w:lastRow="0" w:firstColumn="1" w:lastColumn="0" w:noHBand="0" w:noVBand="1"/>
      </w:tblPr>
      <w:tblGrid>
        <w:gridCol w:w="445"/>
        <w:gridCol w:w="4680"/>
      </w:tblGrid>
      <w:tr w:rsidR="00976478" w:rsidRPr="00B01F9E" w14:paraId="3C02C9C2" w14:textId="77777777">
        <w:trPr>
          <w:trHeight w:val="242"/>
        </w:trPr>
        <w:tc>
          <w:tcPr>
            <w:tcW w:w="5125" w:type="dxa"/>
            <w:gridSpan w:val="2"/>
          </w:tcPr>
          <w:p w14:paraId="05F5A68B" w14:textId="77777777" w:rsidR="00976478" w:rsidRPr="00B01F9E" w:rsidRDefault="00976478">
            <w:pPr>
              <w:jc w:val="center"/>
              <w:rPr>
                <w:rFonts w:ascii="Arial" w:hAnsi="Arial" w:cs="Arial"/>
                <w:b/>
                <w:bCs/>
                <w:sz w:val="20"/>
                <w:szCs w:val="20"/>
              </w:rPr>
            </w:pPr>
            <w:r w:rsidRPr="00B01F9E">
              <w:rPr>
                <w:rFonts w:ascii="Arial" w:hAnsi="Arial" w:cs="Arial"/>
                <w:b/>
                <w:bCs/>
                <w:sz w:val="20"/>
                <w:szCs w:val="20"/>
              </w:rPr>
              <w:t>Legend</w:t>
            </w:r>
          </w:p>
        </w:tc>
      </w:tr>
      <w:tr w:rsidR="00976478" w:rsidRPr="00B01F9E" w14:paraId="2809E06A" w14:textId="77777777">
        <w:tc>
          <w:tcPr>
            <w:tcW w:w="445" w:type="dxa"/>
            <w:shd w:val="clear" w:color="auto" w:fill="0070C0"/>
          </w:tcPr>
          <w:p w14:paraId="5202F835" w14:textId="77777777" w:rsidR="00976478" w:rsidRPr="00B01F9E" w:rsidRDefault="00976478">
            <w:pPr>
              <w:spacing w:before="120"/>
              <w:rPr>
                <w:rFonts w:ascii="Arial" w:hAnsi="Arial" w:cs="Arial"/>
                <w:sz w:val="20"/>
                <w:szCs w:val="20"/>
              </w:rPr>
            </w:pPr>
          </w:p>
        </w:tc>
        <w:tc>
          <w:tcPr>
            <w:tcW w:w="4680" w:type="dxa"/>
          </w:tcPr>
          <w:p w14:paraId="56F8F633" w14:textId="77777777" w:rsidR="00976478" w:rsidRPr="00B01F9E" w:rsidRDefault="00976478">
            <w:pPr>
              <w:spacing w:before="120"/>
              <w:rPr>
                <w:rFonts w:ascii="Arial" w:hAnsi="Arial" w:cs="Arial"/>
                <w:sz w:val="20"/>
                <w:szCs w:val="20"/>
              </w:rPr>
            </w:pPr>
            <w:r w:rsidRPr="00B01F9E">
              <w:rPr>
                <w:rFonts w:ascii="Arial" w:hAnsi="Arial" w:cs="Arial"/>
                <w:sz w:val="20"/>
                <w:szCs w:val="20"/>
              </w:rPr>
              <w:t>Correct code and location within the HL7 segment</w:t>
            </w:r>
          </w:p>
        </w:tc>
      </w:tr>
      <w:tr w:rsidR="00976478" w:rsidRPr="00B01F9E" w14:paraId="0E1AE464" w14:textId="77777777">
        <w:tc>
          <w:tcPr>
            <w:tcW w:w="445" w:type="dxa"/>
            <w:shd w:val="clear" w:color="auto" w:fill="FF0000"/>
          </w:tcPr>
          <w:p w14:paraId="1DF30CD7" w14:textId="77777777" w:rsidR="00976478" w:rsidRPr="00B01F9E" w:rsidRDefault="00976478">
            <w:pPr>
              <w:spacing w:before="120"/>
              <w:rPr>
                <w:rFonts w:ascii="Arial" w:hAnsi="Arial" w:cs="Arial"/>
                <w:sz w:val="20"/>
                <w:szCs w:val="20"/>
              </w:rPr>
            </w:pPr>
          </w:p>
        </w:tc>
        <w:tc>
          <w:tcPr>
            <w:tcW w:w="4680" w:type="dxa"/>
          </w:tcPr>
          <w:p w14:paraId="10404EC7" w14:textId="77777777" w:rsidR="00976478" w:rsidRPr="00B01F9E" w:rsidRDefault="00976478">
            <w:pPr>
              <w:spacing w:before="120"/>
              <w:rPr>
                <w:rFonts w:ascii="Arial" w:hAnsi="Arial" w:cs="Arial"/>
                <w:sz w:val="20"/>
                <w:szCs w:val="20"/>
              </w:rPr>
            </w:pPr>
            <w:r w:rsidRPr="00B01F9E">
              <w:rPr>
                <w:rFonts w:ascii="Arial" w:hAnsi="Arial" w:cs="Arial"/>
                <w:sz w:val="20"/>
                <w:szCs w:val="20"/>
              </w:rPr>
              <w:t xml:space="preserve">Error in code or location within the HL7 segment </w:t>
            </w:r>
          </w:p>
        </w:tc>
      </w:tr>
      <w:tr w:rsidR="00976478" w:rsidRPr="00B01F9E" w14:paraId="17C81CFB" w14:textId="77777777">
        <w:tc>
          <w:tcPr>
            <w:tcW w:w="5125" w:type="dxa"/>
            <w:gridSpan w:val="2"/>
          </w:tcPr>
          <w:p w14:paraId="38B8775E" w14:textId="77777777" w:rsidR="00976478" w:rsidRPr="00B01F9E" w:rsidRDefault="00976478">
            <w:pPr>
              <w:spacing w:before="120"/>
              <w:rPr>
                <w:rFonts w:ascii="Arial" w:hAnsi="Arial" w:cs="Arial"/>
                <w:b/>
                <w:bCs/>
                <w:i/>
                <w:iCs/>
                <w:sz w:val="20"/>
                <w:szCs w:val="20"/>
              </w:rPr>
            </w:pPr>
            <w:r w:rsidRPr="00B01F9E">
              <w:rPr>
                <w:rFonts w:ascii="Arial" w:hAnsi="Arial" w:cs="Arial"/>
                <w:i/>
                <w:iCs/>
                <w:sz w:val="20"/>
                <w:szCs w:val="20"/>
              </w:rPr>
              <w:t>Note: The POC uses HL7 version 2.5.1.</w:t>
            </w:r>
          </w:p>
        </w:tc>
      </w:tr>
    </w:tbl>
    <w:p w14:paraId="367CF014" w14:textId="350110F5" w:rsidR="006B7943" w:rsidRPr="00B01F9E" w:rsidRDefault="00EA6A25" w:rsidP="00550F50">
      <w:pPr>
        <w:spacing w:before="120" w:after="120"/>
        <w:rPr>
          <w:rFonts w:ascii="Arial" w:hAnsi="Arial" w:cs="Arial"/>
          <w:sz w:val="20"/>
          <w:szCs w:val="20"/>
        </w:rPr>
      </w:pPr>
      <w:r w:rsidRPr="00B01F9E">
        <w:rPr>
          <w:rFonts w:ascii="Arial" w:hAnsi="Arial" w:cs="Arial"/>
          <w:b/>
          <w:bCs/>
          <w:sz w:val="20"/>
          <w:szCs w:val="20"/>
        </w:rPr>
        <w:t xml:space="preserve">Editing and </w:t>
      </w:r>
      <w:r w:rsidR="00FE209B" w:rsidRPr="00B01F9E">
        <w:rPr>
          <w:rFonts w:ascii="Arial" w:hAnsi="Arial" w:cs="Arial"/>
          <w:b/>
          <w:bCs/>
          <w:sz w:val="20"/>
          <w:szCs w:val="20"/>
        </w:rPr>
        <w:t>R</w:t>
      </w:r>
      <w:r w:rsidRPr="00B01F9E">
        <w:rPr>
          <w:rFonts w:ascii="Arial" w:hAnsi="Arial" w:cs="Arial"/>
          <w:b/>
          <w:bCs/>
          <w:sz w:val="20"/>
          <w:szCs w:val="20"/>
        </w:rPr>
        <w:t>etesting</w:t>
      </w:r>
      <w:r w:rsidRPr="00B01F9E">
        <w:rPr>
          <w:rFonts w:ascii="Arial" w:hAnsi="Arial" w:cs="Arial"/>
          <w:sz w:val="20"/>
          <w:szCs w:val="20"/>
        </w:rPr>
        <w:t>: The results of the analysis include</w:t>
      </w:r>
      <w:r w:rsidR="005A2BCD" w:rsidRPr="00B01F9E">
        <w:rPr>
          <w:rFonts w:ascii="Arial" w:hAnsi="Arial" w:cs="Arial"/>
          <w:sz w:val="20"/>
          <w:szCs w:val="20"/>
        </w:rPr>
        <w:t>d</w:t>
      </w:r>
      <w:r w:rsidRPr="00B01F9E">
        <w:rPr>
          <w:rFonts w:ascii="Arial" w:hAnsi="Arial" w:cs="Arial"/>
          <w:sz w:val="20"/>
          <w:szCs w:val="20"/>
        </w:rPr>
        <w:t xml:space="preserve"> the identification of gaps and potential errors in determining the correct LIDR codes</w:t>
      </w:r>
      <w:r w:rsidR="00157796" w:rsidRPr="00B01F9E">
        <w:rPr>
          <w:rFonts w:ascii="Arial" w:hAnsi="Arial" w:cs="Arial"/>
          <w:sz w:val="20"/>
          <w:szCs w:val="20"/>
        </w:rPr>
        <w:t xml:space="preserve"> </w:t>
      </w:r>
      <w:r w:rsidR="00275529" w:rsidRPr="00B01F9E">
        <w:rPr>
          <w:rFonts w:ascii="Arial" w:hAnsi="Arial" w:cs="Arial"/>
          <w:sz w:val="20"/>
          <w:szCs w:val="20"/>
        </w:rPr>
        <w:t>d</w:t>
      </w:r>
      <w:r w:rsidR="00E87BA2" w:rsidRPr="00B01F9E">
        <w:rPr>
          <w:rFonts w:ascii="Arial" w:hAnsi="Arial" w:cs="Arial"/>
          <w:sz w:val="20"/>
          <w:szCs w:val="20"/>
        </w:rPr>
        <w:t>ue to the uncertainty around how the results would be formatted or transmitted from Epic</w:t>
      </w:r>
      <w:r w:rsidR="00275529" w:rsidRPr="00B01F9E">
        <w:rPr>
          <w:rFonts w:ascii="Arial" w:hAnsi="Arial" w:cs="Arial"/>
          <w:sz w:val="20"/>
          <w:szCs w:val="20"/>
        </w:rPr>
        <w:t>.</w:t>
      </w:r>
      <w:r w:rsidR="00E87BA2" w:rsidRPr="00B01F9E">
        <w:rPr>
          <w:rFonts w:ascii="Arial" w:hAnsi="Arial" w:cs="Arial"/>
          <w:sz w:val="20"/>
          <w:szCs w:val="20"/>
        </w:rPr>
        <w:t xml:space="preserve"> </w:t>
      </w:r>
      <w:r w:rsidR="0049110B" w:rsidRPr="00B01F9E">
        <w:rPr>
          <w:rFonts w:ascii="Arial" w:hAnsi="Arial" w:cs="Arial"/>
          <w:sz w:val="20"/>
          <w:szCs w:val="20"/>
        </w:rPr>
        <w:t>V</w:t>
      </w:r>
      <w:r w:rsidR="00E87BA2" w:rsidRPr="00B01F9E">
        <w:rPr>
          <w:rFonts w:ascii="Arial" w:hAnsi="Arial" w:cs="Arial"/>
          <w:sz w:val="20"/>
          <w:szCs w:val="20"/>
        </w:rPr>
        <w:t xml:space="preserve">arious LIDR elements were updated to ensure they were consistent with the actual test reports generated by the </w:t>
      </w:r>
      <w:proofErr w:type="gramStart"/>
      <w:r w:rsidR="00E87BA2" w:rsidRPr="00B01F9E">
        <w:rPr>
          <w:rFonts w:ascii="Arial" w:hAnsi="Arial" w:cs="Arial"/>
          <w:sz w:val="20"/>
          <w:szCs w:val="20"/>
        </w:rPr>
        <w:t>Duke</w:t>
      </w:r>
      <w:proofErr w:type="gramEnd"/>
      <w:r w:rsidR="00E87BA2" w:rsidRPr="00B01F9E">
        <w:rPr>
          <w:rFonts w:ascii="Arial" w:hAnsi="Arial" w:cs="Arial"/>
          <w:sz w:val="20"/>
          <w:szCs w:val="20"/>
        </w:rPr>
        <w:t xml:space="preserve"> methods. This included updating the qualitative result SNOMED CT codes used in reporting some of the urinalysis components</w:t>
      </w:r>
      <w:r w:rsidR="0049110B" w:rsidRPr="00B01F9E">
        <w:rPr>
          <w:rFonts w:ascii="Arial" w:hAnsi="Arial" w:cs="Arial"/>
          <w:sz w:val="20"/>
          <w:szCs w:val="20"/>
        </w:rPr>
        <w:t>,</w:t>
      </w:r>
      <w:r w:rsidR="00E87BA2" w:rsidRPr="00B01F9E">
        <w:rPr>
          <w:rFonts w:ascii="Arial" w:hAnsi="Arial" w:cs="Arial"/>
          <w:sz w:val="20"/>
          <w:szCs w:val="20"/>
        </w:rPr>
        <w:t xml:space="preserve"> the test performed LOINC codes used for the organism identification tests performed on the </w:t>
      </w:r>
      <w:proofErr w:type="spellStart"/>
      <w:r w:rsidR="00E87BA2" w:rsidRPr="00B01F9E">
        <w:rPr>
          <w:rFonts w:ascii="Arial" w:hAnsi="Arial" w:cs="Arial"/>
          <w:sz w:val="20"/>
          <w:szCs w:val="20"/>
        </w:rPr>
        <w:t>Biofire</w:t>
      </w:r>
      <w:proofErr w:type="spellEnd"/>
      <w:r w:rsidR="00E87BA2" w:rsidRPr="00B01F9E">
        <w:rPr>
          <w:rFonts w:ascii="Arial" w:hAnsi="Arial" w:cs="Arial"/>
          <w:sz w:val="20"/>
          <w:szCs w:val="20"/>
        </w:rPr>
        <w:t xml:space="preserve"> 2.0 Film Array,</w:t>
      </w:r>
      <w:r w:rsidR="00A06F8E" w:rsidRPr="00B01F9E">
        <w:rPr>
          <w:rFonts w:ascii="Arial" w:hAnsi="Arial" w:cs="Arial"/>
          <w:sz w:val="20"/>
          <w:szCs w:val="20"/>
        </w:rPr>
        <w:t xml:space="preserve"> and</w:t>
      </w:r>
      <w:r w:rsidR="00E87BA2" w:rsidRPr="00B01F9E">
        <w:rPr>
          <w:rFonts w:ascii="Arial" w:hAnsi="Arial" w:cs="Arial"/>
          <w:sz w:val="20"/>
          <w:szCs w:val="20"/>
        </w:rPr>
        <w:t xml:space="preserve"> updates to instrument and kit UDIs based on the limitations of Epic</w:t>
      </w:r>
      <w:r w:rsidR="00463B6D" w:rsidRPr="00B01F9E">
        <w:rPr>
          <w:rFonts w:ascii="Arial" w:hAnsi="Arial" w:cs="Arial"/>
          <w:sz w:val="20"/>
          <w:szCs w:val="20"/>
        </w:rPr>
        <w:t>.</w:t>
      </w:r>
      <w:r w:rsidR="0000213C" w:rsidRPr="00B01F9E">
        <w:rPr>
          <w:rFonts w:ascii="Arial" w:hAnsi="Arial" w:cs="Arial"/>
          <w:sz w:val="20"/>
          <w:szCs w:val="20"/>
        </w:rPr>
        <w:t xml:space="preserve"> </w:t>
      </w:r>
      <w:r w:rsidR="00ED44A2" w:rsidRPr="00B01F9E">
        <w:rPr>
          <w:rFonts w:ascii="Arial" w:hAnsi="Arial" w:cs="Arial"/>
          <w:sz w:val="20"/>
          <w:szCs w:val="20"/>
        </w:rPr>
        <w:t>U</w:t>
      </w:r>
      <w:r w:rsidR="00E87BA2" w:rsidRPr="00B01F9E">
        <w:rPr>
          <w:rFonts w:ascii="Arial" w:hAnsi="Arial" w:cs="Arial"/>
          <w:sz w:val="20"/>
          <w:szCs w:val="20"/>
        </w:rPr>
        <w:t>pdat</w:t>
      </w:r>
      <w:r w:rsidR="00416A77" w:rsidRPr="00B01F9E">
        <w:rPr>
          <w:rFonts w:ascii="Arial" w:hAnsi="Arial" w:cs="Arial"/>
          <w:sz w:val="20"/>
          <w:szCs w:val="20"/>
        </w:rPr>
        <w:t>es to</w:t>
      </w:r>
      <w:r w:rsidR="00E87BA2" w:rsidRPr="00B01F9E">
        <w:rPr>
          <w:rFonts w:ascii="Arial" w:hAnsi="Arial" w:cs="Arial"/>
          <w:sz w:val="20"/>
          <w:szCs w:val="20"/>
        </w:rPr>
        <w:t xml:space="preserve"> the specimen descriptor SNOMED CT codes </w:t>
      </w:r>
      <w:r w:rsidR="00416A77" w:rsidRPr="00B01F9E">
        <w:rPr>
          <w:rFonts w:ascii="Arial" w:hAnsi="Arial" w:cs="Arial"/>
          <w:sz w:val="20"/>
          <w:szCs w:val="20"/>
        </w:rPr>
        <w:t xml:space="preserve">were </w:t>
      </w:r>
      <w:r w:rsidR="00ED44A2" w:rsidRPr="00B01F9E">
        <w:rPr>
          <w:rFonts w:ascii="Arial" w:hAnsi="Arial" w:cs="Arial"/>
          <w:sz w:val="20"/>
          <w:szCs w:val="20"/>
        </w:rPr>
        <w:t xml:space="preserve">also </w:t>
      </w:r>
      <w:r w:rsidR="00416A77" w:rsidRPr="00B01F9E">
        <w:rPr>
          <w:rFonts w:ascii="Arial" w:hAnsi="Arial" w:cs="Arial"/>
          <w:sz w:val="20"/>
          <w:szCs w:val="20"/>
        </w:rPr>
        <w:t>required</w:t>
      </w:r>
      <w:r w:rsidR="00E87BA2" w:rsidRPr="00B01F9E">
        <w:rPr>
          <w:rFonts w:ascii="Arial" w:hAnsi="Arial" w:cs="Arial"/>
          <w:sz w:val="20"/>
          <w:szCs w:val="20"/>
        </w:rPr>
        <w:t xml:space="preserve"> to match recommendations of the LIDR committee: </w:t>
      </w:r>
      <w:r w:rsidR="005A2BCD" w:rsidRPr="00B01F9E">
        <w:rPr>
          <w:rFonts w:ascii="Arial" w:hAnsi="Arial" w:cs="Arial"/>
          <w:sz w:val="20"/>
          <w:szCs w:val="20"/>
        </w:rPr>
        <w:t>s</w:t>
      </w:r>
      <w:r w:rsidR="00E87BA2" w:rsidRPr="00B01F9E">
        <w:rPr>
          <w:rFonts w:ascii="Arial" w:hAnsi="Arial" w:cs="Arial"/>
          <w:sz w:val="20"/>
          <w:szCs w:val="20"/>
        </w:rPr>
        <w:t xml:space="preserve">pecimen </w:t>
      </w:r>
      <w:r w:rsidR="00912C5B" w:rsidRPr="00B01F9E">
        <w:rPr>
          <w:rFonts w:ascii="Arial" w:hAnsi="Arial" w:cs="Arial"/>
          <w:sz w:val="20"/>
          <w:szCs w:val="20"/>
        </w:rPr>
        <w:t>type</w:t>
      </w:r>
      <w:r w:rsidR="00E87BA2" w:rsidRPr="00B01F9E">
        <w:rPr>
          <w:rFonts w:ascii="Arial" w:hAnsi="Arial" w:cs="Arial"/>
          <w:sz w:val="20"/>
          <w:szCs w:val="20"/>
        </w:rPr>
        <w:t xml:space="preserve"> must be a </w:t>
      </w:r>
      <w:r w:rsidR="00912C5B" w:rsidRPr="00B01F9E">
        <w:rPr>
          <w:rFonts w:ascii="Arial" w:hAnsi="Arial" w:cs="Arial"/>
          <w:sz w:val="20"/>
          <w:szCs w:val="20"/>
        </w:rPr>
        <w:t>specimen</w:t>
      </w:r>
      <w:r w:rsidR="00E87BA2" w:rsidRPr="00B01F9E">
        <w:rPr>
          <w:rFonts w:ascii="Arial" w:hAnsi="Arial" w:cs="Arial"/>
          <w:sz w:val="20"/>
          <w:szCs w:val="20"/>
        </w:rPr>
        <w:t xml:space="preserve"> </w:t>
      </w:r>
      <w:r w:rsidR="00912C5B" w:rsidRPr="00B01F9E">
        <w:rPr>
          <w:rFonts w:ascii="Arial" w:hAnsi="Arial" w:cs="Arial"/>
          <w:sz w:val="20"/>
          <w:szCs w:val="20"/>
        </w:rPr>
        <w:t>c</w:t>
      </w:r>
      <w:r w:rsidR="00E87BA2" w:rsidRPr="00B01F9E">
        <w:rPr>
          <w:rFonts w:ascii="Arial" w:hAnsi="Arial" w:cs="Arial"/>
          <w:sz w:val="20"/>
          <w:szCs w:val="20"/>
        </w:rPr>
        <w:t>oncept</w:t>
      </w:r>
      <w:r w:rsidR="00045255" w:rsidRPr="00B01F9E">
        <w:rPr>
          <w:rFonts w:ascii="Arial" w:hAnsi="Arial" w:cs="Arial"/>
          <w:sz w:val="20"/>
          <w:szCs w:val="20"/>
        </w:rPr>
        <w:t xml:space="preserve">, </w:t>
      </w:r>
      <w:r w:rsidR="00912C5B" w:rsidRPr="00B01F9E">
        <w:rPr>
          <w:rFonts w:ascii="Arial" w:hAnsi="Arial" w:cs="Arial"/>
          <w:sz w:val="20"/>
          <w:szCs w:val="20"/>
        </w:rPr>
        <w:t>s</w:t>
      </w:r>
      <w:r w:rsidR="00E87BA2" w:rsidRPr="00B01F9E">
        <w:rPr>
          <w:rFonts w:ascii="Arial" w:hAnsi="Arial" w:cs="Arial"/>
          <w:sz w:val="20"/>
          <w:szCs w:val="20"/>
        </w:rPr>
        <w:t xml:space="preserve">pecimen </w:t>
      </w:r>
      <w:r w:rsidR="00912C5B" w:rsidRPr="00B01F9E">
        <w:rPr>
          <w:rFonts w:ascii="Arial" w:hAnsi="Arial" w:cs="Arial"/>
          <w:sz w:val="20"/>
          <w:szCs w:val="20"/>
        </w:rPr>
        <w:t>source</w:t>
      </w:r>
      <w:r w:rsidR="00E87BA2" w:rsidRPr="00B01F9E">
        <w:rPr>
          <w:rFonts w:ascii="Arial" w:hAnsi="Arial" w:cs="Arial"/>
          <w:sz w:val="20"/>
          <w:szCs w:val="20"/>
        </w:rPr>
        <w:t xml:space="preserve"> must be a </w:t>
      </w:r>
      <w:r w:rsidR="00912C5B" w:rsidRPr="00B01F9E">
        <w:rPr>
          <w:rFonts w:ascii="Arial" w:hAnsi="Arial" w:cs="Arial"/>
          <w:sz w:val="20"/>
          <w:szCs w:val="20"/>
        </w:rPr>
        <w:t>substance</w:t>
      </w:r>
      <w:r w:rsidR="00E87BA2" w:rsidRPr="00B01F9E">
        <w:rPr>
          <w:rFonts w:ascii="Arial" w:hAnsi="Arial" w:cs="Arial"/>
          <w:sz w:val="20"/>
          <w:szCs w:val="20"/>
        </w:rPr>
        <w:t xml:space="preserve"> or </w:t>
      </w:r>
      <w:r w:rsidR="00912C5B" w:rsidRPr="00B01F9E">
        <w:rPr>
          <w:rFonts w:ascii="Arial" w:hAnsi="Arial" w:cs="Arial"/>
          <w:sz w:val="20"/>
          <w:szCs w:val="20"/>
        </w:rPr>
        <w:t>body structure</w:t>
      </w:r>
      <w:r w:rsidR="00E87BA2" w:rsidRPr="00B01F9E">
        <w:rPr>
          <w:rFonts w:ascii="Arial" w:hAnsi="Arial" w:cs="Arial"/>
          <w:sz w:val="20"/>
          <w:szCs w:val="20"/>
        </w:rPr>
        <w:t xml:space="preserve"> </w:t>
      </w:r>
      <w:r w:rsidR="00912C5B" w:rsidRPr="00B01F9E">
        <w:rPr>
          <w:rFonts w:ascii="Arial" w:hAnsi="Arial" w:cs="Arial"/>
          <w:sz w:val="20"/>
          <w:szCs w:val="20"/>
        </w:rPr>
        <w:t>c</w:t>
      </w:r>
      <w:r w:rsidR="00E87BA2" w:rsidRPr="00B01F9E">
        <w:rPr>
          <w:rFonts w:ascii="Arial" w:hAnsi="Arial" w:cs="Arial"/>
          <w:sz w:val="20"/>
          <w:szCs w:val="20"/>
        </w:rPr>
        <w:t>oncept</w:t>
      </w:r>
      <w:r w:rsidR="005A2BCD" w:rsidRPr="00B01F9E">
        <w:rPr>
          <w:rFonts w:ascii="Arial" w:hAnsi="Arial" w:cs="Arial"/>
          <w:sz w:val="20"/>
          <w:szCs w:val="20"/>
        </w:rPr>
        <w:t>,</w:t>
      </w:r>
      <w:r w:rsidR="00E87BA2" w:rsidRPr="00B01F9E">
        <w:rPr>
          <w:rFonts w:ascii="Arial" w:hAnsi="Arial" w:cs="Arial"/>
          <w:sz w:val="20"/>
          <w:szCs w:val="20"/>
        </w:rPr>
        <w:t xml:space="preserve"> </w:t>
      </w:r>
      <w:r w:rsidR="00235311" w:rsidRPr="00B01F9E">
        <w:rPr>
          <w:rFonts w:ascii="Arial" w:hAnsi="Arial" w:cs="Arial"/>
          <w:sz w:val="20"/>
          <w:szCs w:val="20"/>
        </w:rPr>
        <w:t xml:space="preserve">and </w:t>
      </w:r>
      <w:r w:rsidR="00912C5B" w:rsidRPr="00B01F9E">
        <w:rPr>
          <w:rFonts w:ascii="Arial" w:hAnsi="Arial" w:cs="Arial"/>
          <w:sz w:val="20"/>
          <w:szCs w:val="20"/>
        </w:rPr>
        <w:t>s</w:t>
      </w:r>
      <w:r w:rsidR="00E87BA2" w:rsidRPr="00B01F9E">
        <w:rPr>
          <w:rFonts w:ascii="Arial" w:hAnsi="Arial" w:cs="Arial"/>
          <w:sz w:val="20"/>
          <w:szCs w:val="20"/>
        </w:rPr>
        <w:t xml:space="preserve">pecimen </w:t>
      </w:r>
      <w:r w:rsidR="00912C5B" w:rsidRPr="00B01F9E">
        <w:rPr>
          <w:rFonts w:ascii="Arial" w:hAnsi="Arial" w:cs="Arial"/>
          <w:sz w:val="20"/>
          <w:szCs w:val="20"/>
        </w:rPr>
        <w:t>collection</w:t>
      </w:r>
      <w:r w:rsidR="00E87BA2" w:rsidRPr="00B01F9E">
        <w:rPr>
          <w:rFonts w:ascii="Arial" w:hAnsi="Arial" w:cs="Arial"/>
          <w:sz w:val="20"/>
          <w:szCs w:val="20"/>
        </w:rPr>
        <w:t xml:space="preserve"> must be a </w:t>
      </w:r>
      <w:r w:rsidR="00912C5B" w:rsidRPr="00B01F9E">
        <w:rPr>
          <w:rFonts w:ascii="Arial" w:hAnsi="Arial" w:cs="Arial"/>
          <w:sz w:val="20"/>
          <w:szCs w:val="20"/>
        </w:rPr>
        <w:t>procedure</w:t>
      </w:r>
      <w:r w:rsidR="00E87BA2" w:rsidRPr="00B01F9E">
        <w:rPr>
          <w:rFonts w:ascii="Arial" w:hAnsi="Arial" w:cs="Arial"/>
          <w:sz w:val="20"/>
          <w:szCs w:val="20"/>
        </w:rPr>
        <w:t xml:space="preserve"> </w:t>
      </w:r>
      <w:r w:rsidR="00912C5B" w:rsidRPr="00B01F9E">
        <w:rPr>
          <w:rFonts w:ascii="Arial" w:hAnsi="Arial" w:cs="Arial"/>
          <w:sz w:val="20"/>
          <w:szCs w:val="20"/>
        </w:rPr>
        <w:t>c</w:t>
      </w:r>
      <w:r w:rsidR="00E87BA2" w:rsidRPr="00B01F9E">
        <w:rPr>
          <w:rFonts w:ascii="Arial" w:hAnsi="Arial" w:cs="Arial"/>
          <w:sz w:val="20"/>
          <w:szCs w:val="20"/>
        </w:rPr>
        <w:t xml:space="preserve">oncept. </w:t>
      </w:r>
      <w:r w:rsidR="00802C6F" w:rsidRPr="00B01F9E">
        <w:rPr>
          <w:rFonts w:ascii="Arial" w:hAnsi="Arial" w:cs="Arial"/>
          <w:sz w:val="20"/>
          <w:szCs w:val="20"/>
        </w:rPr>
        <w:t>The final update was</w:t>
      </w:r>
      <w:r w:rsidR="00842C63" w:rsidRPr="00B01F9E">
        <w:rPr>
          <w:rFonts w:ascii="Arial" w:hAnsi="Arial" w:cs="Arial"/>
          <w:sz w:val="20"/>
          <w:szCs w:val="20"/>
        </w:rPr>
        <w:t xml:space="preserve"> a</w:t>
      </w:r>
      <w:r w:rsidR="00E87BA2" w:rsidRPr="00B01F9E">
        <w:rPr>
          <w:rFonts w:ascii="Arial" w:hAnsi="Arial" w:cs="Arial"/>
          <w:sz w:val="20"/>
          <w:szCs w:val="20"/>
        </w:rPr>
        <w:t>dding and removing antibiotics based on the gram</w:t>
      </w:r>
      <w:r w:rsidR="002606E7" w:rsidRPr="00B01F9E">
        <w:rPr>
          <w:rFonts w:ascii="Arial" w:hAnsi="Arial" w:cs="Arial"/>
          <w:sz w:val="20"/>
          <w:szCs w:val="20"/>
        </w:rPr>
        <w:t>-</w:t>
      </w:r>
      <w:r w:rsidR="00E87BA2" w:rsidRPr="00B01F9E">
        <w:rPr>
          <w:rFonts w:ascii="Arial" w:hAnsi="Arial" w:cs="Arial"/>
          <w:sz w:val="20"/>
          <w:szCs w:val="20"/>
        </w:rPr>
        <w:t xml:space="preserve">positive susceptibility panel in use at Duke. Modifying the simulated LIDR also required updating the test code mappings in the </w:t>
      </w:r>
      <w:proofErr w:type="gramStart"/>
      <w:r w:rsidR="00E87BA2" w:rsidRPr="00B01F9E">
        <w:rPr>
          <w:rFonts w:ascii="Arial" w:hAnsi="Arial" w:cs="Arial"/>
          <w:sz w:val="20"/>
          <w:szCs w:val="20"/>
        </w:rPr>
        <w:t>Duke</w:t>
      </w:r>
      <w:proofErr w:type="gramEnd"/>
      <w:r w:rsidR="00E87BA2" w:rsidRPr="00B01F9E">
        <w:rPr>
          <w:rFonts w:ascii="Arial" w:hAnsi="Arial" w:cs="Arial"/>
          <w:sz w:val="20"/>
          <w:szCs w:val="20"/>
        </w:rPr>
        <w:t xml:space="preserve"> system as well as the logic for evaluating the data within the CAP evaluation structure.</w:t>
      </w:r>
    </w:p>
    <w:p w14:paraId="5BDB19FB" w14:textId="039ADCBA" w:rsidR="00EA6A25" w:rsidRPr="00B01F9E" w:rsidRDefault="00EA6A25" w:rsidP="720FA66A">
      <w:pPr>
        <w:spacing w:after="120"/>
        <w:rPr>
          <w:rFonts w:ascii="Arial" w:hAnsi="Arial" w:cs="Arial"/>
          <w:sz w:val="20"/>
          <w:szCs w:val="20"/>
        </w:rPr>
      </w:pPr>
      <w:r w:rsidRPr="00B01F9E">
        <w:rPr>
          <w:rFonts w:ascii="Arial" w:hAnsi="Arial" w:cs="Arial"/>
          <w:sz w:val="20"/>
          <w:szCs w:val="20"/>
        </w:rPr>
        <w:lastRenderedPageBreak/>
        <w:t>Once updated, the tests were reordered and re-resulted, sending new result messages to the CAP for re-evaluation. This retesting process continued until it was determined that the test build, test environment, and the simulated LIDR were as close to the desired state – correct coding and placement within the HL7 message - as possible. This process allowed for a fine-tuning of the testing environment to ensure the proposed design could fulfill the objectives.</w:t>
      </w:r>
    </w:p>
    <w:p w14:paraId="503BD400" w14:textId="6A45290C" w:rsidR="00E66BEB" w:rsidRPr="00B01F9E" w:rsidRDefault="00B84570" w:rsidP="55B092C4">
      <w:pPr>
        <w:pStyle w:val="Heading2"/>
        <w:spacing w:before="0" w:after="120"/>
        <w:rPr>
          <w:rFonts w:ascii="Arial" w:hAnsi="Arial" w:cs="Arial"/>
          <w:b/>
          <w:bCs/>
          <w:color w:val="009BBF"/>
          <w:sz w:val="20"/>
          <w:szCs w:val="20"/>
        </w:rPr>
      </w:pPr>
      <w:bookmarkStart w:id="24" w:name="_Toc177136987"/>
      <w:r w:rsidRPr="00B01F9E">
        <w:rPr>
          <w:rFonts w:ascii="Arial" w:hAnsi="Arial" w:cs="Arial"/>
          <w:b/>
          <w:color w:val="009BBF"/>
          <w:sz w:val="20"/>
          <w:szCs w:val="20"/>
        </w:rPr>
        <w:t>3</w:t>
      </w:r>
      <w:r w:rsidR="00226BC7" w:rsidRPr="00B01F9E">
        <w:rPr>
          <w:rFonts w:ascii="Arial" w:hAnsi="Arial" w:cs="Arial"/>
          <w:b/>
          <w:color w:val="009BBF"/>
          <w:sz w:val="20"/>
          <w:szCs w:val="20"/>
        </w:rPr>
        <w:t>.5 Testing and Validation Process</w:t>
      </w:r>
      <w:bookmarkEnd w:id="24"/>
      <w:r w:rsidR="00226BC7" w:rsidRPr="00B01F9E">
        <w:rPr>
          <w:rFonts w:ascii="Arial" w:hAnsi="Arial" w:cs="Arial"/>
          <w:b/>
          <w:bCs/>
          <w:color w:val="009BBF"/>
          <w:sz w:val="20"/>
          <w:szCs w:val="20"/>
        </w:rPr>
        <w:t xml:space="preserve"> </w:t>
      </w:r>
    </w:p>
    <w:p w14:paraId="722B30AB" w14:textId="176A94BA" w:rsidR="00904880" w:rsidRPr="00B01F9E" w:rsidRDefault="00226BC7" w:rsidP="00904880">
      <w:pPr>
        <w:spacing w:after="120"/>
        <w:rPr>
          <w:rFonts w:ascii="Arial" w:hAnsi="Arial" w:cs="Arial"/>
          <w:sz w:val="20"/>
          <w:szCs w:val="20"/>
        </w:rPr>
      </w:pPr>
      <w:r w:rsidRPr="00B01F9E">
        <w:rPr>
          <w:rFonts w:ascii="Arial" w:hAnsi="Arial" w:cs="Arial"/>
          <w:b/>
          <w:bCs/>
          <w:sz w:val="20"/>
          <w:szCs w:val="20"/>
        </w:rPr>
        <w:t xml:space="preserve">Full </w:t>
      </w:r>
      <w:r w:rsidR="000D5AA3" w:rsidRPr="00B01F9E">
        <w:rPr>
          <w:rFonts w:ascii="Arial" w:hAnsi="Arial" w:cs="Arial"/>
          <w:b/>
          <w:bCs/>
          <w:sz w:val="20"/>
          <w:szCs w:val="20"/>
        </w:rPr>
        <w:t>R</w:t>
      </w:r>
      <w:r w:rsidRPr="00B01F9E">
        <w:rPr>
          <w:rFonts w:ascii="Arial" w:hAnsi="Arial" w:cs="Arial"/>
          <w:b/>
          <w:bCs/>
          <w:sz w:val="20"/>
          <w:szCs w:val="20"/>
        </w:rPr>
        <w:t xml:space="preserve">ound </w:t>
      </w:r>
      <w:r w:rsidR="000D5AA3" w:rsidRPr="00B01F9E">
        <w:rPr>
          <w:rFonts w:ascii="Arial" w:hAnsi="Arial" w:cs="Arial"/>
          <w:b/>
          <w:bCs/>
          <w:sz w:val="20"/>
          <w:szCs w:val="20"/>
        </w:rPr>
        <w:t>T</w:t>
      </w:r>
      <w:r w:rsidRPr="00B01F9E">
        <w:rPr>
          <w:rFonts w:ascii="Arial" w:hAnsi="Arial" w:cs="Arial"/>
          <w:b/>
          <w:bCs/>
          <w:sz w:val="20"/>
          <w:szCs w:val="20"/>
        </w:rPr>
        <w:t xml:space="preserve">est </w:t>
      </w:r>
      <w:r w:rsidR="00F21579" w:rsidRPr="00B01F9E">
        <w:rPr>
          <w:rFonts w:ascii="Arial" w:hAnsi="Arial" w:cs="Arial"/>
          <w:b/>
          <w:bCs/>
          <w:sz w:val="20"/>
          <w:szCs w:val="20"/>
        </w:rPr>
        <w:t>Plan</w:t>
      </w:r>
      <w:r w:rsidRPr="00B01F9E">
        <w:rPr>
          <w:rFonts w:ascii="Arial" w:hAnsi="Arial" w:cs="Arial"/>
          <w:sz w:val="20"/>
          <w:szCs w:val="20"/>
        </w:rPr>
        <w:t xml:space="preserve"> </w:t>
      </w:r>
      <w:r w:rsidR="00303C49" w:rsidRPr="00B01F9E">
        <w:rPr>
          <w:rFonts w:ascii="Arial" w:hAnsi="Arial" w:cs="Arial"/>
          <w:sz w:val="20"/>
          <w:szCs w:val="20"/>
        </w:rPr>
        <w:t xml:space="preserve"> </w:t>
      </w:r>
    </w:p>
    <w:p w14:paraId="7267B0F9" w14:textId="63D8AFEC" w:rsidR="00303C49" w:rsidRPr="00B01F9E" w:rsidRDefault="00303C49" w:rsidP="00C83847">
      <w:pPr>
        <w:spacing w:after="120"/>
        <w:rPr>
          <w:rFonts w:ascii="Arial" w:hAnsi="Arial" w:cs="Arial"/>
          <w:sz w:val="20"/>
          <w:szCs w:val="20"/>
        </w:rPr>
      </w:pPr>
      <w:r w:rsidRPr="00B01F9E">
        <w:rPr>
          <w:rFonts w:ascii="Arial" w:hAnsi="Arial" w:cs="Arial"/>
          <w:sz w:val="20"/>
          <w:szCs w:val="20"/>
        </w:rPr>
        <w:t xml:space="preserve">Upon stabilization of the systems, a full round testing </w:t>
      </w:r>
      <w:r w:rsidR="00F21579" w:rsidRPr="00B01F9E">
        <w:rPr>
          <w:rFonts w:ascii="Arial" w:hAnsi="Arial" w:cs="Arial"/>
          <w:sz w:val="20"/>
          <w:szCs w:val="20"/>
        </w:rPr>
        <w:t>plan</w:t>
      </w:r>
      <w:r w:rsidRPr="00B01F9E">
        <w:rPr>
          <w:rFonts w:ascii="Arial" w:hAnsi="Arial" w:cs="Arial"/>
          <w:sz w:val="20"/>
          <w:szCs w:val="20"/>
        </w:rPr>
        <w:t xml:space="preserve"> was utilized to assess the design of the QA </w:t>
      </w:r>
      <w:r w:rsidR="00054719" w:rsidRPr="00B01F9E">
        <w:rPr>
          <w:rFonts w:ascii="Arial" w:hAnsi="Arial" w:cs="Arial"/>
          <w:sz w:val="20"/>
          <w:szCs w:val="20"/>
        </w:rPr>
        <w:t>P</w:t>
      </w:r>
      <w:r w:rsidRPr="00B01F9E">
        <w:rPr>
          <w:rFonts w:ascii="Arial" w:hAnsi="Arial" w:cs="Arial"/>
          <w:sz w:val="20"/>
          <w:szCs w:val="20"/>
        </w:rPr>
        <w:t xml:space="preserve">rogram. The </w:t>
      </w:r>
      <w:r w:rsidR="00F21579" w:rsidRPr="00B01F9E">
        <w:rPr>
          <w:rFonts w:ascii="Arial" w:hAnsi="Arial" w:cs="Arial"/>
          <w:sz w:val="20"/>
          <w:szCs w:val="20"/>
        </w:rPr>
        <w:t>test plan</w:t>
      </w:r>
      <w:r w:rsidRPr="00B01F9E">
        <w:rPr>
          <w:rFonts w:ascii="Arial" w:hAnsi="Arial" w:cs="Arial"/>
          <w:sz w:val="20"/>
          <w:szCs w:val="20"/>
        </w:rPr>
        <w:t xml:space="preserve"> (see </w:t>
      </w:r>
      <w:r w:rsidR="00BD3013" w:rsidRPr="00B01F9E">
        <w:rPr>
          <w:rFonts w:ascii="Arial" w:hAnsi="Arial" w:cs="Arial"/>
          <w:sz w:val="20"/>
          <w:szCs w:val="20"/>
        </w:rPr>
        <w:t>Section 7.3.1</w:t>
      </w:r>
      <w:r w:rsidRPr="00B01F9E">
        <w:rPr>
          <w:rFonts w:ascii="Arial" w:hAnsi="Arial" w:cs="Arial"/>
          <w:sz w:val="20"/>
          <w:szCs w:val="20"/>
        </w:rPr>
        <w:t>) was utilized to track testing steps and determine whether they passed or failed, identify issues</w:t>
      </w:r>
      <w:r w:rsidR="000C118C" w:rsidRPr="00B01F9E">
        <w:rPr>
          <w:rFonts w:ascii="Arial" w:hAnsi="Arial" w:cs="Arial"/>
          <w:sz w:val="20"/>
          <w:szCs w:val="20"/>
        </w:rPr>
        <w:t>,</w:t>
      </w:r>
      <w:r w:rsidRPr="00B01F9E">
        <w:rPr>
          <w:rFonts w:ascii="Arial" w:hAnsi="Arial" w:cs="Arial"/>
          <w:sz w:val="20"/>
          <w:szCs w:val="20"/>
        </w:rPr>
        <w:t xml:space="preserve"> and document the HL7 messages for the successful transmissions as well as the </w:t>
      </w:r>
      <w:r w:rsidR="0023646F" w:rsidRPr="00B01F9E">
        <w:rPr>
          <w:rFonts w:ascii="Arial" w:hAnsi="Arial" w:cs="Arial"/>
          <w:sz w:val="20"/>
          <w:szCs w:val="20"/>
        </w:rPr>
        <w:t>automated CAP</w:t>
      </w:r>
      <w:r w:rsidR="00197DB1" w:rsidRPr="00B01F9E">
        <w:rPr>
          <w:rFonts w:ascii="Arial" w:hAnsi="Arial" w:cs="Arial"/>
          <w:sz w:val="20"/>
          <w:szCs w:val="20"/>
        </w:rPr>
        <w:t xml:space="preserve"> analyses</w:t>
      </w:r>
      <w:r w:rsidRPr="00B01F9E">
        <w:rPr>
          <w:rFonts w:ascii="Arial" w:hAnsi="Arial" w:cs="Arial"/>
          <w:sz w:val="20"/>
          <w:szCs w:val="20"/>
        </w:rPr>
        <w:t>. </w:t>
      </w:r>
    </w:p>
    <w:p w14:paraId="1163F1B9" w14:textId="2A91D51A" w:rsidR="00890D9E" w:rsidRPr="00B01F9E" w:rsidRDefault="00DC080E" w:rsidP="00C83847">
      <w:pPr>
        <w:spacing w:after="120"/>
        <w:rPr>
          <w:rFonts w:ascii="Arial" w:hAnsi="Arial" w:cs="Arial"/>
          <w:sz w:val="20"/>
          <w:szCs w:val="20"/>
        </w:rPr>
      </w:pPr>
      <w:r w:rsidRPr="00B01F9E">
        <w:rPr>
          <w:rFonts w:ascii="Arial" w:hAnsi="Arial" w:cs="Arial"/>
          <w:sz w:val="20"/>
          <w:szCs w:val="20"/>
        </w:rPr>
        <w:t>Developed t</w:t>
      </w:r>
      <w:r w:rsidR="00226BC7" w:rsidRPr="00B01F9E">
        <w:rPr>
          <w:rFonts w:ascii="Arial" w:hAnsi="Arial" w:cs="Arial"/>
          <w:sz w:val="20"/>
          <w:szCs w:val="20"/>
        </w:rPr>
        <w:t xml:space="preserve">est </w:t>
      </w:r>
      <w:r w:rsidR="00F21579" w:rsidRPr="00B01F9E">
        <w:rPr>
          <w:rFonts w:ascii="Arial" w:hAnsi="Arial" w:cs="Arial"/>
          <w:sz w:val="20"/>
          <w:szCs w:val="20"/>
        </w:rPr>
        <w:t>plan</w:t>
      </w:r>
      <w:r w:rsidR="00226BC7" w:rsidRPr="00B01F9E">
        <w:rPr>
          <w:rFonts w:ascii="Arial" w:hAnsi="Arial" w:cs="Arial"/>
          <w:sz w:val="20"/>
          <w:szCs w:val="20"/>
        </w:rPr>
        <w:t>s include</w:t>
      </w:r>
      <w:r w:rsidR="004053AB" w:rsidRPr="00B01F9E">
        <w:rPr>
          <w:rFonts w:ascii="Arial" w:hAnsi="Arial" w:cs="Arial"/>
          <w:sz w:val="20"/>
          <w:szCs w:val="20"/>
        </w:rPr>
        <w:t>d</w:t>
      </w:r>
      <w:r w:rsidR="00226BC7" w:rsidRPr="00B01F9E">
        <w:rPr>
          <w:rFonts w:ascii="Arial" w:hAnsi="Arial" w:cs="Arial"/>
          <w:sz w:val="20"/>
          <w:szCs w:val="20"/>
        </w:rPr>
        <w:t xml:space="preserve"> the</w:t>
      </w:r>
      <w:r w:rsidR="004053AB" w:rsidRPr="00B01F9E">
        <w:rPr>
          <w:rFonts w:ascii="Arial" w:hAnsi="Arial" w:cs="Arial"/>
          <w:sz w:val="20"/>
          <w:szCs w:val="20"/>
        </w:rPr>
        <w:t xml:space="preserve"> workflow for the</w:t>
      </w:r>
      <w:r w:rsidR="000E6172" w:rsidRPr="00B01F9E">
        <w:rPr>
          <w:rFonts w:ascii="Arial" w:hAnsi="Arial" w:cs="Arial"/>
          <w:sz w:val="20"/>
          <w:szCs w:val="20"/>
        </w:rPr>
        <w:t xml:space="preserve"> </w:t>
      </w:r>
      <w:r w:rsidR="00C64B43" w:rsidRPr="00B01F9E">
        <w:rPr>
          <w:rFonts w:ascii="Arial" w:hAnsi="Arial" w:cs="Arial"/>
          <w:sz w:val="20"/>
          <w:szCs w:val="20"/>
        </w:rPr>
        <w:t>Self</w:t>
      </w:r>
      <w:r w:rsidR="00BD3013" w:rsidRPr="00B01F9E">
        <w:rPr>
          <w:rFonts w:ascii="Arial" w:hAnsi="Arial" w:cs="Arial"/>
          <w:sz w:val="20"/>
          <w:szCs w:val="20"/>
        </w:rPr>
        <w:t>-</w:t>
      </w:r>
      <w:r w:rsidR="00231655" w:rsidRPr="00B01F9E">
        <w:rPr>
          <w:rFonts w:ascii="Arial" w:hAnsi="Arial" w:cs="Arial"/>
          <w:sz w:val="20"/>
          <w:szCs w:val="20"/>
        </w:rPr>
        <w:t>Assessment</w:t>
      </w:r>
      <w:r w:rsidR="00C64B43" w:rsidRPr="00B01F9E">
        <w:rPr>
          <w:rFonts w:ascii="Arial" w:hAnsi="Arial" w:cs="Arial"/>
          <w:sz w:val="20"/>
          <w:szCs w:val="20"/>
        </w:rPr>
        <w:t xml:space="preserve">, </w:t>
      </w:r>
      <w:r w:rsidR="000E6172" w:rsidRPr="00B01F9E">
        <w:rPr>
          <w:rFonts w:ascii="Arial" w:hAnsi="Arial" w:cs="Arial"/>
          <w:sz w:val="20"/>
          <w:szCs w:val="20"/>
        </w:rPr>
        <w:t>the Instance Error Check</w:t>
      </w:r>
      <w:r w:rsidR="0095135E" w:rsidRPr="00B01F9E">
        <w:rPr>
          <w:rFonts w:ascii="Arial" w:hAnsi="Arial" w:cs="Arial"/>
          <w:sz w:val="20"/>
          <w:szCs w:val="20"/>
        </w:rPr>
        <w:t>,</w:t>
      </w:r>
      <w:r w:rsidR="000E6172" w:rsidRPr="00B01F9E">
        <w:rPr>
          <w:rFonts w:ascii="Arial" w:hAnsi="Arial" w:cs="Arial"/>
          <w:sz w:val="20"/>
          <w:szCs w:val="20"/>
        </w:rPr>
        <w:t xml:space="preserve"> and</w:t>
      </w:r>
      <w:r w:rsidR="00651DA4" w:rsidRPr="00B01F9E">
        <w:rPr>
          <w:rFonts w:ascii="Arial" w:hAnsi="Arial" w:cs="Arial"/>
          <w:sz w:val="20"/>
          <w:szCs w:val="20"/>
        </w:rPr>
        <w:t xml:space="preserve"> the</w:t>
      </w:r>
      <w:r w:rsidR="000E6172" w:rsidRPr="00B01F9E">
        <w:rPr>
          <w:rFonts w:ascii="Arial" w:hAnsi="Arial" w:cs="Arial"/>
          <w:sz w:val="20"/>
          <w:szCs w:val="20"/>
        </w:rPr>
        <w:t xml:space="preserve"> LIDR Test Compendium Error Check</w:t>
      </w:r>
      <w:r w:rsidR="008F7EDB" w:rsidRPr="00B01F9E">
        <w:rPr>
          <w:rFonts w:ascii="Arial" w:hAnsi="Arial" w:cs="Arial"/>
          <w:sz w:val="20"/>
          <w:szCs w:val="20"/>
        </w:rPr>
        <w:t xml:space="preserve"> and</w:t>
      </w:r>
      <w:r w:rsidR="005F3AA1" w:rsidRPr="00B01F9E">
        <w:rPr>
          <w:rFonts w:ascii="Arial" w:hAnsi="Arial" w:cs="Arial"/>
          <w:sz w:val="20"/>
          <w:szCs w:val="20"/>
        </w:rPr>
        <w:t xml:space="preserve"> included testing the </w:t>
      </w:r>
      <w:r w:rsidR="00226BC7" w:rsidRPr="00B01F9E">
        <w:rPr>
          <w:rFonts w:ascii="Arial" w:hAnsi="Arial" w:cs="Arial"/>
          <w:sz w:val="20"/>
          <w:szCs w:val="20"/>
        </w:rPr>
        <w:t xml:space="preserve">CAP technical </w:t>
      </w:r>
      <w:r w:rsidR="0060430F" w:rsidRPr="00B01F9E">
        <w:rPr>
          <w:rFonts w:ascii="Arial" w:hAnsi="Arial" w:cs="Arial"/>
          <w:sz w:val="20"/>
          <w:szCs w:val="20"/>
        </w:rPr>
        <w:t xml:space="preserve">workflows </w:t>
      </w:r>
      <w:r w:rsidR="00226BC7" w:rsidRPr="00B01F9E">
        <w:rPr>
          <w:rFonts w:ascii="Arial" w:hAnsi="Arial" w:cs="Arial"/>
          <w:sz w:val="20"/>
          <w:szCs w:val="20"/>
        </w:rPr>
        <w:t>for automated analys</w:t>
      </w:r>
      <w:r w:rsidR="0006197A" w:rsidRPr="00B01F9E">
        <w:rPr>
          <w:rFonts w:ascii="Arial" w:hAnsi="Arial" w:cs="Arial"/>
          <w:sz w:val="20"/>
          <w:szCs w:val="20"/>
        </w:rPr>
        <w:t>e</w:t>
      </w:r>
      <w:r w:rsidR="00226BC7" w:rsidRPr="00B01F9E">
        <w:rPr>
          <w:rFonts w:ascii="Arial" w:hAnsi="Arial" w:cs="Arial"/>
          <w:sz w:val="20"/>
          <w:szCs w:val="20"/>
        </w:rPr>
        <w:t>s</w:t>
      </w:r>
      <w:r w:rsidR="009D063E" w:rsidRPr="00B01F9E">
        <w:rPr>
          <w:rFonts w:ascii="Arial" w:hAnsi="Arial" w:cs="Arial"/>
          <w:sz w:val="20"/>
          <w:szCs w:val="20"/>
        </w:rPr>
        <w:t>.</w:t>
      </w:r>
      <w:r w:rsidR="00D310F1" w:rsidRPr="00B01F9E">
        <w:rPr>
          <w:rFonts w:ascii="Arial" w:hAnsi="Arial" w:cs="Arial"/>
          <w:sz w:val="20"/>
          <w:szCs w:val="20"/>
        </w:rPr>
        <w:t xml:space="preserve"> </w:t>
      </w:r>
      <w:r w:rsidR="004C3DD2" w:rsidRPr="00B01F9E">
        <w:rPr>
          <w:rFonts w:ascii="Arial" w:hAnsi="Arial" w:cs="Arial"/>
          <w:sz w:val="20"/>
          <w:szCs w:val="20"/>
        </w:rPr>
        <w:t>D</w:t>
      </w:r>
      <w:r w:rsidR="00226BC7" w:rsidRPr="00B01F9E">
        <w:rPr>
          <w:rFonts w:ascii="Arial" w:hAnsi="Arial" w:cs="Arial"/>
          <w:sz w:val="20"/>
          <w:szCs w:val="20"/>
        </w:rPr>
        <w:t xml:space="preserve">edicated </w:t>
      </w:r>
      <w:r w:rsidR="004C3DD2" w:rsidRPr="00B01F9E">
        <w:rPr>
          <w:rFonts w:ascii="Arial" w:hAnsi="Arial" w:cs="Arial"/>
          <w:sz w:val="20"/>
          <w:szCs w:val="20"/>
        </w:rPr>
        <w:t xml:space="preserve">testing </w:t>
      </w:r>
      <w:r w:rsidR="00226BC7" w:rsidRPr="00B01F9E">
        <w:rPr>
          <w:rFonts w:ascii="Arial" w:hAnsi="Arial" w:cs="Arial"/>
          <w:sz w:val="20"/>
          <w:szCs w:val="20"/>
        </w:rPr>
        <w:t xml:space="preserve">events </w:t>
      </w:r>
      <w:r w:rsidR="004C3DD2" w:rsidRPr="00B01F9E">
        <w:rPr>
          <w:rFonts w:ascii="Arial" w:hAnsi="Arial" w:cs="Arial"/>
          <w:sz w:val="20"/>
          <w:szCs w:val="20"/>
        </w:rPr>
        <w:t>included</w:t>
      </w:r>
      <w:r w:rsidR="00226BC7" w:rsidRPr="00B01F9E">
        <w:rPr>
          <w:rFonts w:ascii="Arial" w:hAnsi="Arial" w:cs="Arial"/>
          <w:sz w:val="20"/>
          <w:szCs w:val="20"/>
        </w:rPr>
        <w:t xml:space="preserve"> teams from Duke, </w:t>
      </w:r>
      <w:r w:rsidR="00EC3012" w:rsidRPr="00B01F9E">
        <w:rPr>
          <w:rFonts w:ascii="Arial" w:hAnsi="Arial" w:cs="Arial"/>
          <w:sz w:val="20"/>
          <w:szCs w:val="20"/>
        </w:rPr>
        <w:t>ELLKAY</w:t>
      </w:r>
      <w:r w:rsidR="00226BC7" w:rsidRPr="00B01F9E">
        <w:rPr>
          <w:rFonts w:ascii="Arial" w:hAnsi="Arial" w:cs="Arial"/>
          <w:sz w:val="20"/>
          <w:szCs w:val="20"/>
        </w:rPr>
        <w:t xml:space="preserve">, and the CAP. </w:t>
      </w:r>
    </w:p>
    <w:p w14:paraId="32AA9064" w14:textId="5B928C45" w:rsidR="00511169" w:rsidRPr="00B01F9E" w:rsidRDefault="00226BC7" w:rsidP="00C83847">
      <w:pPr>
        <w:spacing w:after="120"/>
        <w:rPr>
          <w:rFonts w:ascii="Arial" w:hAnsi="Arial" w:cs="Arial"/>
          <w:sz w:val="20"/>
          <w:szCs w:val="20"/>
        </w:rPr>
      </w:pPr>
      <w:r w:rsidRPr="00B01F9E">
        <w:rPr>
          <w:rFonts w:ascii="Arial" w:hAnsi="Arial" w:cs="Arial"/>
          <w:sz w:val="20"/>
          <w:szCs w:val="20"/>
        </w:rPr>
        <w:t xml:space="preserve">To transfer </w:t>
      </w:r>
      <w:r w:rsidR="000603D1" w:rsidRPr="00B01F9E">
        <w:rPr>
          <w:rFonts w:ascii="Arial" w:hAnsi="Arial" w:cs="Arial"/>
          <w:sz w:val="20"/>
          <w:szCs w:val="20"/>
        </w:rPr>
        <w:t xml:space="preserve">the </w:t>
      </w:r>
      <w:r w:rsidR="00890D9E" w:rsidRPr="00B01F9E">
        <w:rPr>
          <w:rFonts w:ascii="Arial" w:hAnsi="Arial" w:cs="Arial"/>
          <w:sz w:val="20"/>
          <w:szCs w:val="20"/>
        </w:rPr>
        <w:t>LIDR T</w:t>
      </w:r>
      <w:r w:rsidR="000603D1" w:rsidRPr="00B01F9E">
        <w:rPr>
          <w:rFonts w:ascii="Arial" w:hAnsi="Arial" w:cs="Arial"/>
          <w:sz w:val="20"/>
          <w:szCs w:val="20"/>
        </w:rPr>
        <w:t xml:space="preserve">est </w:t>
      </w:r>
      <w:r w:rsidR="00890D9E" w:rsidRPr="00B01F9E">
        <w:rPr>
          <w:rFonts w:ascii="Arial" w:hAnsi="Arial" w:cs="Arial"/>
          <w:sz w:val="20"/>
          <w:szCs w:val="20"/>
        </w:rPr>
        <w:t>C</w:t>
      </w:r>
      <w:r w:rsidR="000603D1" w:rsidRPr="00B01F9E">
        <w:rPr>
          <w:rFonts w:ascii="Arial" w:hAnsi="Arial" w:cs="Arial"/>
          <w:sz w:val="20"/>
          <w:szCs w:val="20"/>
        </w:rPr>
        <w:t xml:space="preserve">ompendium </w:t>
      </w:r>
      <w:r w:rsidR="00890D9E" w:rsidRPr="00B01F9E">
        <w:rPr>
          <w:rFonts w:ascii="Arial" w:hAnsi="Arial" w:cs="Arial"/>
          <w:sz w:val="20"/>
          <w:szCs w:val="20"/>
        </w:rPr>
        <w:t>R</w:t>
      </w:r>
      <w:r w:rsidRPr="00B01F9E">
        <w:rPr>
          <w:rFonts w:ascii="Arial" w:hAnsi="Arial" w:cs="Arial"/>
          <w:sz w:val="20"/>
          <w:szCs w:val="20"/>
        </w:rPr>
        <w:t xml:space="preserve">eport to the CAP, </w:t>
      </w:r>
      <w:r w:rsidR="00EC5FE0" w:rsidRPr="00B01F9E">
        <w:rPr>
          <w:rFonts w:ascii="Arial" w:hAnsi="Arial" w:cs="Arial"/>
          <w:sz w:val="20"/>
          <w:szCs w:val="20"/>
        </w:rPr>
        <w:t>the Duke team exported the report from the</w:t>
      </w:r>
      <w:r w:rsidR="006128DC" w:rsidRPr="00B01F9E">
        <w:rPr>
          <w:rFonts w:ascii="Arial" w:hAnsi="Arial" w:cs="Arial"/>
          <w:sz w:val="20"/>
          <w:szCs w:val="20"/>
        </w:rPr>
        <w:t>ir</w:t>
      </w:r>
      <w:r w:rsidRPr="00B01F9E">
        <w:rPr>
          <w:rFonts w:ascii="Arial" w:hAnsi="Arial" w:cs="Arial"/>
          <w:sz w:val="20"/>
          <w:szCs w:val="20"/>
        </w:rPr>
        <w:t xml:space="preserve"> Epic system </w:t>
      </w:r>
      <w:r w:rsidR="005A1295" w:rsidRPr="00B01F9E">
        <w:rPr>
          <w:rFonts w:ascii="Arial" w:hAnsi="Arial" w:cs="Arial"/>
          <w:sz w:val="20"/>
          <w:szCs w:val="20"/>
        </w:rPr>
        <w:t xml:space="preserve">which was </w:t>
      </w:r>
      <w:r w:rsidR="00D724BD" w:rsidRPr="00B01F9E">
        <w:rPr>
          <w:rFonts w:ascii="Arial" w:hAnsi="Arial" w:cs="Arial"/>
          <w:sz w:val="20"/>
          <w:szCs w:val="20"/>
        </w:rPr>
        <w:t>emailed to the CAP</w:t>
      </w:r>
      <w:r w:rsidRPr="00B01F9E">
        <w:rPr>
          <w:rFonts w:ascii="Arial" w:hAnsi="Arial" w:cs="Arial"/>
          <w:sz w:val="20"/>
          <w:szCs w:val="20"/>
        </w:rPr>
        <w:t xml:space="preserve"> in </w:t>
      </w:r>
      <w:r w:rsidR="00D724BD" w:rsidRPr="00B01F9E">
        <w:rPr>
          <w:rFonts w:ascii="Arial" w:hAnsi="Arial" w:cs="Arial"/>
          <w:sz w:val="20"/>
          <w:szCs w:val="20"/>
        </w:rPr>
        <w:t>an Excel</w:t>
      </w:r>
      <w:r w:rsidRPr="00B01F9E">
        <w:rPr>
          <w:rFonts w:ascii="Arial" w:hAnsi="Arial" w:cs="Arial"/>
          <w:sz w:val="20"/>
          <w:szCs w:val="20"/>
        </w:rPr>
        <w:t xml:space="preserve"> format</w:t>
      </w:r>
      <w:r w:rsidR="00D724BD" w:rsidRPr="00B01F9E">
        <w:rPr>
          <w:rFonts w:ascii="Arial" w:hAnsi="Arial" w:cs="Arial"/>
          <w:sz w:val="20"/>
          <w:szCs w:val="20"/>
        </w:rPr>
        <w:t>.</w:t>
      </w:r>
      <w:r w:rsidRPr="00B01F9E">
        <w:rPr>
          <w:rFonts w:ascii="Arial" w:hAnsi="Arial" w:cs="Arial"/>
          <w:sz w:val="20"/>
          <w:szCs w:val="20"/>
        </w:rPr>
        <w:t xml:space="preserve"> </w:t>
      </w:r>
      <w:r w:rsidR="00511169" w:rsidRPr="00B01F9E">
        <w:rPr>
          <w:rFonts w:ascii="Arial" w:hAnsi="Arial" w:cs="Arial"/>
          <w:sz w:val="20"/>
          <w:szCs w:val="20"/>
        </w:rPr>
        <w:t xml:space="preserve">The submitted </w:t>
      </w:r>
      <w:r w:rsidR="00056A04" w:rsidRPr="00B01F9E">
        <w:rPr>
          <w:rFonts w:ascii="Arial" w:hAnsi="Arial" w:cs="Arial"/>
          <w:sz w:val="20"/>
          <w:szCs w:val="20"/>
        </w:rPr>
        <w:t>LIDR T</w:t>
      </w:r>
      <w:r w:rsidR="00511169" w:rsidRPr="00B01F9E">
        <w:rPr>
          <w:rFonts w:ascii="Arial" w:hAnsi="Arial" w:cs="Arial"/>
          <w:sz w:val="20"/>
          <w:szCs w:val="20"/>
        </w:rPr>
        <w:t xml:space="preserve">est </w:t>
      </w:r>
      <w:r w:rsidR="00D123D7" w:rsidRPr="00B01F9E">
        <w:rPr>
          <w:rFonts w:ascii="Arial" w:hAnsi="Arial" w:cs="Arial"/>
          <w:sz w:val="20"/>
          <w:szCs w:val="20"/>
        </w:rPr>
        <w:t>C</w:t>
      </w:r>
      <w:r w:rsidR="00511169" w:rsidRPr="00B01F9E">
        <w:rPr>
          <w:rFonts w:ascii="Arial" w:hAnsi="Arial" w:cs="Arial"/>
          <w:sz w:val="20"/>
          <w:szCs w:val="20"/>
        </w:rPr>
        <w:t xml:space="preserve">ompendium </w:t>
      </w:r>
      <w:r w:rsidR="00D123D7" w:rsidRPr="00B01F9E">
        <w:rPr>
          <w:rFonts w:ascii="Arial" w:hAnsi="Arial" w:cs="Arial"/>
          <w:sz w:val="20"/>
          <w:szCs w:val="20"/>
        </w:rPr>
        <w:t>R</w:t>
      </w:r>
      <w:r w:rsidR="00511169" w:rsidRPr="00B01F9E">
        <w:rPr>
          <w:rFonts w:ascii="Arial" w:hAnsi="Arial" w:cs="Arial"/>
          <w:sz w:val="20"/>
          <w:szCs w:val="20"/>
        </w:rPr>
        <w:t>eport from Duke is available for viewing (see</w:t>
      </w:r>
      <w:r w:rsidR="00BD3013" w:rsidRPr="00B01F9E">
        <w:rPr>
          <w:rFonts w:ascii="Arial" w:hAnsi="Arial" w:cs="Arial"/>
          <w:sz w:val="20"/>
          <w:szCs w:val="20"/>
        </w:rPr>
        <w:t xml:space="preserve"> Section 7.3.1</w:t>
      </w:r>
      <w:r w:rsidR="00511169" w:rsidRPr="00B01F9E">
        <w:rPr>
          <w:rFonts w:ascii="Arial" w:hAnsi="Arial" w:cs="Arial"/>
          <w:sz w:val="20"/>
          <w:szCs w:val="20"/>
        </w:rPr>
        <w:t>)</w:t>
      </w:r>
      <w:r w:rsidR="00BD3013" w:rsidRPr="00B01F9E">
        <w:rPr>
          <w:rFonts w:ascii="Arial" w:hAnsi="Arial" w:cs="Arial"/>
          <w:sz w:val="20"/>
          <w:szCs w:val="20"/>
        </w:rPr>
        <w:t>.</w:t>
      </w:r>
      <w:r w:rsidR="00511169" w:rsidRPr="00B01F9E">
        <w:rPr>
          <w:rFonts w:ascii="Arial" w:hAnsi="Arial" w:cs="Arial"/>
          <w:sz w:val="20"/>
          <w:szCs w:val="20"/>
        </w:rPr>
        <w:t>   </w:t>
      </w:r>
    </w:p>
    <w:p w14:paraId="2D0765F0" w14:textId="2B64249D" w:rsidR="00BB3251" w:rsidRPr="00B01F9E" w:rsidRDefault="00511169" w:rsidP="00C83847">
      <w:pPr>
        <w:spacing w:after="120"/>
        <w:rPr>
          <w:rFonts w:ascii="Arial" w:hAnsi="Arial" w:cs="Arial"/>
          <w:sz w:val="20"/>
          <w:szCs w:val="20"/>
        </w:rPr>
      </w:pPr>
      <w:r w:rsidRPr="00B01F9E">
        <w:rPr>
          <w:rFonts w:ascii="Arial" w:hAnsi="Arial" w:cs="Arial"/>
          <w:sz w:val="20"/>
          <w:szCs w:val="20"/>
        </w:rPr>
        <w:t>The testing documentation included a list of issues discovered through these testing processes with info</w:t>
      </w:r>
      <w:r w:rsidR="004D6A0F" w:rsidRPr="00B01F9E">
        <w:rPr>
          <w:rFonts w:ascii="Arial" w:hAnsi="Arial" w:cs="Arial"/>
          <w:sz w:val="20"/>
          <w:szCs w:val="20"/>
        </w:rPr>
        <w:t>rmation</w:t>
      </w:r>
      <w:r w:rsidRPr="00B01F9E">
        <w:rPr>
          <w:rFonts w:ascii="Arial" w:hAnsi="Arial" w:cs="Arial"/>
          <w:sz w:val="20"/>
          <w:szCs w:val="20"/>
        </w:rPr>
        <w:t xml:space="preserve"> on whether the issues were resolved. Those that were not resolved were included in the </w:t>
      </w:r>
      <w:r w:rsidR="004D6A0F" w:rsidRPr="00B01F9E">
        <w:rPr>
          <w:rFonts w:ascii="Arial" w:hAnsi="Arial" w:cs="Arial"/>
          <w:sz w:val="20"/>
          <w:szCs w:val="20"/>
        </w:rPr>
        <w:t>Gap Analysis section</w:t>
      </w:r>
      <w:r w:rsidRPr="00B01F9E">
        <w:rPr>
          <w:rFonts w:ascii="Arial" w:hAnsi="Arial" w:cs="Arial"/>
          <w:sz w:val="20"/>
          <w:szCs w:val="20"/>
        </w:rPr>
        <w:t>. </w:t>
      </w:r>
      <w:r w:rsidR="00217635" w:rsidRPr="00B01F9E">
        <w:rPr>
          <w:rFonts w:ascii="Arial" w:hAnsi="Arial" w:cs="Arial"/>
          <w:sz w:val="20"/>
          <w:szCs w:val="20"/>
        </w:rPr>
        <w:t>The testing sessions</w:t>
      </w:r>
      <w:r w:rsidR="00226BC7" w:rsidRPr="00B01F9E">
        <w:rPr>
          <w:rFonts w:ascii="Arial" w:hAnsi="Arial" w:cs="Arial"/>
          <w:sz w:val="20"/>
          <w:szCs w:val="20"/>
        </w:rPr>
        <w:t xml:space="preserve"> also </w:t>
      </w:r>
      <w:r w:rsidR="009B41B8" w:rsidRPr="00B01F9E">
        <w:rPr>
          <w:rFonts w:ascii="Arial" w:hAnsi="Arial" w:cs="Arial"/>
          <w:sz w:val="20"/>
          <w:szCs w:val="20"/>
        </w:rPr>
        <w:t>included</w:t>
      </w:r>
      <w:r w:rsidR="00226BC7" w:rsidRPr="00B01F9E">
        <w:rPr>
          <w:rFonts w:ascii="Arial" w:hAnsi="Arial" w:cs="Arial"/>
          <w:sz w:val="20"/>
          <w:szCs w:val="20"/>
        </w:rPr>
        <w:t xml:space="preserve"> interface message validation by the CAP, automated parsing and evaluation of the encoded data, storage of the message, and automated generation of an email to Duke with identified failures. Findings from this phase of testing are incorporated into this document, including identification of what worked well and gap analyses.</w:t>
      </w:r>
      <w:r w:rsidR="00B71CAC" w:rsidRPr="00B01F9E">
        <w:rPr>
          <w:rFonts w:ascii="Arial" w:hAnsi="Arial" w:cs="Arial"/>
          <w:sz w:val="20"/>
          <w:szCs w:val="20"/>
        </w:rPr>
        <w:t xml:space="preserve"> </w:t>
      </w:r>
    </w:p>
    <w:p w14:paraId="40030DC5" w14:textId="3FCE773C" w:rsidR="00DF07E8" w:rsidRPr="00B01F9E" w:rsidRDefault="00DF07E8" w:rsidP="00C83847">
      <w:pPr>
        <w:spacing w:after="120"/>
        <w:rPr>
          <w:rFonts w:ascii="Arial" w:hAnsi="Arial" w:cs="Arial"/>
          <w:sz w:val="20"/>
          <w:szCs w:val="20"/>
        </w:rPr>
      </w:pPr>
      <w:r w:rsidRPr="00B01F9E">
        <w:rPr>
          <w:rFonts w:ascii="Arial" w:hAnsi="Arial" w:cs="Arial"/>
          <w:sz w:val="20"/>
          <w:szCs w:val="20"/>
        </w:rPr>
        <w:t xml:space="preserve">The CAP </w:t>
      </w:r>
      <w:r w:rsidR="004A3199" w:rsidRPr="00B01F9E">
        <w:rPr>
          <w:rFonts w:ascii="Arial" w:hAnsi="Arial" w:cs="Arial"/>
          <w:sz w:val="20"/>
          <w:szCs w:val="20"/>
        </w:rPr>
        <w:t xml:space="preserve">also </w:t>
      </w:r>
      <w:r w:rsidRPr="00B01F9E">
        <w:rPr>
          <w:rFonts w:ascii="Arial" w:hAnsi="Arial" w:cs="Arial"/>
          <w:sz w:val="20"/>
          <w:szCs w:val="20"/>
        </w:rPr>
        <w:t>configure</w:t>
      </w:r>
      <w:r w:rsidR="00791DA9" w:rsidRPr="00B01F9E">
        <w:rPr>
          <w:rFonts w:ascii="Arial" w:hAnsi="Arial" w:cs="Arial"/>
          <w:sz w:val="20"/>
          <w:szCs w:val="20"/>
        </w:rPr>
        <w:t>d</w:t>
      </w:r>
      <w:r w:rsidRPr="00B01F9E">
        <w:rPr>
          <w:rFonts w:ascii="Arial" w:hAnsi="Arial" w:cs="Arial"/>
          <w:sz w:val="20"/>
          <w:szCs w:val="20"/>
        </w:rPr>
        <w:t xml:space="preserve"> the notification to the LIDR </w:t>
      </w:r>
      <w:r w:rsidR="007C206E" w:rsidRPr="00B01F9E">
        <w:rPr>
          <w:rFonts w:ascii="Arial" w:hAnsi="Arial" w:cs="Arial"/>
          <w:sz w:val="20"/>
          <w:szCs w:val="20"/>
        </w:rPr>
        <w:t>A</w:t>
      </w:r>
      <w:r w:rsidRPr="00B01F9E">
        <w:rPr>
          <w:rFonts w:ascii="Arial" w:hAnsi="Arial" w:cs="Arial"/>
          <w:sz w:val="20"/>
          <w:szCs w:val="20"/>
        </w:rPr>
        <w:t xml:space="preserve">dministrator when </w:t>
      </w:r>
      <w:r w:rsidR="00CC5F62" w:rsidRPr="00B01F9E">
        <w:rPr>
          <w:rFonts w:ascii="Arial" w:hAnsi="Arial" w:cs="Arial"/>
          <w:sz w:val="20"/>
          <w:szCs w:val="20"/>
        </w:rPr>
        <w:t xml:space="preserve">it was </w:t>
      </w:r>
      <w:r w:rsidRPr="00B01F9E">
        <w:rPr>
          <w:rFonts w:ascii="Arial" w:hAnsi="Arial" w:cs="Arial"/>
          <w:sz w:val="20"/>
          <w:szCs w:val="20"/>
        </w:rPr>
        <w:t>determin</w:t>
      </w:r>
      <w:r w:rsidR="00CC5F62" w:rsidRPr="00B01F9E">
        <w:rPr>
          <w:rFonts w:ascii="Arial" w:hAnsi="Arial" w:cs="Arial"/>
          <w:sz w:val="20"/>
          <w:szCs w:val="20"/>
        </w:rPr>
        <w:t>ed</w:t>
      </w:r>
      <w:r w:rsidRPr="00B01F9E">
        <w:rPr>
          <w:rFonts w:ascii="Arial" w:hAnsi="Arial" w:cs="Arial"/>
          <w:sz w:val="20"/>
          <w:szCs w:val="20"/>
        </w:rPr>
        <w:t xml:space="preserve"> that a LIDR data element exceeded a threshold that could imply the IVD vendor may have provided incorrect information to their laboratory clients. </w:t>
      </w:r>
    </w:p>
    <w:p w14:paraId="667E3924" w14:textId="28476D7C" w:rsidR="00DF65CA" w:rsidRPr="00B01F9E" w:rsidRDefault="00DF65CA" w:rsidP="00C83847">
      <w:pPr>
        <w:spacing w:after="120"/>
        <w:rPr>
          <w:rFonts w:ascii="Arial" w:hAnsi="Arial" w:cs="Arial"/>
          <w:b/>
          <w:bCs/>
          <w:sz w:val="20"/>
          <w:szCs w:val="20"/>
        </w:rPr>
      </w:pPr>
      <w:r w:rsidRPr="00B01F9E">
        <w:rPr>
          <w:rFonts w:ascii="Arial" w:hAnsi="Arial" w:cs="Arial"/>
          <w:b/>
          <w:bCs/>
          <w:sz w:val="20"/>
          <w:szCs w:val="20"/>
        </w:rPr>
        <w:t>LIDR</w:t>
      </w:r>
      <w:r w:rsidR="005F6BAF" w:rsidRPr="00B01F9E">
        <w:rPr>
          <w:rFonts w:ascii="Arial" w:hAnsi="Arial" w:cs="Arial"/>
          <w:b/>
          <w:bCs/>
          <w:sz w:val="20"/>
          <w:szCs w:val="20"/>
        </w:rPr>
        <w:t xml:space="preserve"> </w:t>
      </w:r>
      <w:r w:rsidR="00485C9A" w:rsidRPr="00B01F9E">
        <w:rPr>
          <w:rFonts w:ascii="Arial" w:hAnsi="Arial" w:cs="Arial"/>
          <w:b/>
          <w:bCs/>
          <w:sz w:val="20"/>
          <w:szCs w:val="20"/>
        </w:rPr>
        <w:t>Administrator Notification</w:t>
      </w:r>
    </w:p>
    <w:p w14:paraId="7D8CE911" w14:textId="15D2AFA4" w:rsidR="004449CE" w:rsidRPr="00B01F9E" w:rsidRDefault="00535C4C" w:rsidP="00C83847">
      <w:pPr>
        <w:spacing w:after="120"/>
        <w:rPr>
          <w:rFonts w:ascii="Arial" w:hAnsi="Arial" w:cs="Arial"/>
          <w:sz w:val="20"/>
          <w:szCs w:val="20"/>
        </w:rPr>
      </w:pPr>
      <w:r w:rsidRPr="00B01F9E">
        <w:rPr>
          <w:rFonts w:ascii="Arial" w:hAnsi="Arial" w:cs="Arial"/>
          <w:sz w:val="20"/>
          <w:szCs w:val="20"/>
        </w:rPr>
        <w:t>To</w:t>
      </w:r>
      <w:r w:rsidR="004449CE" w:rsidRPr="00B01F9E">
        <w:rPr>
          <w:rFonts w:ascii="Arial" w:hAnsi="Arial" w:cs="Arial"/>
          <w:sz w:val="20"/>
          <w:szCs w:val="20"/>
        </w:rPr>
        <w:t xml:space="preserve"> ensure continuous improvement of LIDR data, a feedback mechanism </w:t>
      </w:r>
      <w:r w:rsidR="00932BBC" w:rsidRPr="00B01F9E">
        <w:rPr>
          <w:rFonts w:ascii="Arial" w:hAnsi="Arial" w:cs="Arial"/>
          <w:sz w:val="20"/>
          <w:szCs w:val="20"/>
        </w:rPr>
        <w:t>was designed</w:t>
      </w:r>
      <w:r w:rsidR="004449CE" w:rsidRPr="00B01F9E">
        <w:rPr>
          <w:rFonts w:ascii="Arial" w:hAnsi="Arial" w:cs="Arial"/>
          <w:sz w:val="20"/>
          <w:szCs w:val="20"/>
        </w:rPr>
        <w:t xml:space="preserve"> to alert the LIDR </w:t>
      </w:r>
      <w:r w:rsidR="007C206E" w:rsidRPr="00B01F9E">
        <w:rPr>
          <w:rFonts w:ascii="Arial" w:hAnsi="Arial" w:cs="Arial"/>
          <w:sz w:val="20"/>
          <w:szCs w:val="20"/>
        </w:rPr>
        <w:t>A</w:t>
      </w:r>
      <w:r w:rsidR="004449CE" w:rsidRPr="00B01F9E">
        <w:rPr>
          <w:rFonts w:ascii="Arial" w:hAnsi="Arial" w:cs="Arial"/>
          <w:sz w:val="20"/>
          <w:szCs w:val="20"/>
        </w:rPr>
        <w:t>dministrator of repeated failures</w:t>
      </w:r>
      <w:r w:rsidR="006100FE" w:rsidRPr="00B01F9E">
        <w:rPr>
          <w:rFonts w:ascii="Arial" w:hAnsi="Arial" w:cs="Arial"/>
          <w:sz w:val="20"/>
          <w:szCs w:val="20"/>
        </w:rPr>
        <w:t xml:space="preserve"> that could potentially be due to an error by the IVD manufacturers.</w:t>
      </w:r>
      <w:r w:rsidR="004449CE" w:rsidRPr="00B01F9E">
        <w:rPr>
          <w:rFonts w:ascii="Arial" w:hAnsi="Arial" w:cs="Arial"/>
          <w:sz w:val="20"/>
          <w:szCs w:val="20"/>
        </w:rPr>
        <w:t xml:space="preserve"> </w:t>
      </w:r>
      <w:r w:rsidR="00381B98" w:rsidRPr="00B01F9E">
        <w:rPr>
          <w:rFonts w:ascii="Arial" w:hAnsi="Arial" w:cs="Arial"/>
          <w:sz w:val="20"/>
          <w:szCs w:val="20"/>
        </w:rPr>
        <w:t>The</w:t>
      </w:r>
      <w:r w:rsidR="004449CE" w:rsidRPr="00B01F9E">
        <w:rPr>
          <w:rFonts w:ascii="Arial" w:hAnsi="Arial" w:cs="Arial"/>
          <w:sz w:val="20"/>
          <w:szCs w:val="20"/>
        </w:rPr>
        <w:t xml:space="preserve"> CAP </w:t>
      </w:r>
      <w:r w:rsidR="00545E18" w:rsidRPr="00B01F9E">
        <w:rPr>
          <w:rFonts w:ascii="Arial" w:hAnsi="Arial" w:cs="Arial"/>
          <w:sz w:val="20"/>
          <w:szCs w:val="20"/>
        </w:rPr>
        <w:t xml:space="preserve">would </w:t>
      </w:r>
      <w:r w:rsidR="004449CE" w:rsidRPr="00B01F9E">
        <w:rPr>
          <w:rFonts w:ascii="Arial" w:hAnsi="Arial" w:cs="Arial"/>
          <w:sz w:val="20"/>
          <w:szCs w:val="20"/>
        </w:rPr>
        <w:t xml:space="preserve">generate an automated email to the LIDR </w:t>
      </w:r>
      <w:r w:rsidR="007C206E" w:rsidRPr="00B01F9E">
        <w:rPr>
          <w:rFonts w:ascii="Arial" w:hAnsi="Arial" w:cs="Arial"/>
          <w:sz w:val="20"/>
          <w:szCs w:val="20"/>
        </w:rPr>
        <w:t>A</w:t>
      </w:r>
      <w:r w:rsidR="004449CE" w:rsidRPr="00B01F9E">
        <w:rPr>
          <w:rFonts w:ascii="Arial" w:hAnsi="Arial" w:cs="Arial"/>
          <w:sz w:val="20"/>
          <w:szCs w:val="20"/>
        </w:rPr>
        <w:t xml:space="preserve">dministrator if </w:t>
      </w:r>
      <w:r w:rsidR="008740BF" w:rsidRPr="00B01F9E">
        <w:rPr>
          <w:rFonts w:ascii="Arial" w:hAnsi="Arial" w:cs="Arial"/>
          <w:sz w:val="20"/>
          <w:szCs w:val="20"/>
        </w:rPr>
        <w:t xml:space="preserve">multiple </w:t>
      </w:r>
      <w:r w:rsidR="004449CE" w:rsidRPr="00B01F9E">
        <w:rPr>
          <w:rFonts w:ascii="Arial" w:hAnsi="Arial" w:cs="Arial"/>
          <w:sz w:val="20"/>
          <w:szCs w:val="20"/>
        </w:rPr>
        <w:t>lab</w:t>
      </w:r>
      <w:r w:rsidR="00545E18" w:rsidRPr="00B01F9E">
        <w:rPr>
          <w:rFonts w:ascii="Arial" w:hAnsi="Arial" w:cs="Arial"/>
          <w:sz w:val="20"/>
          <w:szCs w:val="20"/>
        </w:rPr>
        <w:t>oratorie</w:t>
      </w:r>
      <w:r w:rsidR="004449CE" w:rsidRPr="00B01F9E">
        <w:rPr>
          <w:rFonts w:ascii="Arial" w:hAnsi="Arial" w:cs="Arial"/>
          <w:sz w:val="20"/>
          <w:szCs w:val="20"/>
        </w:rPr>
        <w:t xml:space="preserve">s </w:t>
      </w:r>
      <w:r w:rsidR="00545E18" w:rsidRPr="00B01F9E">
        <w:rPr>
          <w:rFonts w:ascii="Arial" w:hAnsi="Arial" w:cs="Arial"/>
          <w:sz w:val="20"/>
          <w:szCs w:val="20"/>
        </w:rPr>
        <w:t>were to</w:t>
      </w:r>
      <w:r w:rsidR="004449CE" w:rsidRPr="00B01F9E">
        <w:rPr>
          <w:rFonts w:ascii="Arial" w:hAnsi="Arial" w:cs="Arial"/>
          <w:sz w:val="20"/>
          <w:szCs w:val="20"/>
        </w:rPr>
        <w:t xml:space="preserve"> make </w:t>
      </w:r>
      <w:r w:rsidR="007F6633" w:rsidRPr="00B01F9E">
        <w:rPr>
          <w:rFonts w:ascii="Arial" w:hAnsi="Arial" w:cs="Arial"/>
          <w:sz w:val="20"/>
          <w:szCs w:val="20"/>
        </w:rPr>
        <w:t xml:space="preserve">the same error for the same test/method combination </w:t>
      </w:r>
      <w:r w:rsidR="004449CE" w:rsidRPr="00B01F9E">
        <w:rPr>
          <w:rFonts w:ascii="Arial" w:hAnsi="Arial" w:cs="Arial"/>
          <w:sz w:val="20"/>
          <w:szCs w:val="20"/>
        </w:rPr>
        <w:t xml:space="preserve">in </w:t>
      </w:r>
      <w:r w:rsidR="00441094" w:rsidRPr="00B01F9E">
        <w:rPr>
          <w:rFonts w:ascii="Arial" w:hAnsi="Arial" w:cs="Arial"/>
          <w:sz w:val="20"/>
          <w:szCs w:val="20"/>
        </w:rPr>
        <w:t>I</w:t>
      </w:r>
      <w:r w:rsidR="004449CE" w:rsidRPr="00B01F9E">
        <w:rPr>
          <w:rFonts w:ascii="Arial" w:hAnsi="Arial" w:cs="Arial"/>
          <w:sz w:val="20"/>
          <w:szCs w:val="20"/>
        </w:rPr>
        <w:t xml:space="preserve">nstance </w:t>
      </w:r>
      <w:r w:rsidR="006564DA" w:rsidRPr="00B01F9E">
        <w:rPr>
          <w:rFonts w:ascii="Arial" w:hAnsi="Arial" w:cs="Arial"/>
          <w:sz w:val="20"/>
          <w:szCs w:val="20"/>
        </w:rPr>
        <w:t>Error C</w:t>
      </w:r>
      <w:r w:rsidR="004449CE" w:rsidRPr="00B01F9E">
        <w:rPr>
          <w:rFonts w:ascii="Arial" w:hAnsi="Arial" w:cs="Arial"/>
          <w:sz w:val="20"/>
          <w:szCs w:val="20"/>
        </w:rPr>
        <w:t xml:space="preserve">heck </w:t>
      </w:r>
      <w:r w:rsidR="007F6633" w:rsidRPr="00B01F9E">
        <w:rPr>
          <w:rFonts w:ascii="Arial" w:hAnsi="Arial" w:cs="Arial"/>
          <w:sz w:val="20"/>
          <w:szCs w:val="20"/>
        </w:rPr>
        <w:t xml:space="preserve">and </w:t>
      </w:r>
      <w:r w:rsidR="00BD3013" w:rsidRPr="00B01F9E">
        <w:rPr>
          <w:rFonts w:ascii="Arial" w:hAnsi="Arial" w:cs="Arial"/>
          <w:sz w:val="20"/>
          <w:szCs w:val="20"/>
        </w:rPr>
        <w:t>LIDR Test C</w:t>
      </w:r>
      <w:r w:rsidR="00C00459" w:rsidRPr="00B01F9E">
        <w:rPr>
          <w:rFonts w:ascii="Arial" w:hAnsi="Arial" w:cs="Arial"/>
          <w:sz w:val="20"/>
          <w:szCs w:val="20"/>
        </w:rPr>
        <w:t xml:space="preserve">ompendium </w:t>
      </w:r>
      <w:r w:rsidR="00BD3013" w:rsidRPr="00B01F9E">
        <w:rPr>
          <w:rFonts w:ascii="Arial" w:hAnsi="Arial" w:cs="Arial"/>
          <w:sz w:val="20"/>
          <w:szCs w:val="20"/>
        </w:rPr>
        <w:t>C</w:t>
      </w:r>
      <w:r w:rsidR="00C00459" w:rsidRPr="00B01F9E">
        <w:rPr>
          <w:rFonts w:ascii="Arial" w:hAnsi="Arial" w:cs="Arial"/>
          <w:sz w:val="20"/>
          <w:szCs w:val="20"/>
        </w:rPr>
        <w:t xml:space="preserve">heck </w:t>
      </w:r>
      <w:r w:rsidR="004449CE" w:rsidRPr="00B01F9E">
        <w:rPr>
          <w:rFonts w:ascii="Arial" w:hAnsi="Arial" w:cs="Arial"/>
          <w:sz w:val="20"/>
          <w:szCs w:val="20"/>
        </w:rPr>
        <w:t xml:space="preserve">submissions. To calculate the failure threshold, the raw data of the number of submitted </w:t>
      </w:r>
      <w:r w:rsidR="007F03B0" w:rsidRPr="00B01F9E">
        <w:rPr>
          <w:rFonts w:ascii="Arial" w:hAnsi="Arial" w:cs="Arial"/>
          <w:sz w:val="20"/>
          <w:szCs w:val="20"/>
        </w:rPr>
        <w:t xml:space="preserve">test </w:t>
      </w:r>
      <w:r w:rsidR="004449CE" w:rsidRPr="00B01F9E">
        <w:rPr>
          <w:rFonts w:ascii="Arial" w:hAnsi="Arial" w:cs="Arial"/>
          <w:sz w:val="20"/>
          <w:szCs w:val="20"/>
        </w:rPr>
        <w:t xml:space="preserve">records by a specific instrument (same instrument and kit UDI) </w:t>
      </w:r>
      <w:r w:rsidR="00A65DEE" w:rsidRPr="00B01F9E">
        <w:rPr>
          <w:rFonts w:ascii="Arial" w:hAnsi="Arial" w:cs="Arial"/>
          <w:sz w:val="20"/>
          <w:szCs w:val="20"/>
        </w:rPr>
        <w:t>would be</w:t>
      </w:r>
      <w:r w:rsidR="004449CE" w:rsidRPr="00B01F9E">
        <w:rPr>
          <w:rFonts w:ascii="Arial" w:hAnsi="Arial" w:cs="Arial"/>
          <w:sz w:val="20"/>
          <w:szCs w:val="20"/>
        </w:rPr>
        <w:t xml:space="preserve"> considered. This threshold should be configurable with the default threshold at 30%</w:t>
      </w:r>
      <w:r w:rsidR="005008DE" w:rsidRPr="00B01F9E">
        <w:rPr>
          <w:rFonts w:ascii="Arial" w:hAnsi="Arial" w:cs="Arial"/>
          <w:sz w:val="20"/>
          <w:szCs w:val="20"/>
        </w:rPr>
        <w:t xml:space="preserve">, </w:t>
      </w:r>
      <w:r w:rsidR="00BD3013" w:rsidRPr="00B01F9E">
        <w:rPr>
          <w:rFonts w:ascii="Arial" w:hAnsi="Arial" w:cs="Arial"/>
          <w:sz w:val="20"/>
          <w:szCs w:val="20"/>
        </w:rPr>
        <w:t xml:space="preserve">which may change </w:t>
      </w:r>
      <w:r w:rsidR="005008DE" w:rsidRPr="00B01F9E">
        <w:rPr>
          <w:rFonts w:ascii="Arial" w:hAnsi="Arial" w:cs="Arial"/>
          <w:sz w:val="20"/>
          <w:szCs w:val="20"/>
        </w:rPr>
        <w:t>as an understanding of the data becomes more apparent.</w:t>
      </w:r>
    </w:p>
    <w:p w14:paraId="1C0FDDAD" w14:textId="77777777" w:rsidR="0036073C" w:rsidRPr="00B01F9E" w:rsidRDefault="00F871C7" w:rsidP="00C83847">
      <w:pPr>
        <w:spacing w:after="120"/>
        <w:rPr>
          <w:rFonts w:ascii="Arial" w:hAnsi="Arial" w:cs="Arial"/>
          <w:sz w:val="20"/>
          <w:szCs w:val="20"/>
        </w:rPr>
      </w:pPr>
      <w:r w:rsidRPr="00B01F9E">
        <w:rPr>
          <w:rFonts w:ascii="Arial" w:hAnsi="Arial" w:cs="Arial"/>
          <w:sz w:val="20"/>
          <w:szCs w:val="20"/>
        </w:rPr>
        <w:t xml:space="preserve">The </w:t>
      </w:r>
      <w:r w:rsidR="00FD68DD" w:rsidRPr="00B01F9E">
        <w:rPr>
          <w:rFonts w:ascii="Arial" w:hAnsi="Arial" w:cs="Arial"/>
          <w:sz w:val="20"/>
          <w:szCs w:val="20"/>
        </w:rPr>
        <w:t xml:space="preserve">CAP has incorporated a scheduled process to detect and alert the </w:t>
      </w:r>
      <w:r w:rsidR="00480743" w:rsidRPr="00B01F9E">
        <w:rPr>
          <w:rFonts w:ascii="Arial" w:hAnsi="Arial" w:cs="Arial"/>
          <w:sz w:val="20"/>
          <w:szCs w:val="20"/>
        </w:rPr>
        <w:t xml:space="preserve">LIDR </w:t>
      </w:r>
      <w:r w:rsidR="007C206E" w:rsidRPr="00B01F9E">
        <w:rPr>
          <w:rFonts w:ascii="Arial" w:hAnsi="Arial" w:cs="Arial"/>
          <w:sz w:val="20"/>
          <w:szCs w:val="20"/>
        </w:rPr>
        <w:t>A</w:t>
      </w:r>
      <w:r w:rsidR="00C72C6F" w:rsidRPr="00B01F9E">
        <w:rPr>
          <w:rFonts w:ascii="Arial" w:hAnsi="Arial" w:cs="Arial"/>
          <w:sz w:val="20"/>
          <w:szCs w:val="20"/>
        </w:rPr>
        <w:t xml:space="preserve">dministrator of </w:t>
      </w:r>
      <w:r w:rsidR="00FD68DD" w:rsidRPr="00B01F9E">
        <w:rPr>
          <w:rFonts w:ascii="Arial" w:hAnsi="Arial" w:cs="Arial"/>
          <w:sz w:val="20"/>
          <w:szCs w:val="20"/>
        </w:rPr>
        <w:t xml:space="preserve">the repeated failures. The scheduler is designed to run at specific intervals and scan the database for errors. The eligible cases will be </w:t>
      </w:r>
      <w:r w:rsidR="00E40058" w:rsidRPr="00B01F9E">
        <w:rPr>
          <w:rFonts w:ascii="Arial" w:hAnsi="Arial" w:cs="Arial"/>
          <w:sz w:val="20"/>
          <w:szCs w:val="20"/>
        </w:rPr>
        <w:t>aggregated</w:t>
      </w:r>
      <w:r w:rsidR="00FD68DD" w:rsidRPr="00B01F9E">
        <w:rPr>
          <w:rFonts w:ascii="Arial" w:hAnsi="Arial" w:cs="Arial"/>
          <w:sz w:val="20"/>
          <w:szCs w:val="20"/>
        </w:rPr>
        <w:t xml:space="preserve"> and sent to the LIDR administration. </w:t>
      </w:r>
    </w:p>
    <w:p w14:paraId="2B2A9734" w14:textId="77777777" w:rsidR="004B1F29" w:rsidRPr="00B01F9E" w:rsidRDefault="004B1F29">
      <w:pPr>
        <w:rPr>
          <w:rFonts w:ascii="Arial" w:hAnsi="Arial" w:cs="Arial"/>
          <w:sz w:val="20"/>
          <w:szCs w:val="20"/>
        </w:rPr>
      </w:pPr>
      <w:r w:rsidRPr="00B01F9E">
        <w:rPr>
          <w:rFonts w:ascii="Arial" w:hAnsi="Arial" w:cs="Arial"/>
          <w:sz w:val="20"/>
          <w:szCs w:val="20"/>
        </w:rPr>
        <w:br w:type="page"/>
      </w:r>
    </w:p>
    <w:p w14:paraId="268FB960" w14:textId="1F2009F4" w:rsidR="00FD68DD" w:rsidRPr="00B01F9E" w:rsidRDefault="00FD68DD" w:rsidP="00C83847">
      <w:pPr>
        <w:spacing w:after="120"/>
        <w:rPr>
          <w:rFonts w:ascii="Arial" w:hAnsi="Arial" w:cs="Arial"/>
          <w:sz w:val="20"/>
          <w:szCs w:val="20"/>
        </w:rPr>
      </w:pPr>
      <w:r w:rsidRPr="00B01F9E">
        <w:rPr>
          <w:rFonts w:ascii="Arial" w:hAnsi="Arial" w:cs="Arial"/>
          <w:sz w:val="20"/>
          <w:szCs w:val="20"/>
        </w:rPr>
        <w:lastRenderedPageBreak/>
        <w:t xml:space="preserve">The following are key points incorporated in the design. </w:t>
      </w:r>
    </w:p>
    <w:p w14:paraId="72C75D08" w14:textId="77777777" w:rsidR="00FD68DD" w:rsidRPr="00B01F9E" w:rsidRDefault="00FD68DD" w:rsidP="00F90B02">
      <w:pPr>
        <w:numPr>
          <w:ilvl w:val="0"/>
          <w:numId w:val="51"/>
        </w:numPr>
        <w:spacing w:after="120"/>
        <w:rPr>
          <w:rFonts w:ascii="Arial" w:hAnsi="Arial" w:cs="Arial"/>
          <w:sz w:val="20"/>
          <w:szCs w:val="20"/>
        </w:rPr>
      </w:pPr>
      <w:r w:rsidRPr="00B01F9E">
        <w:rPr>
          <w:rFonts w:ascii="Arial" w:hAnsi="Arial" w:cs="Arial"/>
          <w:sz w:val="20"/>
          <w:szCs w:val="20"/>
        </w:rPr>
        <w:t>A scheduler has been configured to run the failure threshold check twice a week. The frequency is intended to reduce email volume.</w:t>
      </w:r>
    </w:p>
    <w:p w14:paraId="6548EED8" w14:textId="77777777" w:rsidR="00FD68DD" w:rsidRPr="00B01F9E" w:rsidRDefault="00FD68DD" w:rsidP="00F90B02">
      <w:pPr>
        <w:numPr>
          <w:ilvl w:val="0"/>
          <w:numId w:val="51"/>
        </w:numPr>
        <w:spacing w:after="120"/>
        <w:rPr>
          <w:rFonts w:ascii="Arial" w:hAnsi="Arial" w:cs="Arial"/>
          <w:sz w:val="20"/>
          <w:szCs w:val="20"/>
        </w:rPr>
      </w:pPr>
      <w:r w:rsidRPr="00B01F9E">
        <w:rPr>
          <w:rFonts w:ascii="Arial" w:hAnsi="Arial" w:cs="Arial"/>
          <w:sz w:val="20"/>
          <w:szCs w:val="20"/>
        </w:rPr>
        <w:t>The scheduler scans the database and determines which records failed between the last and latest runs. This check is to avoid sending duplicate emails.</w:t>
      </w:r>
    </w:p>
    <w:p w14:paraId="39FFC6E3" w14:textId="7EFC5F46" w:rsidR="00FD68DD" w:rsidRPr="00B01F9E" w:rsidRDefault="00FD68DD" w:rsidP="00F90B02">
      <w:pPr>
        <w:numPr>
          <w:ilvl w:val="0"/>
          <w:numId w:val="51"/>
        </w:numPr>
        <w:spacing w:after="120"/>
        <w:rPr>
          <w:rFonts w:ascii="Arial" w:hAnsi="Arial" w:cs="Arial"/>
          <w:sz w:val="20"/>
          <w:szCs w:val="20"/>
        </w:rPr>
      </w:pPr>
      <w:r w:rsidRPr="00B01F9E">
        <w:rPr>
          <w:rFonts w:ascii="Arial" w:hAnsi="Arial" w:cs="Arial"/>
          <w:sz w:val="20"/>
          <w:szCs w:val="20"/>
        </w:rPr>
        <w:t xml:space="preserve">During the time between scheduled runs, if any failures are recorded, the scheduler will calculate the overall failure percentage for </w:t>
      </w:r>
      <w:r w:rsidR="005849A5" w:rsidRPr="00B01F9E">
        <w:rPr>
          <w:rFonts w:ascii="Arial" w:hAnsi="Arial" w:cs="Arial"/>
          <w:sz w:val="20"/>
          <w:szCs w:val="20"/>
        </w:rPr>
        <w:t>a test/method data element combination</w:t>
      </w:r>
      <w:r w:rsidR="000D2831" w:rsidRPr="00B01F9E">
        <w:rPr>
          <w:rFonts w:ascii="Arial" w:hAnsi="Arial" w:cs="Arial"/>
          <w:sz w:val="20"/>
          <w:szCs w:val="20"/>
        </w:rPr>
        <w:t xml:space="preserve"> </w:t>
      </w:r>
      <w:r w:rsidRPr="00B01F9E">
        <w:rPr>
          <w:rFonts w:ascii="Arial" w:hAnsi="Arial" w:cs="Arial"/>
          <w:sz w:val="20"/>
          <w:szCs w:val="20"/>
        </w:rPr>
        <w:t>and send an email notification if it exceeds 30%.</w:t>
      </w:r>
    </w:p>
    <w:p w14:paraId="247DB3F4" w14:textId="32DFFFE2" w:rsidR="00FD68DD" w:rsidRPr="00B01F9E" w:rsidRDefault="00FD68DD" w:rsidP="00F90B02">
      <w:pPr>
        <w:numPr>
          <w:ilvl w:val="0"/>
          <w:numId w:val="51"/>
        </w:numPr>
        <w:spacing w:after="120"/>
        <w:rPr>
          <w:rFonts w:ascii="Arial" w:hAnsi="Arial" w:cs="Arial"/>
          <w:sz w:val="20"/>
          <w:szCs w:val="20"/>
        </w:rPr>
      </w:pPr>
      <w:r w:rsidRPr="00B01F9E">
        <w:rPr>
          <w:rFonts w:ascii="Arial" w:hAnsi="Arial" w:cs="Arial"/>
          <w:sz w:val="20"/>
          <w:szCs w:val="20"/>
        </w:rPr>
        <w:t xml:space="preserve">The threshold percentage and </w:t>
      </w:r>
      <w:r w:rsidR="005B5D9C" w:rsidRPr="00B01F9E">
        <w:rPr>
          <w:rFonts w:ascii="Arial" w:hAnsi="Arial" w:cs="Arial"/>
          <w:sz w:val="20"/>
          <w:szCs w:val="20"/>
        </w:rPr>
        <w:t>e</w:t>
      </w:r>
      <w:r w:rsidRPr="00B01F9E">
        <w:rPr>
          <w:rFonts w:ascii="Arial" w:hAnsi="Arial" w:cs="Arial"/>
          <w:sz w:val="20"/>
          <w:szCs w:val="20"/>
        </w:rPr>
        <w:t xml:space="preserve">mail address are configurable parameters. </w:t>
      </w:r>
    </w:p>
    <w:p w14:paraId="1DAE5D69" w14:textId="14E7B540" w:rsidR="00F129D5" w:rsidRPr="00B01F9E" w:rsidRDefault="00ED7798" w:rsidP="00F90B02">
      <w:pPr>
        <w:numPr>
          <w:ilvl w:val="0"/>
          <w:numId w:val="51"/>
        </w:numPr>
        <w:spacing w:after="120"/>
        <w:rPr>
          <w:rFonts w:ascii="Arial" w:hAnsi="Arial" w:cs="Arial"/>
          <w:sz w:val="20"/>
          <w:szCs w:val="20"/>
        </w:rPr>
      </w:pPr>
      <w:r w:rsidRPr="00B01F9E">
        <w:rPr>
          <w:rFonts w:ascii="Arial" w:hAnsi="Arial" w:cs="Arial"/>
          <w:sz w:val="20"/>
          <w:szCs w:val="20"/>
        </w:rPr>
        <w:t>The schedule run is used for the periodic scan and has been marked in the database and Spring-based schedule</w:t>
      </w:r>
      <w:r w:rsidR="001C5EE8" w:rsidRPr="00B01F9E">
        <w:rPr>
          <w:rFonts w:ascii="Arial" w:hAnsi="Arial" w:cs="Arial"/>
          <w:sz w:val="20"/>
          <w:szCs w:val="20"/>
        </w:rPr>
        <w:t>r.</w:t>
      </w:r>
      <w:r w:rsidRPr="00B01F9E">
        <w:rPr>
          <w:rFonts w:ascii="Arial" w:hAnsi="Arial" w:cs="Arial"/>
          <w:sz w:val="20"/>
          <w:szCs w:val="20"/>
        </w:rPr>
        <w:t xml:space="preserve"> </w:t>
      </w:r>
    </w:p>
    <w:p w14:paraId="1D1720FC" w14:textId="1F95D26F" w:rsidR="00DF07E8" w:rsidRPr="00B01F9E" w:rsidRDefault="00341A9B" w:rsidP="00F90B02">
      <w:pPr>
        <w:spacing w:after="120"/>
        <w:rPr>
          <w:rFonts w:ascii="Arial" w:hAnsi="Arial" w:cs="Arial"/>
          <w:sz w:val="20"/>
          <w:szCs w:val="20"/>
        </w:rPr>
      </w:pPr>
      <w:r w:rsidRPr="00B01F9E">
        <w:rPr>
          <w:rFonts w:ascii="Arial" w:hAnsi="Arial" w:cs="Arial"/>
          <w:sz w:val="20"/>
          <w:szCs w:val="20"/>
        </w:rPr>
        <w:t>Samples of the email response</w:t>
      </w:r>
      <w:r w:rsidR="001C5737" w:rsidRPr="00B01F9E">
        <w:rPr>
          <w:rFonts w:ascii="Arial" w:hAnsi="Arial" w:cs="Arial"/>
          <w:sz w:val="20"/>
          <w:szCs w:val="20"/>
        </w:rPr>
        <w:t xml:space="preserve"> notifications</w:t>
      </w:r>
      <w:r w:rsidRPr="00B01F9E">
        <w:rPr>
          <w:rFonts w:ascii="Arial" w:hAnsi="Arial" w:cs="Arial"/>
          <w:sz w:val="20"/>
          <w:szCs w:val="20"/>
        </w:rPr>
        <w:t xml:space="preserve"> for the </w:t>
      </w:r>
      <w:r w:rsidR="005B724C" w:rsidRPr="00B01F9E">
        <w:rPr>
          <w:rFonts w:ascii="Arial" w:hAnsi="Arial" w:cs="Arial"/>
          <w:sz w:val="20"/>
          <w:szCs w:val="20"/>
        </w:rPr>
        <w:t>I</w:t>
      </w:r>
      <w:r w:rsidRPr="00B01F9E">
        <w:rPr>
          <w:rFonts w:ascii="Arial" w:hAnsi="Arial" w:cs="Arial"/>
          <w:sz w:val="20"/>
          <w:szCs w:val="20"/>
        </w:rPr>
        <w:t xml:space="preserve">nstance </w:t>
      </w:r>
      <w:r w:rsidR="005B724C" w:rsidRPr="00B01F9E">
        <w:rPr>
          <w:rFonts w:ascii="Arial" w:hAnsi="Arial" w:cs="Arial"/>
          <w:sz w:val="20"/>
          <w:szCs w:val="20"/>
        </w:rPr>
        <w:t>Error C</w:t>
      </w:r>
      <w:r w:rsidRPr="00B01F9E">
        <w:rPr>
          <w:rFonts w:ascii="Arial" w:hAnsi="Arial" w:cs="Arial"/>
          <w:sz w:val="20"/>
          <w:szCs w:val="20"/>
        </w:rPr>
        <w:t xml:space="preserve">heck </w:t>
      </w:r>
      <w:r w:rsidR="00167900" w:rsidRPr="00B01F9E">
        <w:rPr>
          <w:rFonts w:ascii="Arial" w:hAnsi="Arial" w:cs="Arial"/>
          <w:sz w:val="20"/>
          <w:szCs w:val="20"/>
        </w:rPr>
        <w:t xml:space="preserve">as well as notification to </w:t>
      </w:r>
      <w:r w:rsidR="00E0402A" w:rsidRPr="00B01F9E">
        <w:rPr>
          <w:rFonts w:ascii="Arial" w:hAnsi="Arial" w:cs="Arial"/>
          <w:sz w:val="20"/>
          <w:szCs w:val="20"/>
        </w:rPr>
        <w:t>a simulated</w:t>
      </w:r>
      <w:r w:rsidR="00167900" w:rsidRPr="00B01F9E">
        <w:rPr>
          <w:rFonts w:ascii="Arial" w:hAnsi="Arial" w:cs="Arial"/>
          <w:sz w:val="20"/>
          <w:szCs w:val="20"/>
        </w:rPr>
        <w:t xml:space="preserve"> LIDR </w:t>
      </w:r>
      <w:r w:rsidR="001301EB" w:rsidRPr="00B01F9E">
        <w:rPr>
          <w:rFonts w:ascii="Arial" w:hAnsi="Arial" w:cs="Arial"/>
          <w:sz w:val="20"/>
          <w:szCs w:val="20"/>
        </w:rPr>
        <w:t>A</w:t>
      </w:r>
      <w:r w:rsidR="00167900" w:rsidRPr="00B01F9E">
        <w:rPr>
          <w:rFonts w:ascii="Arial" w:hAnsi="Arial" w:cs="Arial"/>
          <w:sz w:val="20"/>
          <w:szCs w:val="20"/>
        </w:rPr>
        <w:t xml:space="preserve">dministrator </w:t>
      </w:r>
      <w:r w:rsidRPr="00B01F9E">
        <w:rPr>
          <w:rFonts w:ascii="Arial" w:hAnsi="Arial" w:cs="Arial"/>
          <w:sz w:val="20"/>
          <w:szCs w:val="20"/>
        </w:rPr>
        <w:t xml:space="preserve">are available in the </w:t>
      </w:r>
      <w:r w:rsidR="000D2831" w:rsidRPr="00B01F9E">
        <w:rPr>
          <w:rFonts w:ascii="Arial" w:hAnsi="Arial" w:cs="Arial"/>
          <w:sz w:val="20"/>
          <w:szCs w:val="20"/>
        </w:rPr>
        <w:t>Supplementa</w:t>
      </w:r>
      <w:r w:rsidR="0081572B" w:rsidRPr="00B01F9E">
        <w:rPr>
          <w:rFonts w:ascii="Arial" w:hAnsi="Arial" w:cs="Arial"/>
          <w:sz w:val="20"/>
          <w:szCs w:val="20"/>
        </w:rPr>
        <w:t>l</w:t>
      </w:r>
      <w:r w:rsidR="000D2831" w:rsidRPr="00B01F9E">
        <w:rPr>
          <w:rFonts w:ascii="Arial" w:hAnsi="Arial" w:cs="Arial"/>
          <w:sz w:val="20"/>
          <w:szCs w:val="20"/>
        </w:rPr>
        <w:t xml:space="preserve"> Materials </w:t>
      </w:r>
      <w:r w:rsidR="005D099A" w:rsidRPr="00B01F9E">
        <w:rPr>
          <w:rFonts w:ascii="Arial" w:hAnsi="Arial" w:cs="Arial"/>
          <w:sz w:val="20"/>
          <w:szCs w:val="20"/>
        </w:rPr>
        <w:t>(S</w:t>
      </w:r>
      <w:r w:rsidR="000D2831" w:rsidRPr="00B01F9E">
        <w:rPr>
          <w:rFonts w:ascii="Arial" w:hAnsi="Arial" w:cs="Arial"/>
          <w:sz w:val="20"/>
          <w:szCs w:val="20"/>
        </w:rPr>
        <w:t>ection</w:t>
      </w:r>
      <w:r w:rsidR="005D099A" w:rsidRPr="00B01F9E">
        <w:rPr>
          <w:rFonts w:ascii="Arial" w:hAnsi="Arial" w:cs="Arial"/>
          <w:sz w:val="20"/>
          <w:szCs w:val="20"/>
        </w:rPr>
        <w:t xml:space="preserve"> 7.3.1)</w:t>
      </w:r>
      <w:r w:rsidRPr="00B01F9E">
        <w:rPr>
          <w:rFonts w:ascii="Arial" w:hAnsi="Arial" w:cs="Arial"/>
          <w:sz w:val="20"/>
          <w:szCs w:val="20"/>
        </w:rPr>
        <w:t xml:space="preserve">. </w:t>
      </w:r>
    </w:p>
    <w:p w14:paraId="64606160" w14:textId="2585116A" w:rsidR="00546F1D" w:rsidRPr="00B01F9E" w:rsidRDefault="00B84570" w:rsidP="00A101A1">
      <w:pPr>
        <w:pStyle w:val="Heading2"/>
        <w:spacing w:before="0" w:after="120"/>
        <w:rPr>
          <w:rFonts w:ascii="Arial" w:hAnsi="Arial" w:cs="Arial"/>
          <w:b/>
          <w:color w:val="009BBF"/>
          <w:sz w:val="20"/>
          <w:szCs w:val="20"/>
        </w:rPr>
      </w:pPr>
      <w:bookmarkStart w:id="25" w:name="_3.6_QA_Analysis"/>
      <w:bookmarkStart w:id="26" w:name="_Toc177136988"/>
      <w:bookmarkEnd w:id="25"/>
      <w:r w:rsidRPr="00B01F9E">
        <w:rPr>
          <w:rFonts w:ascii="Arial" w:hAnsi="Arial" w:cs="Arial"/>
          <w:b/>
          <w:bCs/>
          <w:color w:val="009ABF" w:themeColor="text1"/>
          <w:sz w:val="20"/>
          <w:szCs w:val="20"/>
        </w:rPr>
        <w:t>3</w:t>
      </w:r>
      <w:r w:rsidR="00546F1D" w:rsidRPr="00B01F9E">
        <w:rPr>
          <w:rFonts w:ascii="Arial" w:hAnsi="Arial" w:cs="Arial"/>
          <w:b/>
          <w:color w:val="009BBF"/>
          <w:sz w:val="20"/>
          <w:szCs w:val="20"/>
        </w:rPr>
        <w:t xml:space="preserve">.6 </w:t>
      </w:r>
      <w:r w:rsidR="00FE6F35" w:rsidRPr="00B01F9E">
        <w:rPr>
          <w:rFonts w:ascii="Arial" w:hAnsi="Arial" w:cs="Arial"/>
          <w:b/>
          <w:color w:val="009BBF"/>
          <w:sz w:val="20"/>
          <w:szCs w:val="20"/>
        </w:rPr>
        <w:t>QA Analysis Re</w:t>
      </w:r>
      <w:r w:rsidR="00D50A3E" w:rsidRPr="00B01F9E">
        <w:rPr>
          <w:rFonts w:ascii="Arial" w:hAnsi="Arial" w:cs="Arial"/>
          <w:b/>
          <w:color w:val="009BBF"/>
          <w:sz w:val="20"/>
          <w:szCs w:val="20"/>
        </w:rPr>
        <w:t>port</w:t>
      </w:r>
      <w:r w:rsidR="00585668" w:rsidRPr="00B01F9E">
        <w:rPr>
          <w:rFonts w:ascii="Arial" w:hAnsi="Arial" w:cs="Arial"/>
          <w:b/>
          <w:color w:val="009BBF"/>
          <w:sz w:val="20"/>
          <w:szCs w:val="20"/>
        </w:rPr>
        <w:t>ing</w:t>
      </w:r>
      <w:bookmarkEnd w:id="26"/>
    </w:p>
    <w:p w14:paraId="12E4E9C9" w14:textId="418CCD29" w:rsidR="00585668" w:rsidRPr="00B01F9E" w:rsidRDefault="00585668" w:rsidP="2DD9D99F">
      <w:pPr>
        <w:spacing w:after="120"/>
        <w:rPr>
          <w:rFonts w:ascii="Arial" w:hAnsi="Arial" w:cs="Arial"/>
          <w:sz w:val="20"/>
          <w:szCs w:val="20"/>
        </w:rPr>
      </w:pPr>
      <w:r w:rsidRPr="00B01F9E">
        <w:rPr>
          <w:rFonts w:ascii="Arial" w:hAnsi="Arial" w:cs="Arial"/>
          <w:sz w:val="20"/>
          <w:szCs w:val="20"/>
        </w:rPr>
        <w:t xml:space="preserve">QA </w:t>
      </w:r>
      <w:r w:rsidR="00BF6B81" w:rsidRPr="00B01F9E">
        <w:rPr>
          <w:rFonts w:ascii="Arial" w:hAnsi="Arial" w:cs="Arial"/>
          <w:sz w:val="20"/>
          <w:szCs w:val="20"/>
        </w:rPr>
        <w:t>a</w:t>
      </w:r>
      <w:r w:rsidR="00291AD8" w:rsidRPr="00B01F9E">
        <w:rPr>
          <w:rFonts w:ascii="Arial" w:hAnsi="Arial" w:cs="Arial"/>
          <w:sz w:val="20"/>
          <w:szCs w:val="20"/>
        </w:rPr>
        <w:t>nalysis</w:t>
      </w:r>
      <w:r w:rsidRPr="00B01F9E">
        <w:rPr>
          <w:rFonts w:ascii="Arial" w:hAnsi="Arial" w:cs="Arial"/>
          <w:sz w:val="20"/>
          <w:szCs w:val="20"/>
        </w:rPr>
        <w:t xml:space="preserve"> reporting is a key element of the QA Program, leveraging data collected from participating laboratories to analyze performance and to identify areas for improvement. This section outlines the </w:t>
      </w:r>
      <w:r w:rsidR="004E1443" w:rsidRPr="00B01F9E">
        <w:rPr>
          <w:rFonts w:ascii="Arial" w:hAnsi="Arial" w:cs="Arial"/>
          <w:sz w:val="20"/>
          <w:szCs w:val="20"/>
        </w:rPr>
        <w:t>process used in the POC</w:t>
      </w:r>
      <w:r w:rsidR="00980369" w:rsidRPr="00B01F9E">
        <w:rPr>
          <w:rFonts w:ascii="Arial" w:hAnsi="Arial" w:cs="Arial"/>
          <w:sz w:val="20"/>
          <w:szCs w:val="20"/>
        </w:rPr>
        <w:t xml:space="preserve"> </w:t>
      </w:r>
      <w:r w:rsidRPr="00B01F9E">
        <w:rPr>
          <w:rFonts w:ascii="Arial" w:hAnsi="Arial" w:cs="Arial"/>
          <w:sz w:val="20"/>
          <w:szCs w:val="20"/>
        </w:rPr>
        <w:t xml:space="preserve">and </w:t>
      </w:r>
      <w:proofErr w:type="gramStart"/>
      <w:r w:rsidRPr="00B01F9E">
        <w:rPr>
          <w:rFonts w:ascii="Arial" w:hAnsi="Arial" w:cs="Arial"/>
          <w:sz w:val="20"/>
          <w:szCs w:val="20"/>
        </w:rPr>
        <w:t>future plans</w:t>
      </w:r>
      <w:proofErr w:type="gramEnd"/>
      <w:r w:rsidRPr="00B01F9E">
        <w:rPr>
          <w:rFonts w:ascii="Arial" w:hAnsi="Arial" w:cs="Arial"/>
          <w:sz w:val="20"/>
          <w:szCs w:val="20"/>
        </w:rPr>
        <w:t xml:space="preserve"> for QA analysis reporting</w:t>
      </w:r>
      <w:r w:rsidR="004E1443" w:rsidRPr="00B01F9E">
        <w:rPr>
          <w:rFonts w:ascii="Arial" w:hAnsi="Arial" w:cs="Arial"/>
          <w:sz w:val="20"/>
          <w:szCs w:val="20"/>
        </w:rPr>
        <w:t>.</w:t>
      </w:r>
      <w:r w:rsidRPr="00B01F9E">
        <w:rPr>
          <w:rFonts w:ascii="Arial" w:hAnsi="Arial" w:cs="Arial"/>
          <w:sz w:val="20"/>
          <w:szCs w:val="20"/>
        </w:rPr>
        <w:t xml:space="preserve"> </w:t>
      </w:r>
    </w:p>
    <w:p w14:paraId="1CEE2528" w14:textId="1BB18852" w:rsidR="00585668" w:rsidRPr="00B01F9E" w:rsidRDefault="00585668" w:rsidP="2DD9D99F">
      <w:pPr>
        <w:spacing w:after="120"/>
        <w:rPr>
          <w:rFonts w:ascii="Arial" w:hAnsi="Arial" w:cs="Arial"/>
          <w:b/>
          <w:bCs/>
          <w:sz w:val="20"/>
          <w:szCs w:val="20"/>
        </w:rPr>
      </w:pPr>
      <w:r w:rsidRPr="00B01F9E">
        <w:rPr>
          <w:rFonts w:ascii="Arial" w:hAnsi="Arial" w:cs="Arial"/>
          <w:b/>
          <w:bCs/>
          <w:sz w:val="20"/>
          <w:szCs w:val="20"/>
        </w:rPr>
        <w:t>QA Analysis Reporting</w:t>
      </w:r>
      <w:r w:rsidR="00000EF3" w:rsidRPr="00B01F9E">
        <w:rPr>
          <w:rFonts w:ascii="Arial" w:hAnsi="Arial" w:cs="Arial"/>
          <w:b/>
          <w:bCs/>
          <w:sz w:val="20"/>
          <w:szCs w:val="20"/>
        </w:rPr>
        <w:t xml:space="preserve"> for the POC</w:t>
      </w:r>
      <w:r w:rsidRPr="00B01F9E">
        <w:rPr>
          <w:rFonts w:ascii="Arial" w:hAnsi="Arial" w:cs="Arial"/>
          <w:b/>
          <w:bCs/>
          <w:sz w:val="20"/>
          <w:szCs w:val="20"/>
        </w:rPr>
        <w:t xml:space="preserve"> </w:t>
      </w:r>
    </w:p>
    <w:p w14:paraId="4EE2EFAB" w14:textId="742147E7" w:rsidR="009C5CCE" w:rsidRPr="00B01F9E" w:rsidRDefault="007E224A" w:rsidP="00F90B02">
      <w:pPr>
        <w:spacing w:after="120"/>
        <w:rPr>
          <w:rFonts w:ascii="Arial" w:hAnsi="Arial" w:cs="Arial"/>
          <w:sz w:val="20"/>
          <w:szCs w:val="20"/>
        </w:rPr>
      </w:pPr>
      <w:r w:rsidRPr="00B01F9E">
        <w:rPr>
          <w:rFonts w:ascii="Arial" w:hAnsi="Arial" w:cs="Arial"/>
          <w:sz w:val="20"/>
          <w:szCs w:val="20"/>
        </w:rPr>
        <w:t>The QA Program employ</w:t>
      </w:r>
      <w:r w:rsidR="004B6195" w:rsidRPr="00B01F9E">
        <w:rPr>
          <w:rFonts w:ascii="Arial" w:hAnsi="Arial" w:cs="Arial"/>
          <w:sz w:val="20"/>
          <w:szCs w:val="20"/>
        </w:rPr>
        <w:t>ed</w:t>
      </w:r>
      <w:r w:rsidRPr="00B01F9E">
        <w:rPr>
          <w:rFonts w:ascii="Arial" w:hAnsi="Arial" w:cs="Arial"/>
          <w:sz w:val="20"/>
          <w:szCs w:val="20"/>
        </w:rPr>
        <w:t xml:space="preserve"> Tableau, a </w:t>
      </w:r>
      <w:r w:rsidR="003627AE" w:rsidRPr="00B01F9E">
        <w:rPr>
          <w:rFonts w:ascii="Arial" w:hAnsi="Arial" w:cs="Arial"/>
          <w:sz w:val="20"/>
          <w:szCs w:val="20"/>
        </w:rPr>
        <w:t>business intelligence</w:t>
      </w:r>
      <w:r w:rsidR="009661C0" w:rsidRPr="00B01F9E">
        <w:rPr>
          <w:rFonts w:ascii="Arial" w:hAnsi="Arial" w:cs="Arial"/>
          <w:sz w:val="20"/>
          <w:szCs w:val="20"/>
        </w:rPr>
        <w:t xml:space="preserve"> </w:t>
      </w:r>
      <w:r w:rsidR="00466C54" w:rsidRPr="00B01F9E">
        <w:rPr>
          <w:rFonts w:ascii="Arial" w:hAnsi="Arial" w:cs="Arial"/>
          <w:sz w:val="20"/>
          <w:szCs w:val="20"/>
        </w:rPr>
        <w:t xml:space="preserve">and </w:t>
      </w:r>
      <w:r w:rsidRPr="00B01F9E">
        <w:rPr>
          <w:rFonts w:ascii="Arial" w:hAnsi="Arial" w:cs="Arial"/>
          <w:sz w:val="20"/>
          <w:szCs w:val="20"/>
        </w:rPr>
        <w:t xml:space="preserve">data visualization tool, to analyze data collected from laboratories including LIDR Test Compendium Check submissions and Instance Error Checks. </w:t>
      </w:r>
      <w:r w:rsidR="00730270" w:rsidRPr="00B01F9E">
        <w:rPr>
          <w:rFonts w:ascii="Arial" w:hAnsi="Arial" w:cs="Arial"/>
          <w:sz w:val="20"/>
          <w:szCs w:val="20"/>
        </w:rPr>
        <w:t xml:space="preserve">Analysis reports for the </w:t>
      </w:r>
      <w:r w:rsidR="00383168" w:rsidRPr="00B01F9E">
        <w:rPr>
          <w:rFonts w:ascii="Arial" w:hAnsi="Arial" w:cs="Arial"/>
          <w:sz w:val="20"/>
          <w:szCs w:val="20"/>
        </w:rPr>
        <w:t xml:space="preserve">QA Program </w:t>
      </w:r>
      <w:r w:rsidR="00730270" w:rsidRPr="00B01F9E">
        <w:rPr>
          <w:rFonts w:ascii="Arial" w:hAnsi="Arial" w:cs="Arial"/>
          <w:sz w:val="20"/>
          <w:szCs w:val="20"/>
        </w:rPr>
        <w:t xml:space="preserve">were made available via a web portal provided by the CAP. The interactive reports </w:t>
      </w:r>
      <w:r w:rsidR="005117DF" w:rsidRPr="00B01F9E">
        <w:rPr>
          <w:rFonts w:ascii="Arial" w:hAnsi="Arial" w:cs="Arial"/>
          <w:sz w:val="20"/>
          <w:szCs w:val="20"/>
        </w:rPr>
        <w:t>were</w:t>
      </w:r>
      <w:r w:rsidR="00730270" w:rsidRPr="00B01F9E">
        <w:rPr>
          <w:rFonts w:ascii="Arial" w:hAnsi="Arial" w:cs="Arial"/>
          <w:sz w:val="20"/>
          <w:szCs w:val="20"/>
        </w:rPr>
        <w:t xml:space="preserve"> accessible through the QA Analysis Dashboard (FDA SHIELD). </w:t>
      </w:r>
      <w:r w:rsidR="005D2DCF" w:rsidRPr="00B01F9E">
        <w:rPr>
          <w:rFonts w:ascii="Arial" w:hAnsi="Arial" w:cs="Arial"/>
          <w:sz w:val="20"/>
          <w:szCs w:val="20"/>
        </w:rPr>
        <w:t>In the future, a</w:t>
      </w:r>
      <w:r w:rsidR="00730270" w:rsidRPr="00B01F9E">
        <w:rPr>
          <w:rFonts w:ascii="Arial" w:hAnsi="Arial" w:cs="Arial"/>
          <w:sz w:val="20"/>
          <w:szCs w:val="20"/>
        </w:rPr>
        <w:t xml:space="preserve">ccess to the reports </w:t>
      </w:r>
      <w:r w:rsidR="005117DF" w:rsidRPr="00B01F9E">
        <w:rPr>
          <w:rFonts w:ascii="Arial" w:hAnsi="Arial" w:cs="Arial"/>
          <w:sz w:val="20"/>
          <w:szCs w:val="20"/>
        </w:rPr>
        <w:t>would be</w:t>
      </w:r>
      <w:r w:rsidR="00730270" w:rsidRPr="00B01F9E">
        <w:rPr>
          <w:rFonts w:ascii="Arial" w:hAnsi="Arial" w:cs="Arial"/>
          <w:sz w:val="20"/>
          <w:szCs w:val="20"/>
        </w:rPr>
        <w:t xml:space="preserve"> provided to the participating laboratories</w:t>
      </w:r>
      <w:r w:rsidR="005D2DCF" w:rsidRPr="00B01F9E">
        <w:rPr>
          <w:rFonts w:ascii="Arial" w:hAnsi="Arial" w:cs="Arial"/>
          <w:sz w:val="20"/>
          <w:szCs w:val="20"/>
        </w:rPr>
        <w:t>. F</w:t>
      </w:r>
      <w:r w:rsidR="00774CA5" w:rsidRPr="00B01F9E">
        <w:rPr>
          <w:rFonts w:ascii="Arial" w:hAnsi="Arial" w:cs="Arial"/>
          <w:sz w:val="20"/>
          <w:szCs w:val="20"/>
        </w:rPr>
        <w:t xml:space="preserve">or the POC, access </w:t>
      </w:r>
      <w:r w:rsidR="0079038E" w:rsidRPr="00B01F9E">
        <w:rPr>
          <w:rFonts w:ascii="Arial" w:hAnsi="Arial" w:cs="Arial"/>
          <w:sz w:val="20"/>
          <w:szCs w:val="20"/>
        </w:rPr>
        <w:t>was</w:t>
      </w:r>
      <w:r w:rsidR="00774CA5" w:rsidRPr="00B01F9E">
        <w:rPr>
          <w:rFonts w:ascii="Arial" w:hAnsi="Arial" w:cs="Arial"/>
          <w:sz w:val="20"/>
          <w:szCs w:val="20"/>
        </w:rPr>
        <w:t xml:space="preserve"> limited to the CAP.  </w:t>
      </w:r>
    </w:p>
    <w:p w14:paraId="4BABE00F" w14:textId="77777777" w:rsidR="00C159E8" w:rsidRPr="00B01F9E" w:rsidRDefault="00774CA5" w:rsidP="0079038E">
      <w:pPr>
        <w:spacing w:after="120"/>
        <w:rPr>
          <w:rFonts w:ascii="Arial" w:hAnsi="Arial" w:cs="Arial"/>
          <w:sz w:val="20"/>
          <w:szCs w:val="20"/>
        </w:rPr>
      </w:pPr>
      <w:r w:rsidRPr="00B01F9E">
        <w:rPr>
          <w:rFonts w:ascii="Arial" w:hAnsi="Arial" w:cs="Arial"/>
          <w:sz w:val="20"/>
          <w:szCs w:val="20"/>
        </w:rPr>
        <w:t>D</w:t>
      </w:r>
      <w:r w:rsidR="005117DF" w:rsidRPr="00B01F9E">
        <w:rPr>
          <w:rFonts w:ascii="Arial" w:hAnsi="Arial" w:cs="Arial"/>
          <w:sz w:val="20"/>
          <w:szCs w:val="20"/>
        </w:rPr>
        <w:t xml:space="preserve">evelopment of these reports </w:t>
      </w:r>
      <w:r w:rsidR="009C5CCE" w:rsidRPr="00B01F9E">
        <w:rPr>
          <w:rFonts w:ascii="Arial" w:hAnsi="Arial" w:cs="Arial"/>
          <w:sz w:val="20"/>
          <w:szCs w:val="20"/>
        </w:rPr>
        <w:t>was</w:t>
      </w:r>
      <w:r w:rsidR="005117DF" w:rsidRPr="00B01F9E">
        <w:rPr>
          <w:rFonts w:ascii="Arial" w:hAnsi="Arial" w:cs="Arial"/>
          <w:sz w:val="20"/>
          <w:szCs w:val="20"/>
        </w:rPr>
        <w:t xml:space="preserve"> based on </w:t>
      </w:r>
      <w:r w:rsidR="0021555A" w:rsidRPr="00B01F9E">
        <w:rPr>
          <w:rFonts w:ascii="Arial" w:hAnsi="Arial" w:cs="Arial"/>
          <w:sz w:val="20"/>
          <w:szCs w:val="20"/>
        </w:rPr>
        <w:t xml:space="preserve">simulated and </w:t>
      </w:r>
      <w:r w:rsidR="00CD59E8" w:rsidRPr="00B01F9E">
        <w:rPr>
          <w:rFonts w:ascii="Arial" w:hAnsi="Arial" w:cs="Arial"/>
          <w:sz w:val="20"/>
          <w:szCs w:val="20"/>
        </w:rPr>
        <w:t>ac</w:t>
      </w:r>
      <w:r w:rsidR="005117DF" w:rsidRPr="00B01F9E">
        <w:rPr>
          <w:rFonts w:ascii="Arial" w:hAnsi="Arial" w:cs="Arial"/>
          <w:sz w:val="20"/>
          <w:szCs w:val="20"/>
        </w:rPr>
        <w:t xml:space="preserve">tual </w:t>
      </w:r>
      <w:r w:rsidR="00CD59E8" w:rsidRPr="00B01F9E">
        <w:rPr>
          <w:rFonts w:ascii="Arial" w:hAnsi="Arial" w:cs="Arial"/>
          <w:sz w:val="20"/>
          <w:szCs w:val="20"/>
        </w:rPr>
        <w:t>POC</w:t>
      </w:r>
      <w:r w:rsidR="005117DF" w:rsidRPr="00B01F9E">
        <w:rPr>
          <w:rFonts w:ascii="Arial" w:hAnsi="Arial" w:cs="Arial"/>
          <w:sz w:val="20"/>
          <w:szCs w:val="20"/>
        </w:rPr>
        <w:t xml:space="preserve"> results</w:t>
      </w:r>
      <w:r w:rsidR="00730270" w:rsidRPr="00B01F9E">
        <w:rPr>
          <w:rFonts w:ascii="Arial" w:hAnsi="Arial" w:cs="Arial"/>
          <w:sz w:val="20"/>
          <w:szCs w:val="20"/>
        </w:rPr>
        <w:t>. The reports provide</w:t>
      </w:r>
      <w:r w:rsidR="00D118F2" w:rsidRPr="00B01F9E">
        <w:rPr>
          <w:rFonts w:ascii="Arial" w:hAnsi="Arial" w:cs="Arial"/>
          <w:sz w:val="20"/>
          <w:szCs w:val="20"/>
        </w:rPr>
        <w:t>d</w:t>
      </w:r>
      <w:r w:rsidR="00730270" w:rsidRPr="00B01F9E">
        <w:rPr>
          <w:rFonts w:ascii="Arial" w:hAnsi="Arial" w:cs="Arial"/>
          <w:sz w:val="20"/>
          <w:szCs w:val="20"/>
        </w:rPr>
        <w:t xml:space="preserve"> an analysis of the performance of the laboratory over time and ha</w:t>
      </w:r>
      <w:r w:rsidR="009612BD" w:rsidRPr="00B01F9E">
        <w:rPr>
          <w:rFonts w:ascii="Arial" w:hAnsi="Arial" w:cs="Arial"/>
          <w:sz w:val="20"/>
          <w:szCs w:val="20"/>
        </w:rPr>
        <w:t>d</w:t>
      </w:r>
      <w:r w:rsidR="00730270" w:rsidRPr="00B01F9E">
        <w:rPr>
          <w:rFonts w:ascii="Arial" w:hAnsi="Arial" w:cs="Arial"/>
          <w:sz w:val="20"/>
          <w:szCs w:val="20"/>
        </w:rPr>
        <w:t xml:space="preserve"> the capacity to provide comparison data of the individual laboratory to peer groups reporting the same tests and methods. </w:t>
      </w:r>
    </w:p>
    <w:p w14:paraId="48D7BF1F" w14:textId="71D51C16" w:rsidR="007372F1" w:rsidRPr="00B01F9E" w:rsidRDefault="0079038E" w:rsidP="00F16298">
      <w:pPr>
        <w:spacing w:after="120"/>
        <w:rPr>
          <w:rFonts w:ascii="Arial" w:hAnsi="Arial" w:cs="Arial"/>
          <w:sz w:val="20"/>
          <w:szCs w:val="20"/>
        </w:rPr>
      </w:pPr>
      <w:r w:rsidRPr="00B01F9E">
        <w:rPr>
          <w:rFonts w:ascii="Arial" w:hAnsi="Arial" w:cs="Arial"/>
          <w:sz w:val="20"/>
          <w:szCs w:val="20"/>
        </w:rPr>
        <w:t>The reports</w:t>
      </w:r>
      <w:r w:rsidR="00F16298" w:rsidRPr="00B01F9E">
        <w:rPr>
          <w:rFonts w:ascii="Arial" w:hAnsi="Arial" w:cs="Arial"/>
          <w:sz w:val="20"/>
          <w:szCs w:val="20"/>
        </w:rPr>
        <w:t xml:space="preserve"> utilized</w:t>
      </w:r>
      <w:r w:rsidRPr="00B01F9E">
        <w:rPr>
          <w:rFonts w:ascii="Arial" w:hAnsi="Arial" w:cs="Arial"/>
          <w:sz w:val="20"/>
          <w:szCs w:val="20"/>
        </w:rPr>
        <w:t xml:space="preserve"> for the POC were </w:t>
      </w:r>
      <w:r w:rsidR="00F16298" w:rsidRPr="00B01F9E">
        <w:rPr>
          <w:rFonts w:ascii="Arial" w:hAnsi="Arial" w:cs="Arial"/>
          <w:sz w:val="20"/>
          <w:szCs w:val="20"/>
        </w:rPr>
        <w:t>prototypes</w:t>
      </w:r>
      <w:r w:rsidRPr="00B01F9E">
        <w:rPr>
          <w:rFonts w:ascii="Arial" w:hAnsi="Arial" w:cs="Arial"/>
          <w:sz w:val="20"/>
          <w:szCs w:val="20"/>
        </w:rPr>
        <w:t xml:space="preserve"> and were limited due to the data sets utilized to create them. While the peer group analysis feature was built into the system, it could not be used effectively without peer group data. The POC reports only compared data from within a single laboratory.</w:t>
      </w:r>
    </w:p>
    <w:p w14:paraId="7B6BFF2A" w14:textId="1F376FA0" w:rsidR="001B795C" w:rsidRPr="00B01F9E" w:rsidRDefault="001B795C" w:rsidP="00F16298">
      <w:pPr>
        <w:spacing w:after="120"/>
        <w:rPr>
          <w:rFonts w:ascii="Arial" w:hAnsi="Arial" w:cs="Arial"/>
          <w:sz w:val="20"/>
          <w:szCs w:val="20"/>
        </w:rPr>
      </w:pPr>
      <w:r w:rsidRPr="00B01F9E">
        <w:rPr>
          <w:rFonts w:ascii="Arial" w:hAnsi="Arial" w:cs="Arial"/>
          <w:sz w:val="20"/>
          <w:szCs w:val="20"/>
        </w:rPr>
        <w:t>Th</w:t>
      </w:r>
      <w:r w:rsidR="0095518F" w:rsidRPr="00B01F9E">
        <w:rPr>
          <w:rFonts w:ascii="Arial" w:hAnsi="Arial" w:cs="Arial"/>
          <w:sz w:val="20"/>
          <w:szCs w:val="20"/>
        </w:rPr>
        <w:t>e following</w:t>
      </w:r>
      <w:r w:rsidRPr="00B01F9E">
        <w:rPr>
          <w:rFonts w:ascii="Arial" w:hAnsi="Arial" w:cs="Arial"/>
          <w:sz w:val="20"/>
          <w:szCs w:val="20"/>
        </w:rPr>
        <w:t xml:space="preserve"> section provides an overview of how a user can </w:t>
      </w:r>
      <w:r w:rsidR="00BB7FD0" w:rsidRPr="00B01F9E">
        <w:rPr>
          <w:rFonts w:ascii="Arial" w:hAnsi="Arial" w:cs="Arial"/>
          <w:sz w:val="20"/>
          <w:szCs w:val="20"/>
        </w:rPr>
        <w:t>view and manage the QA analysis reports for the LIDR Test Compendium Check and Instance Error Check.</w:t>
      </w:r>
      <w:r w:rsidRPr="00B01F9E">
        <w:rPr>
          <w:rFonts w:ascii="Arial" w:hAnsi="Arial" w:cs="Arial"/>
          <w:sz w:val="20"/>
          <w:szCs w:val="20"/>
        </w:rPr>
        <w:t xml:space="preserve"> </w:t>
      </w:r>
    </w:p>
    <w:p w14:paraId="4826040B" w14:textId="38C9979A" w:rsidR="00C546D4" w:rsidRPr="00B01F9E" w:rsidRDefault="00C546D4" w:rsidP="00C546D4">
      <w:pPr>
        <w:pStyle w:val="Heading3"/>
        <w:spacing w:before="0" w:after="120"/>
        <w:rPr>
          <w:rFonts w:ascii="Arial" w:hAnsi="Arial" w:cs="Arial"/>
          <w:b/>
          <w:bCs/>
          <w:i/>
          <w:iCs/>
          <w:color w:val="009ABF" w:themeColor="text1"/>
          <w:sz w:val="20"/>
          <w:szCs w:val="20"/>
        </w:rPr>
      </w:pPr>
      <w:bookmarkStart w:id="27" w:name="_Toc177136989"/>
      <w:r w:rsidRPr="00B01F9E">
        <w:rPr>
          <w:rFonts w:ascii="Arial" w:hAnsi="Arial" w:cs="Arial"/>
          <w:b/>
          <w:bCs/>
          <w:i/>
          <w:iCs/>
          <w:color w:val="009ABF" w:themeColor="text1"/>
          <w:sz w:val="20"/>
          <w:szCs w:val="20"/>
        </w:rPr>
        <w:t>3.6.1 LIDR Test Compendium Error Check QA Analysis Reports</w:t>
      </w:r>
      <w:bookmarkEnd w:id="27"/>
    </w:p>
    <w:p w14:paraId="15FB5848" w14:textId="10E5E07B" w:rsidR="00D568B7" w:rsidRPr="00B01F9E" w:rsidRDefault="00E47ECB" w:rsidP="00F90B02">
      <w:pPr>
        <w:spacing w:after="120"/>
        <w:rPr>
          <w:rFonts w:ascii="Arial" w:hAnsi="Arial" w:cs="Arial"/>
          <w:sz w:val="20"/>
          <w:szCs w:val="20"/>
        </w:rPr>
      </w:pPr>
      <w:r w:rsidRPr="00B01F9E">
        <w:rPr>
          <w:rFonts w:ascii="Arial" w:hAnsi="Arial" w:cs="Arial"/>
          <w:sz w:val="20"/>
          <w:szCs w:val="20"/>
        </w:rPr>
        <w:t xml:space="preserve">To view the QA analysis report, </w:t>
      </w:r>
      <w:r w:rsidR="00D568B7" w:rsidRPr="00B01F9E">
        <w:rPr>
          <w:rFonts w:ascii="Arial" w:hAnsi="Arial" w:cs="Arial"/>
          <w:sz w:val="20"/>
          <w:szCs w:val="20"/>
        </w:rPr>
        <w:t xml:space="preserve">the </w:t>
      </w:r>
      <w:r w:rsidR="0079038E" w:rsidRPr="00B01F9E">
        <w:rPr>
          <w:rFonts w:ascii="Arial" w:hAnsi="Arial" w:cs="Arial"/>
          <w:sz w:val="20"/>
          <w:szCs w:val="20"/>
        </w:rPr>
        <w:t xml:space="preserve">reporting </w:t>
      </w:r>
      <w:r w:rsidR="00D568B7" w:rsidRPr="00B01F9E">
        <w:rPr>
          <w:rFonts w:ascii="Arial" w:hAnsi="Arial" w:cs="Arial"/>
          <w:sz w:val="20"/>
          <w:szCs w:val="20"/>
        </w:rPr>
        <w:t xml:space="preserve">dashboard </w:t>
      </w:r>
      <w:r w:rsidR="0079038E" w:rsidRPr="00B01F9E">
        <w:rPr>
          <w:rFonts w:ascii="Arial" w:hAnsi="Arial" w:cs="Arial"/>
          <w:sz w:val="20"/>
          <w:szCs w:val="20"/>
        </w:rPr>
        <w:t>is</w:t>
      </w:r>
      <w:r w:rsidR="00D568B7" w:rsidRPr="00B01F9E">
        <w:rPr>
          <w:rFonts w:ascii="Arial" w:hAnsi="Arial" w:cs="Arial"/>
          <w:sz w:val="20"/>
          <w:szCs w:val="20"/>
        </w:rPr>
        <w:t xml:space="preserve"> accessed</w:t>
      </w:r>
      <w:r w:rsidRPr="00B01F9E">
        <w:rPr>
          <w:rFonts w:ascii="Arial" w:hAnsi="Arial" w:cs="Arial"/>
          <w:sz w:val="20"/>
          <w:szCs w:val="20"/>
        </w:rPr>
        <w:t>.</w:t>
      </w:r>
      <w:r w:rsidR="00D568B7" w:rsidRPr="00B01F9E">
        <w:rPr>
          <w:rFonts w:ascii="Arial" w:hAnsi="Arial" w:cs="Arial"/>
          <w:sz w:val="20"/>
          <w:szCs w:val="20"/>
        </w:rPr>
        <w:t xml:space="preserve"> </w:t>
      </w:r>
      <w:r w:rsidRPr="00B01F9E">
        <w:rPr>
          <w:rFonts w:ascii="Arial" w:hAnsi="Arial" w:cs="Arial"/>
          <w:sz w:val="20"/>
          <w:szCs w:val="20"/>
        </w:rPr>
        <w:t>T</w:t>
      </w:r>
      <w:r w:rsidR="00D568B7" w:rsidRPr="00B01F9E">
        <w:rPr>
          <w:rFonts w:ascii="Arial" w:hAnsi="Arial" w:cs="Arial"/>
          <w:sz w:val="20"/>
          <w:szCs w:val="20"/>
        </w:rPr>
        <w:t>he view will open with a graphical representation of the laboratory’s performance for recent LIDR Test Compendium Error Check submissions to the QA Program (Figure</w:t>
      </w:r>
      <w:r w:rsidR="006626A5" w:rsidRPr="00B01F9E">
        <w:rPr>
          <w:rFonts w:ascii="Arial" w:hAnsi="Arial" w:cs="Arial"/>
          <w:sz w:val="20"/>
          <w:szCs w:val="20"/>
        </w:rPr>
        <w:t xml:space="preserve"> </w:t>
      </w:r>
      <w:r w:rsidR="00FC72B5" w:rsidRPr="00B01F9E">
        <w:rPr>
          <w:rFonts w:ascii="Arial" w:hAnsi="Arial" w:cs="Arial"/>
          <w:sz w:val="20"/>
          <w:szCs w:val="20"/>
        </w:rPr>
        <w:t>7</w:t>
      </w:r>
      <w:r w:rsidR="00D568B7" w:rsidRPr="00B01F9E">
        <w:rPr>
          <w:rFonts w:ascii="Arial" w:hAnsi="Arial" w:cs="Arial"/>
          <w:sz w:val="20"/>
          <w:szCs w:val="20"/>
        </w:rPr>
        <w:t xml:space="preserve">). The most recent submission </w:t>
      </w:r>
      <w:r w:rsidR="0079038E" w:rsidRPr="00B01F9E">
        <w:rPr>
          <w:rFonts w:ascii="Arial" w:hAnsi="Arial" w:cs="Arial"/>
          <w:sz w:val="20"/>
          <w:szCs w:val="20"/>
        </w:rPr>
        <w:t>is</w:t>
      </w:r>
      <w:r w:rsidR="00D568B7" w:rsidRPr="00B01F9E">
        <w:rPr>
          <w:rFonts w:ascii="Arial" w:hAnsi="Arial" w:cs="Arial"/>
          <w:sz w:val="20"/>
          <w:szCs w:val="20"/>
        </w:rPr>
        <w:t xml:space="preserve"> the ninth submission in the image below.</w:t>
      </w:r>
    </w:p>
    <w:p w14:paraId="66768597" w14:textId="25A4AD5D" w:rsidR="00D568B7" w:rsidRPr="00B01F9E" w:rsidRDefault="00D568B7" w:rsidP="00F71485">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lastRenderedPageBreak/>
        <w:t xml:space="preserve">Figure </w:t>
      </w:r>
      <w:r w:rsidR="00FC72B5" w:rsidRPr="00B01F9E">
        <w:rPr>
          <w:rFonts w:ascii="Arial" w:hAnsi="Arial" w:cs="Arial"/>
          <w:b/>
          <w:bCs/>
          <w:color w:val="009ABF" w:themeColor="text1"/>
          <w:sz w:val="20"/>
          <w:szCs w:val="20"/>
        </w:rPr>
        <w:t>7</w:t>
      </w:r>
      <w:r w:rsidRPr="00B01F9E">
        <w:rPr>
          <w:rFonts w:ascii="Arial" w:hAnsi="Arial" w:cs="Arial"/>
          <w:b/>
          <w:bCs/>
          <w:color w:val="009ABF" w:themeColor="text1"/>
          <w:sz w:val="20"/>
          <w:szCs w:val="20"/>
        </w:rPr>
        <w:t>: Overall LIDR Test Compendium Error Check Submission Progress</w:t>
      </w:r>
    </w:p>
    <w:p w14:paraId="036C8793" w14:textId="7037652E" w:rsidR="001F7F03" w:rsidRPr="00B01F9E" w:rsidRDefault="001F7F03" w:rsidP="00D568B7">
      <w:pPr>
        <w:rPr>
          <w:rFonts w:ascii="Arial" w:hAnsi="Arial" w:cs="Arial"/>
          <w:sz w:val="20"/>
          <w:szCs w:val="20"/>
        </w:rPr>
      </w:pPr>
      <w:r w:rsidRPr="00B01F9E">
        <w:rPr>
          <w:rFonts w:ascii="Arial" w:hAnsi="Arial" w:cs="Arial"/>
          <w:noProof/>
          <w:sz w:val="20"/>
          <w:szCs w:val="20"/>
        </w:rPr>
        <w:drawing>
          <wp:inline distT="0" distB="0" distL="0" distR="0" wp14:anchorId="18317C5E" wp14:editId="3BF49C00">
            <wp:extent cx="6520980" cy="2955341"/>
            <wp:effectExtent l="0" t="0" r="0" b="0"/>
            <wp:docPr id="1934179945"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79945" name="Graphic 1934179945"/>
                    <pic:cNvPicPr/>
                  </pic:nvPicPr>
                  <pic:blipFill>
                    <a:blip r:embed="rId36">
                      <a:extLst>
                        <a:ext uri="{96DAC541-7B7A-43D3-8B79-37D633B846F1}">
                          <asvg:svgBlip xmlns:asvg="http://schemas.microsoft.com/office/drawing/2016/SVG/main" r:embed="rId37"/>
                        </a:ext>
                      </a:extLst>
                    </a:blip>
                    <a:stretch>
                      <a:fillRect/>
                    </a:stretch>
                  </pic:blipFill>
                  <pic:spPr>
                    <a:xfrm>
                      <a:off x="0" y="0"/>
                      <a:ext cx="6531338" cy="2960035"/>
                    </a:xfrm>
                    <a:prstGeom prst="rect">
                      <a:avLst/>
                    </a:prstGeom>
                  </pic:spPr>
                </pic:pic>
              </a:graphicData>
            </a:graphic>
          </wp:inline>
        </w:drawing>
      </w:r>
    </w:p>
    <w:p w14:paraId="0E82B22E" w14:textId="78FB7CBA" w:rsidR="007861B5" w:rsidRPr="00B01F9E" w:rsidRDefault="007861B5" w:rsidP="00F90B02">
      <w:pPr>
        <w:spacing w:after="120"/>
        <w:rPr>
          <w:rFonts w:ascii="Arial" w:hAnsi="Arial" w:cs="Arial"/>
          <w:sz w:val="20"/>
          <w:szCs w:val="20"/>
        </w:rPr>
      </w:pPr>
      <w:r w:rsidRPr="00B01F9E">
        <w:rPr>
          <w:rFonts w:ascii="Arial" w:hAnsi="Arial" w:cs="Arial"/>
          <w:sz w:val="20"/>
          <w:szCs w:val="20"/>
        </w:rPr>
        <w:t xml:space="preserve">Filtering options are available to obtain information on the performance of the laboratory based on the test ordered, test performed, test section, or instrument by </w:t>
      </w:r>
      <w:proofErr w:type="gramStart"/>
      <w:r w:rsidRPr="00B01F9E">
        <w:rPr>
          <w:rFonts w:ascii="Arial" w:hAnsi="Arial" w:cs="Arial"/>
          <w:sz w:val="20"/>
          <w:szCs w:val="20"/>
        </w:rPr>
        <w:t xml:space="preserve">making a </w:t>
      </w:r>
      <w:r w:rsidR="00920335" w:rsidRPr="00B01F9E">
        <w:rPr>
          <w:rFonts w:ascii="Arial" w:hAnsi="Arial" w:cs="Arial"/>
          <w:sz w:val="20"/>
          <w:szCs w:val="20"/>
        </w:rPr>
        <w:t>selection</w:t>
      </w:r>
      <w:proofErr w:type="gramEnd"/>
      <w:r w:rsidRPr="00B01F9E">
        <w:rPr>
          <w:rFonts w:ascii="Arial" w:hAnsi="Arial" w:cs="Arial"/>
          <w:sz w:val="20"/>
          <w:szCs w:val="20"/>
        </w:rPr>
        <w:t xml:space="preserve"> using the radi</w:t>
      </w:r>
      <w:r w:rsidR="00845E62" w:rsidRPr="00B01F9E">
        <w:rPr>
          <w:rFonts w:ascii="Arial" w:hAnsi="Arial" w:cs="Arial"/>
          <w:sz w:val="20"/>
          <w:szCs w:val="20"/>
        </w:rPr>
        <w:t xml:space="preserve">o </w:t>
      </w:r>
      <w:r w:rsidRPr="00B01F9E">
        <w:rPr>
          <w:rFonts w:ascii="Arial" w:hAnsi="Arial" w:cs="Arial"/>
          <w:sz w:val="20"/>
          <w:szCs w:val="20"/>
        </w:rPr>
        <w:t xml:space="preserve">buttons to the left of the graph (Figure </w:t>
      </w:r>
      <w:r w:rsidR="00F71485" w:rsidRPr="00B01F9E">
        <w:rPr>
          <w:rFonts w:ascii="Arial" w:hAnsi="Arial" w:cs="Arial"/>
          <w:sz w:val="20"/>
          <w:szCs w:val="20"/>
        </w:rPr>
        <w:t>8</w:t>
      </w:r>
      <w:r w:rsidRPr="00B01F9E">
        <w:rPr>
          <w:rFonts w:ascii="Arial" w:hAnsi="Arial" w:cs="Arial"/>
          <w:sz w:val="20"/>
          <w:szCs w:val="20"/>
        </w:rPr>
        <w:t xml:space="preserve">). The </w:t>
      </w:r>
      <w:r w:rsidR="007418F8" w:rsidRPr="00B01F9E">
        <w:rPr>
          <w:rFonts w:ascii="Arial" w:hAnsi="Arial" w:cs="Arial"/>
          <w:sz w:val="20"/>
          <w:szCs w:val="20"/>
        </w:rPr>
        <w:t>report</w:t>
      </w:r>
      <w:r w:rsidR="00154139" w:rsidRPr="00B01F9E">
        <w:rPr>
          <w:rFonts w:ascii="Arial" w:hAnsi="Arial" w:cs="Arial"/>
          <w:sz w:val="20"/>
          <w:szCs w:val="20"/>
        </w:rPr>
        <w:t xml:space="preserve"> below</w:t>
      </w:r>
      <w:r w:rsidRPr="00B01F9E">
        <w:rPr>
          <w:rFonts w:ascii="Arial" w:hAnsi="Arial" w:cs="Arial"/>
          <w:sz w:val="20"/>
          <w:szCs w:val="20"/>
        </w:rPr>
        <w:t xml:space="preserve"> is filtered by “Test Ordered”, displaying the overall performance of each </w:t>
      </w:r>
      <w:r w:rsidR="00520498" w:rsidRPr="00B01F9E">
        <w:rPr>
          <w:rFonts w:ascii="Arial" w:hAnsi="Arial" w:cs="Arial"/>
          <w:sz w:val="20"/>
          <w:szCs w:val="20"/>
        </w:rPr>
        <w:t xml:space="preserve">test </w:t>
      </w:r>
      <w:r w:rsidRPr="00B01F9E">
        <w:rPr>
          <w:rFonts w:ascii="Arial" w:hAnsi="Arial" w:cs="Arial"/>
          <w:sz w:val="20"/>
          <w:szCs w:val="20"/>
        </w:rPr>
        <w:t>compendium submission for ordered tests.</w:t>
      </w:r>
    </w:p>
    <w:p w14:paraId="46FA4496" w14:textId="2AE38385" w:rsidR="007861B5" w:rsidRPr="00B01F9E" w:rsidRDefault="007861B5" w:rsidP="00F71485">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t xml:space="preserve">Figure </w:t>
      </w:r>
      <w:r w:rsidR="00FC72B5" w:rsidRPr="00B01F9E">
        <w:rPr>
          <w:rFonts w:ascii="Arial" w:hAnsi="Arial" w:cs="Arial"/>
          <w:b/>
          <w:bCs/>
          <w:color w:val="009ABF" w:themeColor="text1"/>
          <w:sz w:val="20"/>
          <w:szCs w:val="20"/>
        </w:rPr>
        <w:t>8</w:t>
      </w:r>
      <w:r w:rsidRPr="00B01F9E">
        <w:rPr>
          <w:rFonts w:ascii="Arial" w:hAnsi="Arial" w:cs="Arial"/>
          <w:b/>
          <w:bCs/>
          <w:color w:val="009ABF" w:themeColor="text1"/>
          <w:sz w:val="20"/>
          <w:szCs w:val="20"/>
        </w:rPr>
        <w:t xml:space="preserve">: LIDR Test Compendium Error Check Submission Progress Filtered by Test Ordered </w:t>
      </w:r>
    </w:p>
    <w:p w14:paraId="3B52AC33" w14:textId="25D1910C" w:rsidR="00F52EA3" w:rsidRPr="00B01F9E" w:rsidRDefault="009028B2" w:rsidP="007861B5">
      <w:pPr>
        <w:rPr>
          <w:rFonts w:ascii="Arial" w:hAnsi="Arial" w:cs="Arial"/>
          <w:sz w:val="20"/>
          <w:szCs w:val="20"/>
        </w:rPr>
      </w:pPr>
      <w:r w:rsidRPr="00B01F9E">
        <w:rPr>
          <w:rFonts w:ascii="Arial" w:hAnsi="Arial" w:cs="Arial"/>
          <w:noProof/>
          <w:sz w:val="20"/>
          <w:szCs w:val="20"/>
        </w:rPr>
        <w:drawing>
          <wp:inline distT="0" distB="0" distL="0" distR="0" wp14:anchorId="73B649E8" wp14:editId="6B6ADEC8">
            <wp:extent cx="6138370" cy="2699309"/>
            <wp:effectExtent l="0" t="0" r="0" b="6350"/>
            <wp:docPr id="192361284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612843" name="Graphic 1923612843"/>
                    <pic:cNvPicPr/>
                  </pic:nvPicPr>
                  <pic:blipFill>
                    <a:blip r:embed="rId38">
                      <a:extLst>
                        <a:ext uri="{96DAC541-7B7A-43D3-8B79-37D633B846F1}">
                          <asvg:svgBlip xmlns:asvg="http://schemas.microsoft.com/office/drawing/2016/SVG/main" r:embed="rId39"/>
                        </a:ext>
                      </a:extLst>
                    </a:blip>
                    <a:stretch>
                      <a:fillRect/>
                    </a:stretch>
                  </pic:blipFill>
                  <pic:spPr>
                    <a:xfrm>
                      <a:off x="0" y="0"/>
                      <a:ext cx="6144313" cy="2701923"/>
                    </a:xfrm>
                    <a:prstGeom prst="rect">
                      <a:avLst/>
                    </a:prstGeom>
                  </pic:spPr>
                </pic:pic>
              </a:graphicData>
            </a:graphic>
          </wp:inline>
        </w:drawing>
      </w:r>
    </w:p>
    <w:p w14:paraId="0E7E9A86" w14:textId="3B34814F" w:rsidR="002D34E3" w:rsidRPr="00B01F9E" w:rsidRDefault="002D34E3" w:rsidP="00F90B02">
      <w:pPr>
        <w:spacing w:after="120"/>
        <w:rPr>
          <w:rFonts w:ascii="Arial" w:hAnsi="Arial" w:cs="Arial"/>
          <w:sz w:val="20"/>
          <w:szCs w:val="20"/>
        </w:rPr>
      </w:pPr>
      <w:r w:rsidRPr="00B01F9E">
        <w:rPr>
          <w:rFonts w:ascii="Arial" w:hAnsi="Arial" w:cs="Arial"/>
          <w:sz w:val="20"/>
          <w:szCs w:val="20"/>
        </w:rPr>
        <w:lastRenderedPageBreak/>
        <w:t xml:space="preserve">In </w:t>
      </w:r>
      <w:r w:rsidR="00F71485" w:rsidRPr="00B01F9E">
        <w:rPr>
          <w:rFonts w:ascii="Arial" w:hAnsi="Arial" w:cs="Arial"/>
          <w:sz w:val="20"/>
          <w:szCs w:val="20"/>
        </w:rPr>
        <w:t>F</w:t>
      </w:r>
      <w:r w:rsidRPr="00B01F9E">
        <w:rPr>
          <w:rFonts w:ascii="Arial" w:hAnsi="Arial" w:cs="Arial"/>
          <w:sz w:val="20"/>
          <w:szCs w:val="20"/>
        </w:rPr>
        <w:t>igure</w:t>
      </w:r>
      <w:r w:rsidR="00F71485" w:rsidRPr="00B01F9E">
        <w:rPr>
          <w:rFonts w:ascii="Arial" w:hAnsi="Arial" w:cs="Arial"/>
          <w:sz w:val="20"/>
          <w:szCs w:val="20"/>
        </w:rPr>
        <w:t xml:space="preserve"> 8</w:t>
      </w:r>
      <w:r w:rsidRPr="00B01F9E">
        <w:rPr>
          <w:rFonts w:ascii="Arial" w:hAnsi="Arial" w:cs="Arial"/>
          <w:sz w:val="20"/>
          <w:szCs w:val="20"/>
        </w:rPr>
        <w:t xml:space="preserve">, </w:t>
      </w:r>
      <w:r w:rsidR="0015255A" w:rsidRPr="00B01F9E">
        <w:rPr>
          <w:rFonts w:ascii="Arial" w:hAnsi="Arial" w:cs="Arial"/>
          <w:sz w:val="20"/>
          <w:szCs w:val="20"/>
        </w:rPr>
        <w:t>all</w:t>
      </w:r>
      <w:r w:rsidR="0081596B" w:rsidRPr="00B01F9E">
        <w:rPr>
          <w:rFonts w:ascii="Arial" w:hAnsi="Arial" w:cs="Arial"/>
          <w:sz w:val="20"/>
          <w:szCs w:val="20"/>
        </w:rPr>
        <w:t xml:space="preserve"> the </w:t>
      </w:r>
      <w:r w:rsidRPr="00B01F9E">
        <w:rPr>
          <w:rFonts w:ascii="Arial" w:hAnsi="Arial" w:cs="Arial"/>
          <w:sz w:val="20"/>
          <w:szCs w:val="20"/>
        </w:rPr>
        <w:t>tests (by Ordered Test LOINC code) had 100% correct LIDR elements reported</w:t>
      </w:r>
      <w:r w:rsidR="0079038E" w:rsidRPr="00B01F9E">
        <w:rPr>
          <w:rFonts w:ascii="Arial" w:hAnsi="Arial" w:cs="Arial"/>
          <w:sz w:val="20"/>
          <w:szCs w:val="20"/>
        </w:rPr>
        <w:t xml:space="preserve"> by the ninth LIDR Test Compendium Error Check submission, </w:t>
      </w:r>
      <w:r w:rsidRPr="00B01F9E">
        <w:rPr>
          <w:rFonts w:ascii="Arial" w:hAnsi="Arial" w:cs="Arial"/>
          <w:sz w:val="20"/>
          <w:szCs w:val="20"/>
        </w:rPr>
        <w:t>except for the</w:t>
      </w:r>
      <w:r w:rsidR="0091212E" w:rsidRPr="00B01F9E">
        <w:rPr>
          <w:rFonts w:ascii="Arial" w:hAnsi="Arial" w:cs="Arial"/>
          <w:sz w:val="20"/>
          <w:szCs w:val="20"/>
        </w:rPr>
        <w:t xml:space="preserve"> ordered test</w:t>
      </w:r>
      <w:r w:rsidRPr="00B01F9E">
        <w:rPr>
          <w:rFonts w:ascii="Arial" w:hAnsi="Arial" w:cs="Arial"/>
          <w:sz w:val="20"/>
          <w:szCs w:val="20"/>
        </w:rPr>
        <w:t xml:space="preserve"> “Staphylococcus aureus DNA [Presence] by NAA with non-probe detection in Positive blood culture”.</w:t>
      </w:r>
    </w:p>
    <w:p w14:paraId="29FAB68F" w14:textId="282DA259" w:rsidR="002D34E3" w:rsidRPr="00B01F9E" w:rsidRDefault="002D34E3" w:rsidP="00F90B02">
      <w:pPr>
        <w:spacing w:after="120"/>
        <w:rPr>
          <w:rFonts w:ascii="Arial" w:hAnsi="Arial" w:cs="Arial"/>
          <w:sz w:val="20"/>
          <w:szCs w:val="20"/>
        </w:rPr>
      </w:pPr>
      <w:r w:rsidRPr="00B01F9E">
        <w:rPr>
          <w:rFonts w:ascii="Arial" w:hAnsi="Arial" w:cs="Arial"/>
          <w:sz w:val="20"/>
          <w:szCs w:val="20"/>
        </w:rPr>
        <w:t xml:space="preserve">To further investigate the failure of this test, </w:t>
      </w:r>
      <w:r w:rsidR="002E23B6" w:rsidRPr="00B01F9E">
        <w:rPr>
          <w:rFonts w:ascii="Arial" w:hAnsi="Arial" w:cs="Arial"/>
          <w:sz w:val="20"/>
          <w:szCs w:val="20"/>
        </w:rPr>
        <w:t>an</w:t>
      </w:r>
      <w:r w:rsidRPr="00B01F9E">
        <w:rPr>
          <w:rFonts w:ascii="Arial" w:hAnsi="Arial" w:cs="Arial"/>
          <w:sz w:val="20"/>
          <w:szCs w:val="20"/>
        </w:rPr>
        <w:t xml:space="preserve"> </w:t>
      </w:r>
      <w:r w:rsidR="008453C8" w:rsidRPr="00B01F9E">
        <w:rPr>
          <w:rFonts w:ascii="Arial" w:hAnsi="Arial" w:cs="Arial"/>
          <w:sz w:val="20"/>
          <w:szCs w:val="20"/>
        </w:rPr>
        <w:t>alternative</w:t>
      </w:r>
      <w:r w:rsidRPr="00B01F9E">
        <w:rPr>
          <w:rFonts w:ascii="Arial" w:hAnsi="Arial" w:cs="Arial"/>
          <w:sz w:val="20"/>
          <w:szCs w:val="20"/>
        </w:rPr>
        <w:t xml:space="preserve"> tab</w:t>
      </w:r>
      <w:r w:rsidR="0079038E" w:rsidRPr="00B01F9E">
        <w:rPr>
          <w:rFonts w:ascii="Arial" w:hAnsi="Arial" w:cs="Arial"/>
          <w:sz w:val="20"/>
          <w:szCs w:val="20"/>
        </w:rPr>
        <w:t xml:space="preserve"> labelled </w:t>
      </w:r>
      <w:r w:rsidRPr="00B01F9E">
        <w:rPr>
          <w:rFonts w:ascii="Arial" w:hAnsi="Arial" w:cs="Arial"/>
          <w:sz w:val="20"/>
          <w:szCs w:val="20"/>
        </w:rPr>
        <w:t>“Compendium +-</w:t>
      </w:r>
      <w:r w:rsidR="00104B66" w:rsidRPr="00B01F9E">
        <w:rPr>
          <w:rFonts w:ascii="Arial" w:hAnsi="Arial" w:cs="Arial"/>
          <w:sz w:val="20"/>
          <w:szCs w:val="20"/>
        </w:rPr>
        <w:t xml:space="preserve"> </w:t>
      </w:r>
      <w:r w:rsidRPr="00B01F9E">
        <w:rPr>
          <w:rFonts w:ascii="Arial" w:hAnsi="Arial" w:cs="Arial"/>
          <w:sz w:val="20"/>
          <w:szCs w:val="20"/>
        </w:rPr>
        <w:t>Low Level P/F”</w:t>
      </w:r>
      <w:r w:rsidR="002E23B6" w:rsidRPr="00B01F9E">
        <w:rPr>
          <w:rFonts w:ascii="Arial" w:hAnsi="Arial" w:cs="Arial"/>
          <w:sz w:val="20"/>
          <w:szCs w:val="20"/>
        </w:rPr>
        <w:t xml:space="preserve"> can be utilized </w:t>
      </w:r>
      <w:r w:rsidRPr="00B01F9E">
        <w:rPr>
          <w:rFonts w:ascii="Arial" w:hAnsi="Arial" w:cs="Arial"/>
          <w:sz w:val="20"/>
          <w:szCs w:val="20"/>
        </w:rPr>
        <w:t xml:space="preserve">to review the submissions included </w:t>
      </w:r>
      <w:r w:rsidR="009B0D8D" w:rsidRPr="00B01F9E">
        <w:rPr>
          <w:rFonts w:ascii="Arial" w:hAnsi="Arial" w:cs="Arial"/>
          <w:sz w:val="20"/>
          <w:szCs w:val="20"/>
        </w:rPr>
        <w:t>in the progress report above</w:t>
      </w:r>
      <w:r w:rsidRPr="00B01F9E">
        <w:rPr>
          <w:rFonts w:ascii="Arial" w:hAnsi="Arial" w:cs="Arial"/>
          <w:sz w:val="20"/>
          <w:szCs w:val="20"/>
        </w:rPr>
        <w:t xml:space="preserve">. In </w:t>
      </w:r>
      <w:r w:rsidR="009B0D8D" w:rsidRPr="00B01F9E">
        <w:rPr>
          <w:rFonts w:ascii="Arial" w:hAnsi="Arial" w:cs="Arial"/>
          <w:sz w:val="20"/>
          <w:szCs w:val="20"/>
        </w:rPr>
        <w:t xml:space="preserve">Figure </w:t>
      </w:r>
      <w:r w:rsidR="00F71485" w:rsidRPr="00B01F9E">
        <w:rPr>
          <w:rFonts w:ascii="Arial" w:hAnsi="Arial" w:cs="Arial"/>
          <w:sz w:val="20"/>
          <w:szCs w:val="20"/>
        </w:rPr>
        <w:t xml:space="preserve">9 </w:t>
      </w:r>
      <w:r w:rsidRPr="00B01F9E">
        <w:rPr>
          <w:rFonts w:ascii="Arial" w:hAnsi="Arial" w:cs="Arial"/>
          <w:sz w:val="20"/>
          <w:szCs w:val="20"/>
        </w:rPr>
        <w:t xml:space="preserve">below, this </w:t>
      </w:r>
      <w:r w:rsidR="00842FD4" w:rsidRPr="00B01F9E">
        <w:rPr>
          <w:rFonts w:ascii="Arial" w:hAnsi="Arial" w:cs="Arial"/>
          <w:sz w:val="20"/>
          <w:szCs w:val="20"/>
        </w:rPr>
        <w:t xml:space="preserve">tab </w:t>
      </w:r>
      <w:r w:rsidRPr="00B01F9E">
        <w:rPr>
          <w:rFonts w:ascii="Arial" w:hAnsi="Arial" w:cs="Arial"/>
          <w:sz w:val="20"/>
          <w:szCs w:val="20"/>
        </w:rPr>
        <w:t>has been selected with appropriate filtering options on the right side of the page.</w:t>
      </w:r>
    </w:p>
    <w:p w14:paraId="123A686A" w14:textId="605CDA10" w:rsidR="002D34E3" w:rsidRPr="00B01F9E" w:rsidRDefault="002D34E3" w:rsidP="00E16D25">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t xml:space="preserve">Figure </w:t>
      </w:r>
      <w:r w:rsidR="00F71485" w:rsidRPr="00B01F9E">
        <w:rPr>
          <w:rFonts w:ascii="Arial" w:hAnsi="Arial" w:cs="Arial"/>
          <w:b/>
          <w:bCs/>
          <w:color w:val="009ABF" w:themeColor="text1"/>
          <w:sz w:val="20"/>
          <w:szCs w:val="20"/>
        </w:rPr>
        <w:t>9</w:t>
      </w:r>
      <w:r w:rsidRPr="00B01F9E">
        <w:rPr>
          <w:rFonts w:ascii="Arial" w:hAnsi="Arial" w:cs="Arial"/>
          <w:b/>
          <w:bCs/>
          <w:color w:val="009ABF" w:themeColor="text1"/>
          <w:sz w:val="20"/>
          <w:szCs w:val="20"/>
        </w:rPr>
        <w:t xml:space="preserve">: LIDR Test Compendium Error Check Low Level P/F Tab </w:t>
      </w:r>
      <w:proofErr w:type="gramStart"/>
      <w:r w:rsidR="00E85B93" w:rsidRPr="00B01F9E">
        <w:rPr>
          <w:rFonts w:ascii="Arial" w:hAnsi="Arial" w:cs="Arial"/>
          <w:b/>
          <w:bCs/>
          <w:color w:val="009ABF" w:themeColor="text1"/>
          <w:sz w:val="20"/>
          <w:szCs w:val="20"/>
        </w:rPr>
        <w:t>W</w:t>
      </w:r>
      <w:r w:rsidRPr="00B01F9E">
        <w:rPr>
          <w:rFonts w:ascii="Arial" w:hAnsi="Arial" w:cs="Arial"/>
          <w:b/>
          <w:bCs/>
          <w:color w:val="009ABF" w:themeColor="text1"/>
          <w:sz w:val="20"/>
          <w:szCs w:val="20"/>
        </w:rPr>
        <w:t>ith</w:t>
      </w:r>
      <w:proofErr w:type="gramEnd"/>
      <w:r w:rsidRPr="00B01F9E">
        <w:rPr>
          <w:rFonts w:ascii="Arial" w:hAnsi="Arial" w:cs="Arial"/>
          <w:b/>
          <w:bCs/>
          <w:color w:val="009ABF" w:themeColor="text1"/>
          <w:sz w:val="20"/>
          <w:szCs w:val="20"/>
        </w:rPr>
        <w:t xml:space="preserve"> Filtered Options</w:t>
      </w:r>
    </w:p>
    <w:p w14:paraId="5E3332E8" w14:textId="6F1DF6AB" w:rsidR="002D34E3" w:rsidRPr="00B01F9E" w:rsidRDefault="009028B2" w:rsidP="00F90B02">
      <w:pPr>
        <w:spacing w:after="120"/>
        <w:rPr>
          <w:rFonts w:ascii="Arial" w:hAnsi="Arial" w:cs="Arial"/>
          <w:sz w:val="20"/>
          <w:szCs w:val="20"/>
        </w:rPr>
      </w:pPr>
      <w:r w:rsidRPr="00B01F9E">
        <w:rPr>
          <w:rFonts w:ascii="Arial" w:hAnsi="Arial" w:cs="Arial"/>
          <w:noProof/>
          <w:sz w:val="20"/>
          <w:szCs w:val="20"/>
        </w:rPr>
        <w:drawing>
          <wp:inline distT="0" distB="0" distL="0" distR="0" wp14:anchorId="6B8CE718" wp14:editId="558C0E61">
            <wp:extent cx="6247534" cy="2819400"/>
            <wp:effectExtent l="0" t="0" r="1270" b="0"/>
            <wp:docPr id="113568882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88824" name="Graphic 1135688824"/>
                    <pic:cNvPicPr/>
                  </pic:nvPicPr>
                  <pic:blipFill>
                    <a:blip r:embed="rId40">
                      <a:extLst>
                        <a:ext uri="{96DAC541-7B7A-43D3-8B79-37D633B846F1}">
                          <asvg:svgBlip xmlns:asvg="http://schemas.microsoft.com/office/drawing/2016/SVG/main" r:embed="rId41"/>
                        </a:ext>
                      </a:extLst>
                    </a:blip>
                    <a:stretch>
                      <a:fillRect/>
                    </a:stretch>
                  </pic:blipFill>
                  <pic:spPr>
                    <a:xfrm>
                      <a:off x="0" y="0"/>
                      <a:ext cx="6250327" cy="2820661"/>
                    </a:xfrm>
                    <a:prstGeom prst="rect">
                      <a:avLst/>
                    </a:prstGeom>
                  </pic:spPr>
                </pic:pic>
              </a:graphicData>
            </a:graphic>
          </wp:inline>
        </w:drawing>
      </w:r>
    </w:p>
    <w:p w14:paraId="05EEA418" w14:textId="5CABEFE1" w:rsidR="00D21E36" w:rsidRPr="00B01F9E" w:rsidRDefault="00D21E36" w:rsidP="00F90B02">
      <w:pPr>
        <w:spacing w:after="120"/>
        <w:rPr>
          <w:rFonts w:ascii="Arial" w:hAnsi="Arial" w:cs="Arial"/>
          <w:sz w:val="20"/>
          <w:szCs w:val="20"/>
        </w:rPr>
      </w:pPr>
      <w:r w:rsidRPr="00B01F9E">
        <w:rPr>
          <w:rFonts w:ascii="Arial" w:hAnsi="Arial" w:cs="Arial"/>
          <w:sz w:val="20"/>
          <w:szCs w:val="20"/>
        </w:rPr>
        <w:t xml:space="preserve">In this view, the dates of submission </w:t>
      </w:r>
      <w:r w:rsidR="00735821" w:rsidRPr="00B01F9E">
        <w:rPr>
          <w:rFonts w:ascii="Arial" w:hAnsi="Arial" w:cs="Arial"/>
          <w:sz w:val="20"/>
          <w:szCs w:val="20"/>
        </w:rPr>
        <w:t>and</w:t>
      </w:r>
      <w:r w:rsidRPr="00B01F9E">
        <w:rPr>
          <w:rFonts w:ascii="Arial" w:hAnsi="Arial" w:cs="Arial"/>
          <w:sz w:val="20"/>
          <w:szCs w:val="20"/>
        </w:rPr>
        <w:t xml:space="preserve"> an indication of performance from the previous submission</w:t>
      </w:r>
      <w:r w:rsidR="00735821" w:rsidRPr="00B01F9E">
        <w:rPr>
          <w:rFonts w:ascii="Arial" w:hAnsi="Arial" w:cs="Arial"/>
          <w:sz w:val="20"/>
          <w:szCs w:val="20"/>
        </w:rPr>
        <w:t xml:space="preserve"> are visible</w:t>
      </w:r>
      <w:r w:rsidRPr="00B01F9E">
        <w:rPr>
          <w:rFonts w:ascii="Arial" w:hAnsi="Arial" w:cs="Arial"/>
          <w:sz w:val="20"/>
          <w:szCs w:val="20"/>
        </w:rPr>
        <w:t xml:space="preserve">. To </w:t>
      </w:r>
      <w:r w:rsidR="004B5112" w:rsidRPr="00B01F9E">
        <w:rPr>
          <w:rFonts w:ascii="Arial" w:hAnsi="Arial" w:cs="Arial"/>
          <w:sz w:val="20"/>
          <w:szCs w:val="20"/>
        </w:rPr>
        <w:t xml:space="preserve">identify why </w:t>
      </w:r>
      <w:r w:rsidRPr="00B01F9E">
        <w:rPr>
          <w:rFonts w:ascii="Arial" w:hAnsi="Arial" w:cs="Arial"/>
          <w:sz w:val="20"/>
          <w:szCs w:val="20"/>
        </w:rPr>
        <w:t xml:space="preserve">the </w:t>
      </w:r>
      <w:r w:rsidR="004B5112" w:rsidRPr="00B01F9E">
        <w:rPr>
          <w:rFonts w:ascii="Arial" w:hAnsi="Arial" w:cs="Arial"/>
          <w:sz w:val="20"/>
          <w:szCs w:val="20"/>
        </w:rPr>
        <w:t xml:space="preserve">previous </w:t>
      </w:r>
      <w:r w:rsidRPr="00B01F9E">
        <w:rPr>
          <w:rFonts w:ascii="Arial" w:hAnsi="Arial" w:cs="Arial"/>
          <w:sz w:val="20"/>
          <w:szCs w:val="20"/>
        </w:rPr>
        <w:t>submission was</w:t>
      </w:r>
      <w:r w:rsidR="004B5112" w:rsidRPr="00B01F9E">
        <w:rPr>
          <w:rFonts w:ascii="Arial" w:hAnsi="Arial" w:cs="Arial"/>
          <w:sz w:val="20"/>
          <w:szCs w:val="20"/>
        </w:rPr>
        <w:t xml:space="preserve"> scored</w:t>
      </w:r>
      <w:r w:rsidRPr="00B01F9E">
        <w:rPr>
          <w:rFonts w:ascii="Arial" w:hAnsi="Arial" w:cs="Arial"/>
          <w:sz w:val="20"/>
          <w:szCs w:val="20"/>
        </w:rPr>
        <w:t xml:space="preserve"> at 80% passing, the row for the 09/28/24 </w:t>
      </w:r>
      <w:r w:rsidR="00C7463C" w:rsidRPr="00B01F9E">
        <w:rPr>
          <w:rFonts w:ascii="Arial" w:hAnsi="Arial" w:cs="Arial"/>
          <w:sz w:val="20"/>
          <w:szCs w:val="20"/>
        </w:rPr>
        <w:t>entry</w:t>
      </w:r>
      <w:r w:rsidRPr="00B01F9E">
        <w:rPr>
          <w:rFonts w:ascii="Arial" w:hAnsi="Arial" w:cs="Arial"/>
          <w:sz w:val="20"/>
          <w:szCs w:val="20"/>
        </w:rPr>
        <w:t xml:space="preserve"> should be evaluated. Dark blue cells indicate passing and the light blue cells indicate failure. Hovering over cells provides further information. In the example below, the failure is related to a missing Qualitative Result SNOMED CT code for the performed test Staphylococcus aureus DNA.</w:t>
      </w:r>
    </w:p>
    <w:p w14:paraId="60496998" w14:textId="77777777" w:rsidR="00994AA0" w:rsidRPr="00B01F9E" w:rsidRDefault="00994AA0">
      <w:pPr>
        <w:rPr>
          <w:rFonts w:ascii="Arial" w:hAnsi="Arial" w:cs="Arial"/>
          <w:b/>
          <w:bCs/>
          <w:color w:val="009ABF" w:themeColor="text1"/>
          <w:sz w:val="20"/>
          <w:szCs w:val="20"/>
        </w:rPr>
      </w:pPr>
      <w:r w:rsidRPr="00B01F9E">
        <w:rPr>
          <w:rFonts w:ascii="Arial" w:hAnsi="Arial" w:cs="Arial"/>
          <w:b/>
          <w:bCs/>
          <w:color w:val="009ABF" w:themeColor="text1"/>
          <w:sz w:val="20"/>
          <w:szCs w:val="20"/>
        </w:rPr>
        <w:br w:type="page"/>
      </w:r>
    </w:p>
    <w:p w14:paraId="26888B27" w14:textId="78815403" w:rsidR="00D21E36" w:rsidRPr="00B01F9E" w:rsidRDefault="00F71485" w:rsidP="00994AA0">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lastRenderedPageBreak/>
        <w:t>Figure 10</w:t>
      </w:r>
      <w:r w:rsidR="00364A5C" w:rsidRPr="00B01F9E">
        <w:rPr>
          <w:rFonts w:ascii="Arial" w:hAnsi="Arial" w:cs="Arial"/>
          <w:b/>
          <w:bCs/>
          <w:color w:val="009ABF" w:themeColor="text1"/>
          <w:sz w:val="20"/>
          <w:szCs w:val="20"/>
        </w:rPr>
        <w:t xml:space="preserve">: LIDR Test Compendium Error Check Low Level P/F Tab </w:t>
      </w:r>
      <w:proofErr w:type="gramStart"/>
      <w:r w:rsidR="003A2912" w:rsidRPr="00B01F9E">
        <w:rPr>
          <w:rFonts w:ascii="Arial" w:hAnsi="Arial" w:cs="Arial"/>
          <w:b/>
          <w:bCs/>
          <w:color w:val="009ABF" w:themeColor="text1"/>
          <w:sz w:val="20"/>
          <w:szCs w:val="20"/>
        </w:rPr>
        <w:t>W</w:t>
      </w:r>
      <w:r w:rsidR="00364A5C" w:rsidRPr="00B01F9E">
        <w:rPr>
          <w:rFonts w:ascii="Arial" w:hAnsi="Arial" w:cs="Arial"/>
          <w:b/>
          <w:bCs/>
          <w:color w:val="009ABF" w:themeColor="text1"/>
          <w:sz w:val="20"/>
          <w:szCs w:val="20"/>
        </w:rPr>
        <w:t>ith</w:t>
      </w:r>
      <w:proofErr w:type="gramEnd"/>
      <w:r w:rsidR="00364A5C" w:rsidRPr="00B01F9E">
        <w:rPr>
          <w:rFonts w:ascii="Arial" w:hAnsi="Arial" w:cs="Arial"/>
          <w:b/>
          <w:bCs/>
          <w:color w:val="009ABF" w:themeColor="text1"/>
          <w:sz w:val="20"/>
          <w:szCs w:val="20"/>
        </w:rPr>
        <w:t xml:space="preserve"> Progress Indicator and Additional Information</w:t>
      </w:r>
    </w:p>
    <w:p w14:paraId="2EE7BA0E" w14:textId="1E1657B7" w:rsidR="00750F37" w:rsidRPr="00B01F9E" w:rsidRDefault="009028B2" w:rsidP="007861B5">
      <w:pPr>
        <w:rPr>
          <w:rFonts w:ascii="Arial" w:hAnsi="Arial" w:cs="Arial"/>
          <w:sz w:val="20"/>
          <w:szCs w:val="20"/>
        </w:rPr>
      </w:pPr>
      <w:r w:rsidRPr="00B01F9E">
        <w:rPr>
          <w:rFonts w:ascii="Arial" w:hAnsi="Arial" w:cs="Arial"/>
          <w:noProof/>
          <w:sz w:val="20"/>
          <w:szCs w:val="20"/>
        </w:rPr>
        <w:drawing>
          <wp:inline distT="0" distB="0" distL="0" distR="0" wp14:anchorId="5A2FD016" wp14:editId="2905BB7A">
            <wp:extent cx="6074479" cy="2711450"/>
            <wp:effectExtent l="0" t="0" r="2540" b="0"/>
            <wp:docPr id="82916463"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6463" name="Graphic 82916463"/>
                    <pic:cNvPicPr/>
                  </pic:nvPicPr>
                  <pic:blipFill>
                    <a:blip r:embed="rId42">
                      <a:extLst>
                        <a:ext uri="{96DAC541-7B7A-43D3-8B79-37D633B846F1}">
                          <asvg:svgBlip xmlns:asvg="http://schemas.microsoft.com/office/drawing/2016/SVG/main" r:embed="rId43"/>
                        </a:ext>
                      </a:extLst>
                    </a:blip>
                    <a:stretch>
                      <a:fillRect/>
                    </a:stretch>
                  </pic:blipFill>
                  <pic:spPr>
                    <a:xfrm>
                      <a:off x="0" y="0"/>
                      <a:ext cx="6075004" cy="2711684"/>
                    </a:xfrm>
                    <a:prstGeom prst="rect">
                      <a:avLst/>
                    </a:prstGeom>
                  </pic:spPr>
                </pic:pic>
              </a:graphicData>
            </a:graphic>
          </wp:inline>
        </w:drawing>
      </w:r>
    </w:p>
    <w:p w14:paraId="3FB22AF2" w14:textId="2F7CADF2" w:rsidR="00157B08" w:rsidRPr="00B01F9E" w:rsidRDefault="00E9084A" w:rsidP="00E60DC5">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t xml:space="preserve">Figure </w:t>
      </w:r>
      <w:r w:rsidR="00F71485" w:rsidRPr="00B01F9E">
        <w:rPr>
          <w:rFonts w:ascii="Arial" w:hAnsi="Arial" w:cs="Arial"/>
          <w:b/>
          <w:bCs/>
          <w:color w:val="009ABF" w:themeColor="text1"/>
          <w:sz w:val="20"/>
          <w:szCs w:val="20"/>
        </w:rPr>
        <w:t>1</w:t>
      </w:r>
      <w:r w:rsidR="00781917" w:rsidRPr="00B01F9E">
        <w:rPr>
          <w:rFonts w:ascii="Arial" w:hAnsi="Arial" w:cs="Arial"/>
          <w:b/>
          <w:bCs/>
          <w:color w:val="009ABF" w:themeColor="text1"/>
          <w:sz w:val="20"/>
          <w:szCs w:val="20"/>
        </w:rPr>
        <w:t>1</w:t>
      </w:r>
      <w:r w:rsidRPr="00B01F9E">
        <w:rPr>
          <w:rFonts w:ascii="Arial" w:hAnsi="Arial" w:cs="Arial"/>
          <w:b/>
          <w:bCs/>
          <w:color w:val="009ABF" w:themeColor="text1"/>
          <w:sz w:val="20"/>
          <w:szCs w:val="20"/>
        </w:rPr>
        <w:t xml:space="preserve">: Detailed Information </w:t>
      </w:r>
      <w:proofErr w:type="gramStart"/>
      <w:r w:rsidR="003A2912" w:rsidRPr="00B01F9E">
        <w:rPr>
          <w:rFonts w:ascii="Arial" w:hAnsi="Arial" w:cs="Arial"/>
          <w:b/>
          <w:bCs/>
          <w:color w:val="009ABF" w:themeColor="text1"/>
          <w:sz w:val="20"/>
          <w:szCs w:val="20"/>
        </w:rPr>
        <w:t>F</w:t>
      </w:r>
      <w:r w:rsidRPr="00B01F9E">
        <w:rPr>
          <w:rFonts w:ascii="Arial" w:hAnsi="Arial" w:cs="Arial"/>
          <w:b/>
          <w:bCs/>
          <w:color w:val="009ABF" w:themeColor="text1"/>
          <w:sz w:val="20"/>
          <w:szCs w:val="20"/>
        </w:rPr>
        <w:t>rom</w:t>
      </w:r>
      <w:proofErr w:type="gramEnd"/>
      <w:r w:rsidRPr="00B01F9E">
        <w:rPr>
          <w:rFonts w:ascii="Arial" w:hAnsi="Arial" w:cs="Arial"/>
          <w:b/>
          <w:bCs/>
          <w:color w:val="009ABF" w:themeColor="text1"/>
          <w:sz w:val="20"/>
          <w:szCs w:val="20"/>
        </w:rPr>
        <w:t xml:space="preserve"> Hovering </w:t>
      </w:r>
      <w:r w:rsidR="00330CF8" w:rsidRPr="00B01F9E">
        <w:rPr>
          <w:rFonts w:ascii="Arial" w:hAnsi="Arial" w:cs="Arial"/>
          <w:b/>
          <w:bCs/>
          <w:color w:val="009ABF" w:themeColor="text1"/>
          <w:sz w:val="20"/>
          <w:szCs w:val="20"/>
        </w:rPr>
        <w:t>O</w:t>
      </w:r>
      <w:r w:rsidRPr="00B01F9E">
        <w:rPr>
          <w:rFonts w:ascii="Arial" w:hAnsi="Arial" w:cs="Arial"/>
          <w:b/>
          <w:bCs/>
          <w:color w:val="009ABF" w:themeColor="text1"/>
          <w:sz w:val="20"/>
          <w:szCs w:val="20"/>
        </w:rPr>
        <w:t>ver the Cell</w:t>
      </w:r>
      <w:r w:rsidR="00A0103B" w:rsidRPr="00B01F9E">
        <w:rPr>
          <w:rFonts w:ascii="Arial" w:hAnsi="Arial" w:cs="Arial"/>
          <w:b/>
          <w:bCs/>
          <w:color w:val="009ABF" w:themeColor="text1"/>
          <w:sz w:val="20"/>
          <w:szCs w:val="20"/>
        </w:rPr>
        <w:t xml:space="preserve"> </w:t>
      </w:r>
    </w:p>
    <w:p w14:paraId="1F9B56DF" w14:textId="6FC10273" w:rsidR="00656AAE" w:rsidRPr="00B01F9E" w:rsidRDefault="009028B2" w:rsidP="00D568B7">
      <w:pPr>
        <w:rPr>
          <w:rFonts w:ascii="Arial" w:hAnsi="Arial" w:cs="Arial"/>
          <w:sz w:val="20"/>
          <w:szCs w:val="20"/>
        </w:rPr>
      </w:pPr>
      <w:r w:rsidRPr="00B01F9E">
        <w:rPr>
          <w:rFonts w:ascii="Arial" w:hAnsi="Arial" w:cs="Arial"/>
          <w:noProof/>
          <w:sz w:val="20"/>
          <w:szCs w:val="20"/>
        </w:rPr>
        <w:drawing>
          <wp:inline distT="0" distB="0" distL="0" distR="0" wp14:anchorId="5A87E86B" wp14:editId="40B0DF7B">
            <wp:extent cx="4171950" cy="3009900"/>
            <wp:effectExtent l="0" t="0" r="0" b="0"/>
            <wp:docPr id="1757480522"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80522" name="Graphic 1757480522"/>
                    <pic:cNvPicPr/>
                  </pic:nvPicPr>
                  <pic:blipFill>
                    <a:blip r:embed="rId44">
                      <a:extLst>
                        <a:ext uri="{96DAC541-7B7A-43D3-8B79-37D633B846F1}">
                          <asvg:svgBlip xmlns:asvg="http://schemas.microsoft.com/office/drawing/2016/SVG/main" r:embed="rId45"/>
                        </a:ext>
                      </a:extLst>
                    </a:blip>
                    <a:stretch>
                      <a:fillRect/>
                    </a:stretch>
                  </pic:blipFill>
                  <pic:spPr>
                    <a:xfrm>
                      <a:off x="0" y="0"/>
                      <a:ext cx="4171950" cy="3009900"/>
                    </a:xfrm>
                    <a:prstGeom prst="rect">
                      <a:avLst/>
                    </a:prstGeom>
                  </pic:spPr>
                </pic:pic>
              </a:graphicData>
            </a:graphic>
          </wp:inline>
        </w:drawing>
      </w:r>
    </w:p>
    <w:p w14:paraId="1F4F59B0" w14:textId="239DE0AC" w:rsidR="00300B40" w:rsidRPr="00B01F9E" w:rsidRDefault="00300B40" w:rsidP="00F90B02">
      <w:pPr>
        <w:spacing w:after="120"/>
        <w:rPr>
          <w:rFonts w:ascii="Arial" w:hAnsi="Arial" w:cs="Arial"/>
          <w:sz w:val="20"/>
          <w:szCs w:val="20"/>
        </w:rPr>
      </w:pPr>
      <w:r w:rsidRPr="00B01F9E">
        <w:rPr>
          <w:rFonts w:ascii="Arial" w:hAnsi="Arial" w:cs="Arial"/>
          <w:sz w:val="20"/>
          <w:szCs w:val="20"/>
        </w:rPr>
        <w:t>The expected</w:t>
      </w:r>
      <w:r w:rsidR="00F05C27" w:rsidRPr="00B01F9E">
        <w:rPr>
          <w:rFonts w:ascii="Arial" w:hAnsi="Arial" w:cs="Arial"/>
          <w:sz w:val="20"/>
          <w:szCs w:val="20"/>
        </w:rPr>
        <w:t xml:space="preserve"> laboratory</w:t>
      </w:r>
      <w:r w:rsidRPr="00B01F9E">
        <w:rPr>
          <w:rFonts w:ascii="Arial" w:hAnsi="Arial" w:cs="Arial"/>
          <w:sz w:val="20"/>
          <w:szCs w:val="20"/>
        </w:rPr>
        <w:t xml:space="preserve"> follow-up </w:t>
      </w:r>
      <w:r w:rsidR="005B6E36" w:rsidRPr="00B01F9E">
        <w:rPr>
          <w:rFonts w:ascii="Arial" w:hAnsi="Arial" w:cs="Arial"/>
          <w:sz w:val="20"/>
          <w:szCs w:val="20"/>
        </w:rPr>
        <w:t>involves</w:t>
      </w:r>
      <w:r w:rsidRPr="00B01F9E">
        <w:rPr>
          <w:rFonts w:ascii="Arial" w:hAnsi="Arial" w:cs="Arial"/>
          <w:sz w:val="20"/>
          <w:szCs w:val="20"/>
        </w:rPr>
        <w:t xml:space="preserve"> review</w:t>
      </w:r>
      <w:r w:rsidR="005B6E36" w:rsidRPr="00B01F9E">
        <w:rPr>
          <w:rFonts w:ascii="Arial" w:hAnsi="Arial" w:cs="Arial"/>
          <w:sz w:val="20"/>
          <w:szCs w:val="20"/>
        </w:rPr>
        <w:t>ing</w:t>
      </w:r>
      <w:r w:rsidRPr="00B01F9E">
        <w:rPr>
          <w:rFonts w:ascii="Arial" w:hAnsi="Arial" w:cs="Arial"/>
          <w:sz w:val="20"/>
          <w:szCs w:val="20"/>
        </w:rPr>
        <w:t xml:space="preserve"> their LIDR Test Compendium </w:t>
      </w:r>
      <w:r w:rsidR="005B6E36" w:rsidRPr="00B01F9E">
        <w:rPr>
          <w:rFonts w:ascii="Arial" w:hAnsi="Arial" w:cs="Arial"/>
          <w:sz w:val="20"/>
          <w:szCs w:val="20"/>
        </w:rPr>
        <w:t>R</w:t>
      </w:r>
      <w:r w:rsidRPr="00B01F9E">
        <w:rPr>
          <w:rFonts w:ascii="Arial" w:hAnsi="Arial" w:cs="Arial"/>
          <w:sz w:val="20"/>
          <w:szCs w:val="20"/>
        </w:rPr>
        <w:t xml:space="preserve">eport for the reported test to ensure that the qualitative results reported are encoded with SNOMED CT. Once the LIS has been updated with the correct coding, the laboratory should perform an interim Instance Error Check </w:t>
      </w:r>
      <w:r w:rsidRPr="00B01F9E">
        <w:rPr>
          <w:rFonts w:ascii="Arial" w:hAnsi="Arial" w:cs="Arial"/>
          <w:sz w:val="20"/>
          <w:szCs w:val="20"/>
        </w:rPr>
        <w:lastRenderedPageBreak/>
        <w:t xml:space="preserve">for immediate validation that the correction has been made and then submit another LIDR Test Compendium </w:t>
      </w:r>
      <w:r w:rsidR="00191685" w:rsidRPr="00B01F9E">
        <w:rPr>
          <w:rFonts w:ascii="Arial" w:hAnsi="Arial" w:cs="Arial"/>
          <w:sz w:val="20"/>
          <w:szCs w:val="20"/>
        </w:rPr>
        <w:t>R</w:t>
      </w:r>
      <w:r w:rsidRPr="00B01F9E">
        <w:rPr>
          <w:rFonts w:ascii="Arial" w:hAnsi="Arial" w:cs="Arial"/>
          <w:sz w:val="20"/>
          <w:szCs w:val="20"/>
        </w:rPr>
        <w:t>eport to the CAP at the next scheduled evaluation period.</w:t>
      </w:r>
    </w:p>
    <w:p w14:paraId="0DE7DC2E" w14:textId="4D11A0C4" w:rsidR="00C546D4" w:rsidRPr="00B01F9E" w:rsidRDefault="00C546D4" w:rsidP="00C546D4">
      <w:pPr>
        <w:pStyle w:val="Heading3"/>
        <w:spacing w:before="0" w:after="120"/>
        <w:rPr>
          <w:rFonts w:ascii="Arial" w:hAnsi="Arial" w:cs="Arial"/>
          <w:b/>
          <w:bCs/>
          <w:i/>
          <w:iCs/>
          <w:color w:val="009ABF" w:themeColor="text1"/>
          <w:sz w:val="20"/>
          <w:szCs w:val="20"/>
        </w:rPr>
      </w:pPr>
      <w:bookmarkStart w:id="28" w:name="_Toc177136990"/>
      <w:r w:rsidRPr="00B01F9E">
        <w:rPr>
          <w:rFonts w:ascii="Arial" w:hAnsi="Arial" w:cs="Arial"/>
          <w:b/>
          <w:bCs/>
          <w:i/>
          <w:iCs/>
          <w:color w:val="009ABF" w:themeColor="text1"/>
          <w:sz w:val="20"/>
          <w:szCs w:val="20"/>
        </w:rPr>
        <w:t>3.6.</w:t>
      </w:r>
      <w:r w:rsidR="006D2529" w:rsidRPr="00B01F9E">
        <w:rPr>
          <w:rFonts w:ascii="Arial" w:hAnsi="Arial" w:cs="Arial"/>
          <w:b/>
          <w:bCs/>
          <w:i/>
          <w:iCs/>
          <w:color w:val="009ABF" w:themeColor="text1"/>
          <w:sz w:val="20"/>
          <w:szCs w:val="20"/>
        </w:rPr>
        <w:t>2</w:t>
      </w:r>
      <w:r w:rsidRPr="00B01F9E">
        <w:rPr>
          <w:rFonts w:ascii="Arial" w:hAnsi="Arial" w:cs="Arial"/>
          <w:b/>
          <w:bCs/>
          <w:i/>
          <w:iCs/>
          <w:color w:val="009ABF" w:themeColor="text1"/>
          <w:sz w:val="20"/>
          <w:szCs w:val="20"/>
        </w:rPr>
        <w:t xml:space="preserve"> </w:t>
      </w:r>
      <w:r w:rsidR="00D2228F" w:rsidRPr="00B01F9E">
        <w:rPr>
          <w:rFonts w:ascii="Arial" w:hAnsi="Arial" w:cs="Arial"/>
          <w:b/>
          <w:bCs/>
          <w:i/>
          <w:iCs/>
          <w:color w:val="009ABF" w:themeColor="text1"/>
          <w:sz w:val="20"/>
          <w:szCs w:val="20"/>
        </w:rPr>
        <w:t>Instance</w:t>
      </w:r>
      <w:r w:rsidRPr="00B01F9E">
        <w:rPr>
          <w:rFonts w:ascii="Arial" w:hAnsi="Arial" w:cs="Arial"/>
          <w:b/>
          <w:bCs/>
          <w:i/>
          <w:iCs/>
          <w:color w:val="009ABF" w:themeColor="text1"/>
          <w:sz w:val="20"/>
          <w:szCs w:val="20"/>
        </w:rPr>
        <w:t xml:space="preserve"> Error Check QA Analysis Reports</w:t>
      </w:r>
      <w:bookmarkEnd w:id="28"/>
    </w:p>
    <w:p w14:paraId="35D4B7D6" w14:textId="6B4A64B1" w:rsidR="003F5754" w:rsidRPr="00B01F9E" w:rsidRDefault="00AD7D96" w:rsidP="00F90B02">
      <w:pPr>
        <w:spacing w:after="120"/>
        <w:rPr>
          <w:rFonts w:ascii="Arial" w:hAnsi="Arial" w:cs="Arial"/>
          <w:sz w:val="20"/>
          <w:szCs w:val="20"/>
        </w:rPr>
      </w:pPr>
      <w:r w:rsidRPr="00B01F9E">
        <w:rPr>
          <w:rFonts w:ascii="Arial" w:hAnsi="Arial" w:cs="Arial"/>
          <w:sz w:val="20"/>
          <w:szCs w:val="20"/>
        </w:rPr>
        <w:t xml:space="preserve">Instance Error Check </w:t>
      </w:r>
      <w:r w:rsidR="00191685" w:rsidRPr="00B01F9E">
        <w:rPr>
          <w:rFonts w:ascii="Arial" w:hAnsi="Arial" w:cs="Arial"/>
          <w:sz w:val="20"/>
          <w:szCs w:val="20"/>
        </w:rPr>
        <w:t xml:space="preserve">QA analysis </w:t>
      </w:r>
      <w:r w:rsidRPr="00B01F9E">
        <w:rPr>
          <w:rFonts w:ascii="Arial" w:hAnsi="Arial" w:cs="Arial"/>
          <w:sz w:val="20"/>
          <w:szCs w:val="20"/>
        </w:rPr>
        <w:t xml:space="preserve">reports </w:t>
      </w:r>
      <w:r w:rsidR="00427D25" w:rsidRPr="00B01F9E">
        <w:rPr>
          <w:rFonts w:ascii="Arial" w:hAnsi="Arial" w:cs="Arial"/>
          <w:sz w:val="20"/>
          <w:szCs w:val="20"/>
        </w:rPr>
        <w:t xml:space="preserve">can be viewed on </w:t>
      </w:r>
      <w:r w:rsidRPr="00B01F9E">
        <w:rPr>
          <w:rFonts w:ascii="Arial" w:hAnsi="Arial" w:cs="Arial"/>
          <w:sz w:val="20"/>
          <w:szCs w:val="20"/>
        </w:rPr>
        <w:t>the tab labelled “Low Level P/F”</w:t>
      </w:r>
      <w:r w:rsidR="008C4843" w:rsidRPr="00B01F9E">
        <w:rPr>
          <w:rFonts w:ascii="Arial" w:hAnsi="Arial" w:cs="Arial"/>
          <w:sz w:val="20"/>
          <w:szCs w:val="20"/>
        </w:rPr>
        <w:t xml:space="preserve"> and</w:t>
      </w:r>
      <w:r w:rsidRPr="00B01F9E">
        <w:rPr>
          <w:rFonts w:ascii="Arial" w:hAnsi="Arial" w:cs="Arial"/>
          <w:sz w:val="20"/>
          <w:szCs w:val="20"/>
        </w:rPr>
        <w:t xml:space="preserve"> </w:t>
      </w:r>
      <w:r w:rsidR="00191685" w:rsidRPr="00B01F9E">
        <w:rPr>
          <w:rFonts w:ascii="Arial" w:hAnsi="Arial" w:cs="Arial"/>
          <w:sz w:val="20"/>
          <w:szCs w:val="20"/>
        </w:rPr>
        <w:t xml:space="preserve">by </w:t>
      </w:r>
      <w:r w:rsidR="008C4843" w:rsidRPr="00B01F9E">
        <w:rPr>
          <w:rFonts w:ascii="Arial" w:hAnsi="Arial" w:cs="Arial"/>
          <w:sz w:val="20"/>
          <w:szCs w:val="20"/>
        </w:rPr>
        <w:t>s</w:t>
      </w:r>
      <w:r w:rsidRPr="00B01F9E">
        <w:rPr>
          <w:rFonts w:ascii="Arial" w:hAnsi="Arial" w:cs="Arial"/>
          <w:sz w:val="20"/>
          <w:szCs w:val="20"/>
        </w:rPr>
        <w:t>elect</w:t>
      </w:r>
      <w:r w:rsidR="008C4843" w:rsidRPr="00B01F9E">
        <w:rPr>
          <w:rFonts w:ascii="Arial" w:hAnsi="Arial" w:cs="Arial"/>
          <w:sz w:val="20"/>
          <w:szCs w:val="20"/>
        </w:rPr>
        <w:t>ing</w:t>
      </w:r>
      <w:r w:rsidRPr="00B01F9E">
        <w:rPr>
          <w:rFonts w:ascii="Arial" w:hAnsi="Arial" w:cs="Arial"/>
          <w:sz w:val="20"/>
          <w:szCs w:val="20"/>
        </w:rPr>
        <w:t xml:space="preserve"> the radio button to view Instance </w:t>
      </w:r>
      <w:r w:rsidR="00271167" w:rsidRPr="00B01F9E">
        <w:rPr>
          <w:rFonts w:ascii="Arial" w:hAnsi="Arial" w:cs="Arial"/>
          <w:sz w:val="20"/>
          <w:szCs w:val="20"/>
        </w:rPr>
        <w:t xml:space="preserve">Error </w:t>
      </w:r>
      <w:r w:rsidRPr="00B01F9E">
        <w:rPr>
          <w:rFonts w:ascii="Arial" w:hAnsi="Arial" w:cs="Arial"/>
          <w:sz w:val="20"/>
          <w:szCs w:val="20"/>
        </w:rPr>
        <w:t xml:space="preserve">Check reports. This view provides pass and fail results for the correct LIDR element for each performed test in </w:t>
      </w:r>
      <w:r w:rsidR="0070227A" w:rsidRPr="00B01F9E">
        <w:rPr>
          <w:rFonts w:ascii="Arial" w:hAnsi="Arial" w:cs="Arial"/>
          <w:sz w:val="20"/>
          <w:szCs w:val="20"/>
        </w:rPr>
        <w:t xml:space="preserve">the </w:t>
      </w:r>
      <w:r w:rsidRPr="00B01F9E">
        <w:rPr>
          <w:rFonts w:ascii="Arial" w:hAnsi="Arial" w:cs="Arial"/>
          <w:sz w:val="20"/>
          <w:szCs w:val="20"/>
        </w:rPr>
        <w:t>submitted HL7 result messages. It also displays information on the performance of a laboratory over several submissions. In this report</w:t>
      </w:r>
      <w:r w:rsidR="007032AB" w:rsidRPr="00B01F9E">
        <w:rPr>
          <w:rFonts w:ascii="Arial" w:hAnsi="Arial" w:cs="Arial"/>
          <w:sz w:val="20"/>
          <w:szCs w:val="20"/>
        </w:rPr>
        <w:t xml:space="preserve"> (Figure </w:t>
      </w:r>
      <w:r w:rsidR="00F71485" w:rsidRPr="00B01F9E">
        <w:rPr>
          <w:rFonts w:ascii="Arial" w:hAnsi="Arial" w:cs="Arial"/>
          <w:sz w:val="20"/>
          <w:szCs w:val="20"/>
        </w:rPr>
        <w:t>1</w:t>
      </w:r>
      <w:r w:rsidR="00C70D0B" w:rsidRPr="00B01F9E">
        <w:rPr>
          <w:rFonts w:ascii="Arial" w:hAnsi="Arial" w:cs="Arial"/>
          <w:sz w:val="20"/>
          <w:szCs w:val="20"/>
        </w:rPr>
        <w:t>2</w:t>
      </w:r>
      <w:r w:rsidR="007032AB" w:rsidRPr="00B01F9E">
        <w:rPr>
          <w:rFonts w:ascii="Arial" w:hAnsi="Arial" w:cs="Arial"/>
          <w:sz w:val="20"/>
          <w:szCs w:val="20"/>
        </w:rPr>
        <w:t>)</w:t>
      </w:r>
      <w:r w:rsidRPr="00B01F9E">
        <w:rPr>
          <w:rFonts w:ascii="Arial" w:hAnsi="Arial" w:cs="Arial"/>
          <w:sz w:val="20"/>
          <w:szCs w:val="20"/>
        </w:rPr>
        <w:t xml:space="preserve">, filters can be selected to </w:t>
      </w:r>
      <w:r w:rsidR="00320A8B" w:rsidRPr="00B01F9E">
        <w:rPr>
          <w:rFonts w:ascii="Arial" w:hAnsi="Arial" w:cs="Arial"/>
          <w:sz w:val="20"/>
          <w:szCs w:val="20"/>
        </w:rPr>
        <w:t>examine</w:t>
      </w:r>
      <w:r w:rsidRPr="00B01F9E">
        <w:rPr>
          <w:rFonts w:ascii="Arial" w:hAnsi="Arial" w:cs="Arial"/>
          <w:sz w:val="20"/>
          <w:szCs w:val="20"/>
        </w:rPr>
        <w:t xml:space="preserve"> specific Instance Error Check results by test ordered name, test performed name, test section, and instrument model. </w:t>
      </w:r>
    </w:p>
    <w:p w14:paraId="0D821930" w14:textId="31BCC19F" w:rsidR="00AD7D96" w:rsidRPr="00B01F9E" w:rsidRDefault="00AD7D96" w:rsidP="00F90B02">
      <w:pPr>
        <w:spacing w:after="120"/>
        <w:rPr>
          <w:rFonts w:ascii="Arial" w:hAnsi="Arial" w:cs="Arial"/>
          <w:sz w:val="20"/>
          <w:szCs w:val="20"/>
        </w:rPr>
      </w:pPr>
      <w:r w:rsidRPr="00B01F9E">
        <w:rPr>
          <w:rFonts w:ascii="Arial" w:hAnsi="Arial" w:cs="Arial"/>
          <w:sz w:val="20"/>
          <w:szCs w:val="20"/>
        </w:rPr>
        <w:t>The legend</w:t>
      </w:r>
      <w:r w:rsidR="00532222" w:rsidRPr="00B01F9E">
        <w:rPr>
          <w:rFonts w:ascii="Arial" w:hAnsi="Arial" w:cs="Arial"/>
          <w:sz w:val="20"/>
          <w:szCs w:val="20"/>
        </w:rPr>
        <w:t xml:space="preserve"> on the left-hand side</w:t>
      </w:r>
      <w:r w:rsidRPr="00B01F9E">
        <w:rPr>
          <w:rFonts w:ascii="Arial" w:hAnsi="Arial" w:cs="Arial"/>
          <w:sz w:val="20"/>
          <w:szCs w:val="20"/>
        </w:rPr>
        <w:t xml:space="preserve"> displays the meaning of the colored cells. A result of “N/A” indicates that the </w:t>
      </w:r>
      <w:r w:rsidR="00002F71" w:rsidRPr="00B01F9E">
        <w:rPr>
          <w:rFonts w:ascii="Arial" w:hAnsi="Arial" w:cs="Arial"/>
          <w:sz w:val="20"/>
          <w:szCs w:val="20"/>
        </w:rPr>
        <w:t>LIDR</w:t>
      </w:r>
      <w:r w:rsidRPr="00B01F9E">
        <w:rPr>
          <w:rFonts w:ascii="Arial" w:hAnsi="Arial" w:cs="Arial"/>
          <w:sz w:val="20"/>
          <w:szCs w:val="20"/>
        </w:rPr>
        <w:t xml:space="preserve"> element </w:t>
      </w:r>
      <w:r w:rsidR="007F4480" w:rsidRPr="00B01F9E">
        <w:rPr>
          <w:rFonts w:ascii="Arial" w:hAnsi="Arial" w:cs="Arial"/>
          <w:sz w:val="20"/>
          <w:szCs w:val="20"/>
        </w:rPr>
        <w:t>was</w:t>
      </w:r>
      <w:r w:rsidRPr="00B01F9E">
        <w:rPr>
          <w:rFonts w:ascii="Arial" w:hAnsi="Arial" w:cs="Arial"/>
          <w:sz w:val="20"/>
          <w:szCs w:val="20"/>
        </w:rPr>
        <w:t xml:space="preserve"> not applicable to the reported test. For instance, a test that </w:t>
      </w:r>
      <w:proofErr w:type="gramStart"/>
      <w:r w:rsidR="006808F3" w:rsidRPr="00B01F9E">
        <w:rPr>
          <w:rFonts w:ascii="Arial" w:hAnsi="Arial" w:cs="Arial"/>
          <w:sz w:val="20"/>
          <w:szCs w:val="20"/>
        </w:rPr>
        <w:t>is</w:t>
      </w:r>
      <w:r w:rsidRPr="00B01F9E">
        <w:rPr>
          <w:rFonts w:ascii="Arial" w:hAnsi="Arial" w:cs="Arial"/>
          <w:sz w:val="20"/>
          <w:szCs w:val="20"/>
        </w:rPr>
        <w:t xml:space="preserve"> resulted</w:t>
      </w:r>
      <w:proofErr w:type="gramEnd"/>
      <w:r w:rsidRPr="00B01F9E">
        <w:rPr>
          <w:rFonts w:ascii="Arial" w:hAnsi="Arial" w:cs="Arial"/>
          <w:sz w:val="20"/>
          <w:szCs w:val="20"/>
        </w:rPr>
        <w:t xml:space="preserve"> with qualitative results would not include units of measure. A result of “Not Reported” indicates that an element that </w:t>
      </w:r>
      <w:r w:rsidR="00B65B72" w:rsidRPr="00B01F9E">
        <w:rPr>
          <w:rFonts w:ascii="Arial" w:hAnsi="Arial" w:cs="Arial"/>
          <w:sz w:val="20"/>
          <w:szCs w:val="20"/>
        </w:rPr>
        <w:t>is</w:t>
      </w:r>
      <w:r w:rsidRPr="00B01F9E">
        <w:rPr>
          <w:rFonts w:ascii="Arial" w:hAnsi="Arial" w:cs="Arial"/>
          <w:sz w:val="20"/>
          <w:szCs w:val="20"/>
        </w:rPr>
        <w:t xml:space="preserve"> not required was not included in the result transmission. For example, kit number is not a required LIDR data element but is an optional CAP element used to determine if the submission is part of a QA survey.</w:t>
      </w:r>
    </w:p>
    <w:p w14:paraId="2E676811" w14:textId="66ABB42F" w:rsidR="004C03CD" w:rsidRPr="00B01F9E" w:rsidRDefault="004C03CD" w:rsidP="00C93AB4">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t xml:space="preserve">Figure </w:t>
      </w:r>
      <w:r w:rsidR="00F71485" w:rsidRPr="00B01F9E">
        <w:rPr>
          <w:rFonts w:ascii="Arial" w:hAnsi="Arial" w:cs="Arial"/>
          <w:b/>
          <w:bCs/>
          <w:color w:val="009ABF" w:themeColor="text1"/>
          <w:sz w:val="20"/>
          <w:szCs w:val="20"/>
        </w:rPr>
        <w:t>1</w:t>
      </w:r>
      <w:r w:rsidR="00C70D0B" w:rsidRPr="00B01F9E">
        <w:rPr>
          <w:rFonts w:ascii="Arial" w:hAnsi="Arial" w:cs="Arial"/>
          <w:b/>
          <w:bCs/>
          <w:color w:val="009ABF" w:themeColor="text1"/>
          <w:sz w:val="20"/>
          <w:szCs w:val="20"/>
        </w:rPr>
        <w:t>2</w:t>
      </w:r>
      <w:r w:rsidRPr="00B01F9E">
        <w:rPr>
          <w:rFonts w:ascii="Arial" w:hAnsi="Arial" w:cs="Arial"/>
          <w:b/>
          <w:bCs/>
          <w:color w:val="009ABF" w:themeColor="text1"/>
          <w:sz w:val="20"/>
          <w:szCs w:val="20"/>
        </w:rPr>
        <w:t>: Low Level P/F for Instance Error Check Results</w:t>
      </w:r>
    </w:p>
    <w:p w14:paraId="104F05BA" w14:textId="5ACC1FB8" w:rsidR="00EE3A7E" w:rsidRPr="00B01F9E" w:rsidRDefault="009028B2" w:rsidP="00AD7D96">
      <w:pPr>
        <w:rPr>
          <w:rFonts w:ascii="Arial" w:hAnsi="Arial" w:cs="Arial"/>
          <w:sz w:val="20"/>
          <w:szCs w:val="20"/>
        </w:rPr>
      </w:pPr>
      <w:r w:rsidRPr="00B01F9E">
        <w:rPr>
          <w:rFonts w:ascii="Arial" w:hAnsi="Arial" w:cs="Arial"/>
          <w:noProof/>
          <w:sz w:val="20"/>
          <w:szCs w:val="20"/>
        </w:rPr>
        <w:drawing>
          <wp:inline distT="0" distB="0" distL="0" distR="0" wp14:anchorId="63E9B1C7" wp14:editId="389427B2">
            <wp:extent cx="5943600" cy="2653030"/>
            <wp:effectExtent l="0" t="0" r="0" b="0"/>
            <wp:docPr id="1261246465"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46465" name="Graphic 1261246465"/>
                    <pic:cNvPicPr/>
                  </pic:nvPicPr>
                  <pic:blipFill>
                    <a:blip r:embed="rId46">
                      <a:extLst>
                        <a:ext uri="{96DAC541-7B7A-43D3-8B79-37D633B846F1}">
                          <asvg:svgBlip xmlns:asvg="http://schemas.microsoft.com/office/drawing/2016/SVG/main" r:embed="rId47"/>
                        </a:ext>
                      </a:extLst>
                    </a:blip>
                    <a:stretch>
                      <a:fillRect/>
                    </a:stretch>
                  </pic:blipFill>
                  <pic:spPr>
                    <a:xfrm>
                      <a:off x="0" y="0"/>
                      <a:ext cx="5943600" cy="2653030"/>
                    </a:xfrm>
                    <a:prstGeom prst="rect">
                      <a:avLst/>
                    </a:prstGeom>
                  </pic:spPr>
                </pic:pic>
              </a:graphicData>
            </a:graphic>
          </wp:inline>
        </w:drawing>
      </w:r>
    </w:p>
    <w:p w14:paraId="131BA897" w14:textId="31210678" w:rsidR="00AA7A9A" w:rsidRPr="00B01F9E" w:rsidRDefault="00AA7A9A" w:rsidP="00AA7A9A">
      <w:pPr>
        <w:rPr>
          <w:rFonts w:ascii="Arial" w:hAnsi="Arial" w:cs="Arial"/>
          <w:sz w:val="20"/>
          <w:szCs w:val="20"/>
        </w:rPr>
      </w:pPr>
      <w:r w:rsidRPr="00B01F9E">
        <w:rPr>
          <w:rFonts w:ascii="Arial" w:hAnsi="Arial" w:cs="Arial"/>
          <w:sz w:val="20"/>
          <w:szCs w:val="20"/>
        </w:rPr>
        <w:t xml:space="preserve">In Figure </w:t>
      </w:r>
      <w:r w:rsidR="00F71485" w:rsidRPr="00B01F9E">
        <w:rPr>
          <w:rFonts w:ascii="Arial" w:hAnsi="Arial" w:cs="Arial"/>
          <w:sz w:val="20"/>
          <w:szCs w:val="20"/>
        </w:rPr>
        <w:t>1</w:t>
      </w:r>
      <w:r w:rsidR="00C70D0B" w:rsidRPr="00B01F9E">
        <w:rPr>
          <w:rFonts w:ascii="Arial" w:hAnsi="Arial" w:cs="Arial"/>
          <w:sz w:val="20"/>
          <w:szCs w:val="20"/>
        </w:rPr>
        <w:t>3</w:t>
      </w:r>
      <w:r w:rsidRPr="00B01F9E">
        <w:rPr>
          <w:rFonts w:ascii="Arial" w:hAnsi="Arial" w:cs="Arial"/>
          <w:sz w:val="20"/>
          <w:szCs w:val="20"/>
        </w:rPr>
        <w:t>, the filter is set to the Respiratory Virus Panel ordered test. Based on this view, the laboratory has passed for all required LIDR elements for each of the three tests performed in the ordered panel</w:t>
      </w:r>
      <w:r w:rsidR="00B36934" w:rsidRPr="00B01F9E">
        <w:rPr>
          <w:rFonts w:ascii="Arial" w:hAnsi="Arial" w:cs="Arial"/>
          <w:sz w:val="20"/>
          <w:szCs w:val="20"/>
        </w:rPr>
        <w:t xml:space="preserve"> on the 6/26/2024 submission</w:t>
      </w:r>
      <w:r w:rsidRPr="00B01F9E">
        <w:rPr>
          <w:rFonts w:ascii="Arial" w:hAnsi="Arial" w:cs="Arial"/>
          <w:sz w:val="20"/>
          <w:szCs w:val="20"/>
        </w:rPr>
        <w:t>.</w:t>
      </w:r>
    </w:p>
    <w:p w14:paraId="2A757C5B" w14:textId="77777777" w:rsidR="00C93AB4" w:rsidRPr="00B01F9E" w:rsidRDefault="00C93AB4">
      <w:pPr>
        <w:rPr>
          <w:rFonts w:ascii="Arial" w:hAnsi="Arial" w:cs="Arial"/>
          <w:b/>
          <w:bCs/>
          <w:color w:val="009ABF" w:themeColor="text1"/>
          <w:sz w:val="20"/>
          <w:szCs w:val="20"/>
        </w:rPr>
      </w:pPr>
      <w:r w:rsidRPr="00B01F9E">
        <w:rPr>
          <w:rFonts w:ascii="Arial" w:hAnsi="Arial" w:cs="Arial"/>
          <w:b/>
          <w:bCs/>
          <w:color w:val="009ABF" w:themeColor="text1"/>
          <w:sz w:val="20"/>
          <w:szCs w:val="20"/>
        </w:rPr>
        <w:br w:type="page"/>
      </w:r>
    </w:p>
    <w:p w14:paraId="672846E1" w14:textId="417D10D6" w:rsidR="00AD7D96" w:rsidRPr="00B01F9E" w:rsidRDefault="00604E7C" w:rsidP="00636C7D">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lastRenderedPageBreak/>
        <w:t xml:space="preserve">Figure </w:t>
      </w:r>
      <w:r w:rsidR="00F71485" w:rsidRPr="00B01F9E">
        <w:rPr>
          <w:rFonts w:ascii="Arial" w:hAnsi="Arial" w:cs="Arial"/>
          <w:b/>
          <w:bCs/>
          <w:color w:val="009ABF" w:themeColor="text1"/>
          <w:sz w:val="20"/>
          <w:szCs w:val="20"/>
        </w:rPr>
        <w:t>1</w:t>
      </w:r>
      <w:r w:rsidR="00150CDF" w:rsidRPr="00B01F9E">
        <w:rPr>
          <w:rFonts w:ascii="Arial" w:hAnsi="Arial" w:cs="Arial"/>
          <w:b/>
          <w:bCs/>
          <w:color w:val="009ABF" w:themeColor="text1"/>
          <w:sz w:val="20"/>
          <w:szCs w:val="20"/>
        </w:rPr>
        <w:t>3</w:t>
      </w:r>
      <w:r w:rsidRPr="00B01F9E">
        <w:rPr>
          <w:rFonts w:ascii="Arial" w:hAnsi="Arial" w:cs="Arial"/>
          <w:b/>
          <w:bCs/>
          <w:color w:val="009ABF" w:themeColor="text1"/>
          <w:sz w:val="20"/>
          <w:szCs w:val="20"/>
        </w:rPr>
        <w:t xml:space="preserve">: Instance </w:t>
      </w:r>
      <w:r w:rsidR="006734B3" w:rsidRPr="00B01F9E">
        <w:rPr>
          <w:rFonts w:ascii="Arial" w:hAnsi="Arial" w:cs="Arial"/>
          <w:b/>
          <w:color w:val="009ABF" w:themeColor="text1"/>
          <w:sz w:val="20"/>
          <w:szCs w:val="20"/>
        </w:rPr>
        <w:t xml:space="preserve">Error </w:t>
      </w:r>
      <w:r w:rsidRPr="00B01F9E">
        <w:rPr>
          <w:rFonts w:ascii="Arial" w:hAnsi="Arial" w:cs="Arial"/>
          <w:b/>
          <w:bCs/>
          <w:color w:val="009ABF" w:themeColor="text1"/>
          <w:sz w:val="20"/>
          <w:szCs w:val="20"/>
        </w:rPr>
        <w:t>Check Results by Submitted Date for the Respiratory Virus Panel Ordered Test</w:t>
      </w:r>
    </w:p>
    <w:p w14:paraId="6ABB80F5" w14:textId="5F3E0BD2" w:rsidR="006234F7" w:rsidRPr="00B01F9E" w:rsidRDefault="009028B2" w:rsidP="00300B40">
      <w:pPr>
        <w:rPr>
          <w:rFonts w:ascii="Arial" w:hAnsi="Arial" w:cs="Arial"/>
          <w:sz w:val="20"/>
          <w:szCs w:val="20"/>
        </w:rPr>
      </w:pPr>
      <w:r w:rsidRPr="00B01F9E">
        <w:rPr>
          <w:rFonts w:ascii="Arial" w:hAnsi="Arial" w:cs="Arial"/>
          <w:noProof/>
          <w:sz w:val="20"/>
          <w:szCs w:val="20"/>
        </w:rPr>
        <w:drawing>
          <wp:inline distT="0" distB="0" distL="0" distR="0" wp14:anchorId="6A58626F" wp14:editId="42F7F217">
            <wp:extent cx="6215119" cy="2514600"/>
            <wp:effectExtent l="0" t="0" r="0" b="0"/>
            <wp:docPr id="981397257"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97257" name="Graphic 981397257"/>
                    <pic:cNvPicPr/>
                  </pic:nvPicPr>
                  <pic:blipFill>
                    <a:blip r:embed="rId48">
                      <a:extLst>
                        <a:ext uri="{96DAC541-7B7A-43D3-8B79-37D633B846F1}">
                          <asvg:svgBlip xmlns:asvg="http://schemas.microsoft.com/office/drawing/2016/SVG/main" r:embed="rId49"/>
                        </a:ext>
                      </a:extLst>
                    </a:blip>
                    <a:stretch>
                      <a:fillRect/>
                    </a:stretch>
                  </pic:blipFill>
                  <pic:spPr>
                    <a:xfrm>
                      <a:off x="0" y="0"/>
                      <a:ext cx="6217681" cy="2515637"/>
                    </a:xfrm>
                    <a:prstGeom prst="rect">
                      <a:avLst/>
                    </a:prstGeom>
                  </pic:spPr>
                </pic:pic>
              </a:graphicData>
            </a:graphic>
          </wp:inline>
        </w:drawing>
      </w:r>
    </w:p>
    <w:p w14:paraId="0209ECB2" w14:textId="77777777" w:rsidR="00817A02" w:rsidRPr="00B01F9E" w:rsidRDefault="00134447" w:rsidP="00F90B02">
      <w:pPr>
        <w:spacing w:after="120"/>
        <w:rPr>
          <w:rFonts w:ascii="Arial" w:hAnsi="Arial" w:cs="Arial"/>
          <w:sz w:val="20"/>
          <w:szCs w:val="20"/>
        </w:rPr>
      </w:pPr>
      <w:r w:rsidRPr="00B01F9E">
        <w:rPr>
          <w:rFonts w:ascii="Arial" w:hAnsi="Arial" w:cs="Arial"/>
          <w:sz w:val="20"/>
          <w:szCs w:val="20"/>
        </w:rPr>
        <w:t xml:space="preserve">To </w:t>
      </w:r>
      <w:r w:rsidR="0061273B" w:rsidRPr="00B01F9E">
        <w:rPr>
          <w:rFonts w:ascii="Arial" w:hAnsi="Arial" w:cs="Arial"/>
          <w:sz w:val="20"/>
          <w:szCs w:val="20"/>
        </w:rPr>
        <w:t>view</w:t>
      </w:r>
      <w:r w:rsidRPr="00B01F9E">
        <w:rPr>
          <w:rFonts w:ascii="Arial" w:hAnsi="Arial" w:cs="Arial"/>
          <w:sz w:val="20"/>
          <w:szCs w:val="20"/>
        </w:rPr>
        <w:t xml:space="preserve"> what was submitted for a particular data element, hovering over that cell will provide more detail. </w:t>
      </w:r>
    </w:p>
    <w:p w14:paraId="44299199" w14:textId="7A53451B" w:rsidR="00134447" w:rsidRPr="00B01F9E" w:rsidRDefault="00134447" w:rsidP="00F90B02">
      <w:pPr>
        <w:spacing w:after="120"/>
        <w:rPr>
          <w:rFonts w:ascii="Arial" w:hAnsi="Arial" w:cs="Arial"/>
          <w:sz w:val="20"/>
          <w:szCs w:val="20"/>
        </w:rPr>
      </w:pPr>
      <w:r w:rsidRPr="00B01F9E">
        <w:rPr>
          <w:rFonts w:ascii="Arial" w:hAnsi="Arial" w:cs="Arial"/>
          <w:sz w:val="20"/>
          <w:szCs w:val="20"/>
        </w:rPr>
        <w:t xml:space="preserve">In Figures </w:t>
      </w:r>
      <w:r w:rsidR="00F71485" w:rsidRPr="00B01F9E">
        <w:rPr>
          <w:rFonts w:ascii="Arial" w:hAnsi="Arial" w:cs="Arial"/>
          <w:sz w:val="20"/>
          <w:szCs w:val="20"/>
        </w:rPr>
        <w:t>1</w:t>
      </w:r>
      <w:r w:rsidR="00150CDF" w:rsidRPr="00B01F9E">
        <w:rPr>
          <w:rFonts w:ascii="Arial" w:hAnsi="Arial" w:cs="Arial"/>
          <w:sz w:val="20"/>
          <w:szCs w:val="20"/>
        </w:rPr>
        <w:t>4</w:t>
      </w:r>
      <w:r w:rsidR="00C70D0B" w:rsidRPr="00B01F9E">
        <w:rPr>
          <w:rFonts w:ascii="Arial" w:hAnsi="Arial" w:cs="Arial"/>
          <w:sz w:val="20"/>
          <w:szCs w:val="20"/>
        </w:rPr>
        <w:t xml:space="preserve"> </w:t>
      </w:r>
      <w:r w:rsidRPr="00B01F9E">
        <w:rPr>
          <w:rFonts w:ascii="Arial" w:hAnsi="Arial" w:cs="Arial"/>
          <w:sz w:val="20"/>
          <w:szCs w:val="20"/>
        </w:rPr>
        <w:t xml:space="preserve">and </w:t>
      </w:r>
      <w:r w:rsidR="00F71485" w:rsidRPr="00B01F9E">
        <w:rPr>
          <w:rFonts w:ascii="Arial" w:hAnsi="Arial" w:cs="Arial"/>
          <w:sz w:val="20"/>
          <w:szCs w:val="20"/>
        </w:rPr>
        <w:t>1</w:t>
      </w:r>
      <w:r w:rsidR="00150CDF" w:rsidRPr="00B01F9E">
        <w:rPr>
          <w:rFonts w:ascii="Arial" w:hAnsi="Arial" w:cs="Arial"/>
          <w:sz w:val="20"/>
          <w:szCs w:val="20"/>
        </w:rPr>
        <w:t>5</w:t>
      </w:r>
      <w:r w:rsidRPr="00B01F9E">
        <w:rPr>
          <w:rFonts w:ascii="Arial" w:hAnsi="Arial" w:cs="Arial"/>
          <w:sz w:val="20"/>
          <w:szCs w:val="20"/>
        </w:rPr>
        <w:t xml:space="preserve">, the detail indicates the resulted test being viewed is the Influenza Virus B RNA performed on the Cepheid </w:t>
      </w:r>
      <w:proofErr w:type="spellStart"/>
      <w:r w:rsidRPr="00B01F9E">
        <w:rPr>
          <w:rFonts w:ascii="Arial" w:hAnsi="Arial" w:cs="Arial"/>
          <w:sz w:val="20"/>
          <w:szCs w:val="20"/>
        </w:rPr>
        <w:t>Genexpert</w:t>
      </w:r>
      <w:proofErr w:type="spellEnd"/>
      <w:r w:rsidR="004019F9" w:rsidRPr="00B01F9E">
        <w:rPr>
          <w:rFonts w:ascii="Arial" w:hAnsi="Arial" w:cs="Arial"/>
          <w:sz w:val="20"/>
          <w:szCs w:val="20"/>
        </w:rPr>
        <w:t>®</w:t>
      </w:r>
      <w:r w:rsidR="003F5754" w:rsidRPr="00B01F9E">
        <w:rPr>
          <w:rFonts w:ascii="Arial" w:hAnsi="Arial" w:cs="Arial"/>
          <w:sz w:val="20"/>
          <w:szCs w:val="20"/>
        </w:rPr>
        <w:t>.</w:t>
      </w:r>
      <w:r w:rsidRPr="00B01F9E">
        <w:rPr>
          <w:rFonts w:ascii="Arial" w:hAnsi="Arial" w:cs="Arial"/>
          <w:sz w:val="20"/>
          <w:szCs w:val="20"/>
        </w:rPr>
        <w:t xml:space="preserve"> </w:t>
      </w:r>
      <w:r w:rsidR="003F5754" w:rsidRPr="00B01F9E">
        <w:rPr>
          <w:rFonts w:ascii="Arial" w:hAnsi="Arial" w:cs="Arial"/>
          <w:sz w:val="20"/>
          <w:szCs w:val="20"/>
        </w:rPr>
        <w:t>T</w:t>
      </w:r>
      <w:r w:rsidRPr="00B01F9E">
        <w:rPr>
          <w:rFonts w:ascii="Arial" w:hAnsi="Arial" w:cs="Arial"/>
          <w:sz w:val="20"/>
          <w:szCs w:val="20"/>
        </w:rPr>
        <w:t>he qualitative result SNOMED CT was 260373001 which was correct and resulted in a pass grading.</w:t>
      </w:r>
    </w:p>
    <w:p w14:paraId="09C381E9" w14:textId="1F68CC89" w:rsidR="00134447" w:rsidRPr="00B01F9E" w:rsidRDefault="00134447" w:rsidP="00636C7D">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t xml:space="preserve">Figure </w:t>
      </w:r>
      <w:r w:rsidR="00F71485" w:rsidRPr="00B01F9E">
        <w:rPr>
          <w:rFonts w:ascii="Arial" w:hAnsi="Arial" w:cs="Arial"/>
          <w:b/>
          <w:bCs/>
          <w:color w:val="009ABF" w:themeColor="text1"/>
          <w:sz w:val="20"/>
          <w:szCs w:val="20"/>
        </w:rPr>
        <w:t>1</w:t>
      </w:r>
      <w:r w:rsidR="00150CDF" w:rsidRPr="00B01F9E">
        <w:rPr>
          <w:rFonts w:ascii="Arial" w:hAnsi="Arial" w:cs="Arial"/>
          <w:b/>
          <w:bCs/>
          <w:color w:val="009ABF" w:themeColor="text1"/>
          <w:sz w:val="20"/>
          <w:szCs w:val="20"/>
        </w:rPr>
        <w:t>4</w:t>
      </w:r>
      <w:r w:rsidRPr="00B01F9E">
        <w:rPr>
          <w:rFonts w:ascii="Arial" w:hAnsi="Arial" w:cs="Arial"/>
          <w:b/>
          <w:bCs/>
          <w:color w:val="009ABF" w:themeColor="text1"/>
          <w:sz w:val="20"/>
          <w:szCs w:val="20"/>
        </w:rPr>
        <w:t>: Low Level P/F Report Showing Detailed Information by Hovering Over a Cell</w:t>
      </w:r>
    </w:p>
    <w:p w14:paraId="1B9196CF" w14:textId="4B1C9A48" w:rsidR="00037A2C" w:rsidRPr="00B01F9E" w:rsidRDefault="00F44C91" w:rsidP="00134447">
      <w:pPr>
        <w:rPr>
          <w:rFonts w:ascii="Arial" w:hAnsi="Arial" w:cs="Arial"/>
          <w:sz w:val="20"/>
          <w:szCs w:val="20"/>
        </w:rPr>
      </w:pPr>
      <w:r w:rsidRPr="00B01F9E">
        <w:rPr>
          <w:rFonts w:ascii="Arial" w:hAnsi="Arial" w:cs="Arial"/>
          <w:noProof/>
          <w:sz w:val="20"/>
          <w:szCs w:val="20"/>
        </w:rPr>
        <w:drawing>
          <wp:inline distT="0" distB="0" distL="0" distR="0" wp14:anchorId="2357A25D" wp14:editId="11845C63">
            <wp:extent cx="5943600" cy="2636520"/>
            <wp:effectExtent l="0" t="0" r="0" b="0"/>
            <wp:docPr id="1905160495"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60495" name="Graphic 1905160495"/>
                    <pic:cNvPicPr/>
                  </pic:nvPicPr>
                  <pic:blipFill>
                    <a:blip r:embed="rId50">
                      <a:extLst>
                        <a:ext uri="{96DAC541-7B7A-43D3-8B79-37D633B846F1}">
                          <asvg:svgBlip xmlns:asvg="http://schemas.microsoft.com/office/drawing/2016/SVG/main" r:embed="rId51"/>
                        </a:ext>
                      </a:extLst>
                    </a:blip>
                    <a:stretch>
                      <a:fillRect/>
                    </a:stretch>
                  </pic:blipFill>
                  <pic:spPr>
                    <a:xfrm>
                      <a:off x="0" y="0"/>
                      <a:ext cx="5943600" cy="2636520"/>
                    </a:xfrm>
                    <a:prstGeom prst="rect">
                      <a:avLst/>
                    </a:prstGeom>
                  </pic:spPr>
                </pic:pic>
              </a:graphicData>
            </a:graphic>
          </wp:inline>
        </w:drawing>
      </w:r>
    </w:p>
    <w:p w14:paraId="6808C663" w14:textId="77777777" w:rsidR="003206B9" w:rsidRPr="00B01F9E" w:rsidRDefault="003206B9">
      <w:pPr>
        <w:rPr>
          <w:rFonts w:ascii="Arial" w:hAnsi="Arial" w:cs="Arial"/>
          <w:b/>
          <w:bCs/>
          <w:color w:val="009ABF" w:themeColor="text1"/>
          <w:sz w:val="20"/>
          <w:szCs w:val="20"/>
        </w:rPr>
      </w:pPr>
      <w:r w:rsidRPr="00B01F9E">
        <w:rPr>
          <w:rFonts w:ascii="Arial" w:hAnsi="Arial" w:cs="Arial"/>
          <w:b/>
          <w:bCs/>
          <w:color w:val="009ABF" w:themeColor="text1"/>
          <w:sz w:val="20"/>
          <w:szCs w:val="20"/>
        </w:rPr>
        <w:br w:type="page"/>
      </w:r>
    </w:p>
    <w:p w14:paraId="4AB25920" w14:textId="29554ABB" w:rsidR="007E2124" w:rsidRPr="00B01F9E" w:rsidRDefault="007E2124" w:rsidP="00636C7D">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lastRenderedPageBreak/>
        <w:t xml:space="preserve">Figure </w:t>
      </w:r>
      <w:r w:rsidR="00F71485" w:rsidRPr="00B01F9E">
        <w:rPr>
          <w:rFonts w:ascii="Arial" w:hAnsi="Arial" w:cs="Arial"/>
          <w:b/>
          <w:bCs/>
          <w:color w:val="009ABF" w:themeColor="text1"/>
          <w:sz w:val="20"/>
          <w:szCs w:val="20"/>
        </w:rPr>
        <w:t>1</w:t>
      </w:r>
      <w:r w:rsidR="00150CDF" w:rsidRPr="00B01F9E">
        <w:rPr>
          <w:rFonts w:ascii="Arial" w:hAnsi="Arial" w:cs="Arial"/>
          <w:b/>
          <w:bCs/>
          <w:color w:val="009ABF" w:themeColor="text1"/>
          <w:sz w:val="20"/>
          <w:szCs w:val="20"/>
        </w:rPr>
        <w:t>5</w:t>
      </w:r>
      <w:r w:rsidRPr="00B01F9E">
        <w:rPr>
          <w:rFonts w:ascii="Arial" w:hAnsi="Arial" w:cs="Arial"/>
          <w:b/>
          <w:bCs/>
          <w:color w:val="009ABF" w:themeColor="text1"/>
          <w:sz w:val="20"/>
          <w:szCs w:val="20"/>
        </w:rPr>
        <w:t>: Close</w:t>
      </w:r>
      <w:r w:rsidR="00103892" w:rsidRPr="00B01F9E">
        <w:rPr>
          <w:rFonts w:ascii="Arial" w:hAnsi="Arial" w:cs="Arial"/>
          <w:b/>
          <w:bCs/>
          <w:color w:val="009ABF" w:themeColor="text1"/>
          <w:sz w:val="20"/>
          <w:szCs w:val="20"/>
        </w:rPr>
        <w:t>-</w:t>
      </w:r>
      <w:r w:rsidR="005579E3" w:rsidRPr="00B01F9E">
        <w:rPr>
          <w:rFonts w:ascii="Arial" w:hAnsi="Arial" w:cs="Arial"/>
          <w:b/>
          <w:bCs/>
          <w:color w:val="009ABF" w:themeColor="text1"/>
          <w:sz w:val="20"/>
          <w:szCs w:val="20"/>
        </w:rPr>
        <w:t>U</w:t>
      </w:r>
      <w:r w:rsidRPr="00B01F9E">
        <w:rPr>
          <w:rFonts w:ascii="Arial" w:hAnsi="Arial" w:cs="Arial"/>
          <w:b/>
          <w:bCs/>
          <w:color w:val="009ABF" w:themeColor="text1"/>
          <w:sz w:val="20"/>
          <w:szCs w:val="20"/>
        </w:rPr>
        <w:t xml:space="preserve">p of the Detail Provided </w:t>
      </w:r>
      <w:proofErr w:type="gramStart"/>
      <w:r w:rsidR="00C5212B" w:rsidRPr="00B01F9E">
        <w:rPr>
          <w:rFonts w:ascii="Arial" w:hAnsi="Arial" w:cs="Arial"/>
          <w:b/>
          <w:bCs/>
          <w:color w:val="009ABF" w:themeColor="text1"/>
          <w:sz w:val="20"/>
          <w:szCs w:val="20"/>
        </w:rPr>
        <w:t>F</w:t>
      </w:r>
      <w:r w:rsidRPr="00B01F9E">
        <w:rPr>
          <w:rFonts w:ascii="Arial" w:hAnsi="Arial" w:cs="Arial"/>
          <w:b/>
          <w:bCs/>
          <w:color w:val="009ABF" w:themeColor="text1"/>
          <w:sz w:val="20"/>
          <w:szCs w:val="20"/>
        </w:rPr>
        <w:t>rom</w:t>
      </w:r>
      <w:proofErr w:type="gramEnd"/>
      <w:r w:rsidRPr="00B01F9E">
        <w:rPr>
          <w:rFonts w:ascii="Arial" w:hAnsi="Arial" w:cs="Arial"/>
          <w:b/>
          <w:bCs/>
          <w:color w:val="009ABF" w:themeColor="text1"/>
          <w:sz w:val="20"/>
          <w:szCs w:val="20"/>
        </w:rPr>
        <w:t xml:space="preserve"> Low Level P/F Report by Hovering Over a Cell</w:t>
      </w:r>
    </w:p>
    <w:p w14:paraId="427585D9" w14:textId="225DBFD7" w:rsidR="00134447" w:rsidRPr="00B01F9E" w:rsidRDefault="00F44C91" w:rsidP="00300B40">
      <w:pPr>
        <w:rPr>
          <w:rFonts w:ascii="Arial" w:hAnsi="Arial" w:cs="Arial"/>
          <w:sz w:val="20"/>
          <w:szCs w:val="20"/>
        </w:rPr>
      </w:pPr>
      <w:r w:rsidRPr="00B01F9E">
        <w:rPr>
          <w:rFonts w:ascii="Arial" w:hAnsi="Arial" w:cs="Arial"/>
          <w:noProof/>
          <w:sz w:val="20"/>
          <w:szCs w:val="20"/>
        </w:rPr>
        <w:drawing>
          <wp:inline distT="0" distB="0" distL="0" distR="0" wp14:anchorId="01956BA8" wp14:editId="2075A0CE">
            <wp:extent cx="5943600" cy="2620010"/>
            <wp:effectExtent l="0" t="0" r="0" b="8890"/>
            <wp:docPr id="2051502025"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02025" name="Graphic 2051502025"/>
                    <pic:cNvPicPr/>
                  </pic:nvPicPr>
                  <pic:blipFill>
                    <a:blip r:embed="rId52">
                      <a:extLst>
                        <a:ext uri="{96DAC541-7B7A-43D3-8B79-37D633B846F1}">
                          <asvg:svgBlip xmlns:asvg="http://schemas.microsoft.com/office/drawing/2016/SVG/main" r:embed="rId53"/>
                        </a:ext>
                      </a:extLst>
                    </a:blip>
                    <a:stretch>
                      <a:fillRect/>
                    </a:stretch>
                  </pic:blipFill>
                  <pic:spPr>
                    <a:xfrm>
                      <a:off x="0" y="0"/>
                      <a:ext cx="5943600" cy="2620010"/>
                    </a:xfrm>
                    <a:prstGeom prst="rect">
                      <a:avLst/>
                    </a:prstGeom>
                  </pic:spPr>
                </pic:pic>
              </a:graphicData>
            </a:graphic>
          </wp:inline>
        </w:drawing>
      </w:r>
    </w:p>
    <w:p w14:paraId="23E2E85D" w14:textId="2EAEB6B3" w:rsidR="00A60E11" w:rsidRPr="00B01F9E" w:rsidRDefault="00A60E11" w:rsidP="00F90B02">
      <w:pPr>
        <w:spacing w:after="120"/>
        <w:rPr>
          <w:rFonts w:ascii="Arial" w:hAnsi="Arial" w:cs="Arial"/>
          <w:sz w:val="20"/>
          <w:szCs w:val="20"/>
        </w:rPr>
      </w:pPr>
      <w:r w:rsidRPr="00B01F9E">
        <w:rPr>
          <w:rFonts w:ascii="Arial" w:hAnsi="Arial" w:cs="Arial"/>
          <w:sz w:val="20"/>
          <w:szCs w:val="20"/>
        </w:rPr>
        <w:t xml:space="preserve">In Figure </w:t>
      </w:r>
      <w:r w:rsidR="00F71485" w:rsidRPr="00B01F9E">
        <w:rPr>
          <w:rFonts w:ascii="Arial" w:hAnsi="Arial" w:cs="Arial"/>
          <w:sz w:val="20"/>
          <w:szCs w:val="20"/>
        </w:rPr>
        <w:t>1</w:t>
      </w:r>
      <w:r w:rsidR="00150CDF" w:rsidRPr="00B01F9E">
        <w:rPr>
          <w:rFonts w:ascii="Arial" w:hAnsi="Arial" w:cs="Arial"/>
          <w:sz w:val="20"/>
          <w:szCs w:val="20"/>
        </w:rPr>
        <w:t>6</w:t>
      </w:r>
      <w:r w:rsidR="00C70D0B" w:rsidRPr="00B01F9E">
        <w:rPr>
          <w:rFonts w:ascii="Arial" w:hAnsi="Arial" w:cs="Arial"/>
          <w:sz w:val="20"/>
          <w:szCs w:val="20"/>
        </w:rPr>
        <w:t xml:space="preserve"> </w:t>
      </w:r>
      <w:r w:rsidRPr="00B01F9E">
        <w:rPr>
          <w:rFonts w:ascii="Arial" w:hAnsi="Arial" w:cs="Arial"/>
          <w:sz w:val="20"/>
          <w:szCs w:val="20"/>
        </w:rPr>
        <w:t xml:space="preserve">and </w:t>
      </w:r>
      <w:r w:rsidR="00F71485" w:rsidRPr="00B01F9E">
        <w:rPr>
          <w:rFonts w:ascii="Arial" w:hAnsi="Arial" w:cs="Arial"/>
          <w:sz w:val="20"/>
          <w:szCs w:val="20"/>
        </w:rPr>
        <w:t>1</w:t>
      </w:r>
      <w:r w:rsidR="00150CDF" w:rsidRPr="00B01F9E">
        <w:rPr>
          <w:rFonts w:ascii="Arial" w:hAnsi="Arial" w:cs="Arial"/>
          <w:sz w:val="20"/>
          <w:szCs w:val="20"/>
        </w:rPr>
        <w:t>7</w:t>
      </w:r>
      <w:r w:rsidRPr="00B01F9E">
        <w:rPr>
          <w:rFonts w:ascii="Arial" w:hAnsi="Arial" w:cs="Arial"/>
          <w:sz w:val="20"/>
          <w:szCs w:val="20"/>
        </w:rPr>
        <w:t xml:space="preserve">, the detail indicates the resulted test being viewed is the Glomerular Filtration Rate (GFR) performed on the Beckman Coulter </w:t>
      </w:r>
      <w:proofErr w:type="spellStart"/>
      <w:r w:rsidRPr="00B01F9E">
        <w:rPr>
          <w:rFonts w:ascii="Arial" w:hAnsi="Arial" w:cs="Arial"/>
          <w:sz w:val="20"/>
          <w:szCs w:val="20"/>
        </w:rPr>
        <w:t>DxC</w:t>
      </w:r>
      <w:proofErr w:type="spellEnd"/>
      <w:r w:rsidRPr="00B01F9E">
        <w:rPr>
          <w:rFonts w:ascii="Arial" w:hAnsi="Arial" w:cs="Arial"/>
          <w:sz w:val="20"/>
          <w:szCs w:val="20"/>
        </w:rPr>
        <w:t xml:space="preserve"> 860i</w:t>
      </w:r>
      <w:r w:rsidR="00E731CB" w:rsidRPr="00B01F9E">
        <w:rPr>
          <w:rFonts w:ascii="Arial" w:hAnsi="Arial" w:cs="Arial"/>
          <w:sz w:val="20"/>
          <w:szCs w:val="20"/>
        </w:rPr>
        <w:t>®</w:t>
      </w:r>
      <w:r w:rsidRPr="00B01F9E">
        <w:rPr>
          <w:rFonts w:ascii="Arial" w:hAnsi="Arial" w:cs="Arial"/>
          <w:sz w:val="20"/>
          <w:szCs w:val="20"/>
        </w:rPr>
        <w:t>. The Specimen Collect SNOMED was 73416001</w:t>
      </w:r>
      <w:r w:rsidR="005B5305" w:rsidRPr="00B01F9E">
        <w:rPr>
          <w:rFonts w:ascii="Arial" w:hAnsi="Arial" w:cs="Arial"/>
          <w:sz w:val="20"/>
          <w:szCs w:val="20"/>
        </w:rPr>
        <w:t xml:space="preserve"> which</w:t>
      </w:r>
      <w:r w:rsidRPr="00B01F9E">
        <w:rPr>
          <w:rFonts w:ascii="Arial" w:hAnsi="Arial" w:cs="Arial"/>
          <w:sz w:val="20"/>
          <w:szCs w:val="20"/>
        </w:rPr>
        <w:t xml:space="preserve"> was incorrect and resulted in a failed grading.</w:t>
      </w:r>
    </w:p>
    <w:p w14:paraId="52F8F108" w14:textId="6B7D5A41" w:rsidR="00A60E11" w:rsidRPr="00B01F9E" w:rsidRDefault="00A60E11" w:rsidP="00636C7D">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t>Figure 1</w:t>
      </w:r>
      <w:r w:rsidR="00150CDF" w:rsidRPr="00B01F9E">
        <w:rPr>
          <w:rFonts w:ascii="Arial" w:hAnsi="Arial" w:cs="Arial"/>
          <w:b/>
          <w:bCs/>
          <w:color w:val="009ABF" w:themeColor="text1"/>
          <w:sz w:val="20"/>
          <w:szCs w:val="20"/>
        </w:rPr>
        <w:t>6</w:t>
      </w:r>
      <w:r w:rsidRPr="00B01F9E">
        <w:rPr>
          <w:rFonts w:ascii="Arial" w:hAnsi="Arial" w:cs="Arial"/>
          <w:b/>
          <w:bCs/>
          <w:color w:val="009ABF" w:themeColor="text1"/>
          <w:sz w:val="20"/>
          <w:szCs w:val="20"/>
        </w:rPr>
        <w:t>: Low Level P/F Report Showing Detailed Information by Hovering Over a Cell</w:t>
      </w:r>
    </w:p>
    <w:p w14:paraId="1DF93D88" w14:textId="745E478F" w:rsidR="009F4971" w:rsidRPr="00B01F9E" w:rsidRDefault="007E05BE" w:rsidP="00A60E11">
      <w:pPr>
        <w:rPr>
          <w:rFonts w:ascii="Arial" w:hAnsi="Arial" w:cs="Arial"/>
          <w:sz w:val="20"/>
          <w:szCs w:val="20"/>
        </w:rPr>
      </w:pPr>
      <w:r w:rsidRPr="00B01F9E">
        <w:rPr>
          <w:rFonts w:ascii="Arial" w:hAnsi="Arial" w:cs="Arial"/>
          <w:noProof/>
          <w:sz w:val="20"/>
          <w:szCs w:val="20"/>
        </w:rPr>
        <w:drawing>
          <wp:inline distT="0" distB="0" distL="0" distR="0" wp14:anchorId="5FEC2B83" wp14:editId="479B365A">
            <wp:extent cx="5943600" cy="2520950"/>
            <wp:effectExtent l="0" t="0" r="0" b="0"/>
            <wp:docPr id="703536058"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36058" name="Graphic 703536058"/>
                    <pic:cNvPicPr/>
                  </pic:nvPicPr>
                  <pic:blipFill>
                    <a:blip r:embed="rId54">
                      <a:extLst>
                        <a:ext uri="{96DAC541-7B7A-43D3-8B79-37D633B846F1}">
                          <asvg:svgBlip xmlns:asvg="http://schemas.microsoft.com/office/drawing/2016/SVG/main" r:embed="rId55"/>
                        </a:ext>
                      </a:extLst>
                    </a:blip>
                    <a:stretch>
                      <a:fillRect/>
                    </a:stretch>
                  </pic:blipFill>
                  <pic:spPr>
                    <a:xfrm>
                      <a:off x="0" y="0"/>
                      <a:ext cx="5943600" cy="2520950"/>
                    </a:xfrm>
                    <a:prstGeom prst="rect">
                      <a:avLst/>
                    </a:prstGeom>
                  </pic:spPr>
                </pic:pic>
              </a:graphicData>
            </a:graphic>
          </wp:inline>
        </w:drawing>
      </w:r>
    </w:p>
    <w:p w14:paraId="15169D1D" w14:textId="77777777" w:rsidR="002726E3" w:rsidRPr="00B01F9E" w:rsidRDefault="002726E3">
      <w:pPr>
        <w:rPr>
          <w:rFonts w:ascii="Arial" w:hAnsi="Arial" w:cs="Arial"/>
          <w:b/>
          <w:bCs/>
          <w:color w:val="009ABF" w:themeColor="text1"/>
          <w:sz w:val="20"/>
          <w:szCs w:val="20"/>
        </w:rPr>
      </w:pPr>
      <w:r w:rsidRPr="00B01F9E">
        <w:rPr>
          <w:rFonts w:ascii="Arial" w:hAnsi="Arial" w:cs="Arial"/>
          <w:b/>
          <w:bCs/>
          <w:color w:val="009ABF" w:themeColor="text1"/>
          <w:sz w:val="20"/>
          <w:szCs w:val="20"/>
        </w:rPr>
        <w:br w:type="page"/>
      </w:r>
    </w:p>
    <w:p w14:paraId="0F85EBE3" w14:textId="2BBC5A58" w:rsidR="006001CE" w:rsidRPr="00B01F9E" w:rsidRDefault="006001CE" w:rsidP="002726E3">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lastRenderedPageBreak/>
        <w:t>Figure 1</w:t>
      </w:r>
      <w:r w:rsidR="00150CDF" w:rsidRPr="00B01F9E">
        <w:rPr>
          <w:rFonts w:ascii="Arial" w:hAnsi="Arial" w:cs="Arial"/>
          <w:b/>
          <w:bCs/>
          <w:color w:val="009ABF" w:themeColor="text1"/>
          <w:sz w:val="20"/>
          <w:szCs w:val="20"/>
        </w:rPr>
        <w:t>7</w:t>
      </w:r>
      <w:r w:rsidRPr="00B01F9E">
        <w:rPr>
          <w:rFonts w:ascii="Arial" w:hAnsi="Arial" w:cs="Arial"/>
          <w:b/>
          <w:bCs/>
          <w:color w:val="009ABF" w:themeColor="text1"/>
          <w:sz w:val="20"/>
          <w:szCs w:val="20"/>
        </w:rPr>
        <w:t xml:space="preserve">:  Detailed Information </w:t>
      </w:r>
      <w:proofErr w:type="gramStart"/>
      <w:r w:rsidR="00C5212B" w:rsidRPr="00B01F9E">
        <w:rPr>
          <w:rFonts w:ascii="Arial" w:hAnsi="Arial" w:cs="Arial"/>
          <w:b/>
          <w:bCs/>
          <w:color w:val="009ABF" w:themeColor="text1"/>
          <w:sz w:val="20"/>
          <w:szCs w:val="20"/>
        </w:rPr>
        <w:t>F</w:t>
      </w:r>
      <w:r w:rsidRPr="00B01F9E">
        <w:rPr>
          <w:rFonts w:ascii="Arial" w:hAnsi="Arial" w:cs="Arial"/>
          <w:b/>
          <w:bCs/>
          <w:color w:val="009ABF" w:themeColor="text1"/>
          <w:sz w:val="20"/>
          <w:szCs w:val="20"/>
        </w:rPr>
        <w:t>rom</w:t>
      </w:r>
      <w:proofErr w:type="gramEnd"/>
      <w:r w:rsidRPr="00B01F9E">
        <w:rPr>
          <w:rFonts w:ascii="Arial" w:hAnsi="Arial" w:cs="Arial"/>
          <w:b/>
          <w:bCs/>
          <w:color w:val="009ABF" w:themeColor="text1"/>
          <w:sz w:val="20"/>
          <w:szCs w:val="20"/>
        </w:rPr>
        <w:t xml:space="preserve"> Hovering </w:t>
      </w:r>
      <w:r w:rsidR="00060ABD" w:rsidRPr="00B01F9E">
        <w:rPr>
          <w:rFonts w:ascii="Arial" w:hAnsi="Arial" w:cs="Arial"/>
          <w:b/>
          <w:bCs/>
          <w:color w:val="009ABF" w:themeColor="text1"/>
          <w:sz w:val="20"/>
          <w:szCs w:val="20"/>
        </w:rPr>
        <w:t>O</w:t>
      </w:r>
      <w:r w:rsidRPr="00B01F9E">
        <w:rPr>
          <w:rFonts w:ascii="Arial" w:hAnsi="Arial" w:cs="Arial"/>
          <w:b/>
          <w:bCs/>
          <w:color w:val="009ABF" w:themeColor="text1"/>
          <w:sz w:val="20"/>
          <w:szCs w:val="20"/>
        </w:rPr>
        <w:t xml:space="preserve">ver Failed Cell for the Glomerular Filtration Rate (GFR) Resulted Test </w:t>
      </w:r>
    </w:p>
    <w:p w14:paraId="3688B95B" w14:textId="2254922A" w:rsidR="00A60E11" w:rsidRPr="00B01F9E" w:rsidRDefault="007E05BE" w:rsidP="00300B40">
      <w:pPr>
        <w:rPr>
          <w:rFonts w:ascii="Arial" w:hAnsi="Arial" w:cs="Arial"/>
          <w:sz w:val="20"/>
          <w:szCs w:val="20"/>
        </w:rPr>
      </w:pPr>
      <w:r w:rsidRPr="00B01F9E">
        <w:rPr>
          <w:rFonts w:ascii="Arial" w:hAnsi="Arial" w:cs="Arial"/>
          <w:noProof/>
          <w:sz w:val="20"/>
          <w:szCs w:val="20"/>
        </w:rPr>
        <w:drawing>
          <wp:inline distT="0" distB="0" distL="0" distR="0" wp14:anchorId="21781CD1" wp14:editId="3B303D9D">
            <wp:extent cx="2181225" cy="2466975"/>
            <wp:effectExtent l="0" t="0" r="9525" b="9525"/>
            <wp:docPr id="1854622355"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622355" name="Graphic 1854622355"/>
                    <pic:cNvPicPr/>
                  </pic:nvPicPr>
                  <pic:blipFill>
                    <a:blip r:embed="rId56">
                      <a:extLst>
                        <a:ext uri="{96DAC541-7B7A-43D3-8B79-37D633B846F1}">
                          <asvg:svgBlip xmlns:asvg="http://schemas.microsoft.com/office/drawing/2016/SVG/main" r:embed="rId57"/>
                        </a:ext>
                      </a:extLst>
                    </a:blip>
                    <a:stretch>
                      <a:fillRect/>
                    </a:stretch>
                  </pic:blipFill>
                  <pic:spPr>
                    <a:xfrm>
                      <a:off x="0" y="0"/>
                      <a:ext cx="2181225" cy="2466975"/>
                    </a:xfrm>
                    <a:prstGeom prst="rect">
                      <a:avLst/>
                    </a:prstGeom>
                  </pic:spPr>
                </pic:pic>
              </a:graphicData>
            </a:graphic>
          </wp:inline>
        </w:drawing>
      </w:r>
    </w:p>
    <w:p w14:paraId="15E6917E" w14:textId="75EA3212" w:rsidR="002726E3" w:rsidRPr="00B01F9E" w:rsidRDefault="001C1742" w:rsidP="00F90B02">
      <w:pPr>
        <w:spacing w:after="120"/>
        <w:rPr>
          <w:rFonts w:ascii="Arial" w:hAnsi="Arial" w:cs="Arial"/>
          <w:sz w:val="20"/>
          <w:szCs w:val="20"/>
        </w:rPr>
      </w:pPr>
      <w:r w:rsidRPr="00B01F9E">
        <w:rPr>
          <w:rFonts w:ascii="Arial" w:hAnsi="Arial" w:cs="Arial"/>
          <w:sz w:val="20"/>
          <w:szCs w:val="20"/>
        </w:rPr>
        <w:t xml:space="preserve">While this display shows this data element </w:t>
      </w:r>
      <w:r w:rsidR="00C20864" w:rsidRPr="00B01F9E">
        <w:rPr>
          <w:rFonts w:ascii="Arial" w:hAnsi="Arial" w:cs="Arial"/>
          <w:sz w:val="20"/>
          <w:szCs w:val="20"/>
        </w:rPr>
        <w:t>failed</w:t>
      </w:r>
      <w:r w:rsidRPr="00B01F9E">
        <w:rPr>
          <w:rFonts w:ascii="Arial" w:hAnsi="Arial" w:cs="Arial"/>
          <w:sz w:val="20"/>
          <w:szCs w:val="20"/>
        </w:rPr>
        <w:t xml:space="preserve">, the report shows there was a subsequent submission of the test which then passed on the same day. The laboratory would have received an emailed notice of the initial failure and </w:t>
      </w:r>
      <w:r w:rsidR="008F009A" w:rsidRPr="00B01F9E">
        <w:rPr>
          <w:rFonts w:ascii="Arial" w:hAnsi="Arial" w:cs="Arial"/>
          <w:sz w:val="20"/>
          <w:szCs w:val="20"/>
        </w:rPr>
        <w:t xml:space="preserve">would </w:t>
      </w:r>
      <w:r w:rsidRPr="00B01F9E">
        <w:rPr>
          <w:rFonts w:ascii="Arial" w:hAnsi="Arial" w:cs="Arial"/>
          <w:sz w:val="20"/>
          <w:szCs w:val="20"/>
        </w:rPr>
        <w:t>ma</w:t>
      </w:r>
      <w:r w:rsidR="008F009A" w:rsidRPr="00B01F9E">
        <w:rPr>
          <w:rFonts w:ascii="Arial" w:hAnsi="Arial" w:cs="Arial"/>
          <w:sz w:val="20"/>
          <w:szCs w:val="20"/>
        </w:rPr>
        <w:t>ke</w:t>
      </w:r>
      <w:r w:rsidRPr="00B01F9E">
        <w:rPr>
          <w:rFonts w:ascii="Arial" w:hAnsi="Arial" w:cs="Arial"/>
          <w:sz w:val="20"/>
          <w:szCs w:val="20"/>
        </w:rPr>
        <w:t xml:space="preserve"> a correction to the Specimen Collection SNOMED data element. The next submission shows the correction and a passing status</w:t>
      </w:r>
      <w:r w:rsidR="00150CDF" w:rsidRPr="00B01F9E">
        <w:rPr>
          <w:rFonts w:ascii="Arial" w:hAnsi="Arial" w:cs="Arial"/>
          <w:sz w:val="20"/>
          <w:szCs w:val="20"/>
        </w:rPr>
        <w:t xml:space="preserve"> </w:t>
      </w:r>
      <w:r w:rsidRPr="00B01F9E">
        <w:rPr>
          <w:rFonts w:ascii="Arial" w:hAnsi="Arial" w:cs="Arial"/>
          <w:sz w:val="20"/>
          <w:szCs w:val="20"/>
        </w:rPr>
        <w:t xml:space="preserve">(Figure </w:t>
      </w:r>
      <w:r w:rsidR="00F71485" w:rsidRPr="00B01F9E">
        <w:rPr>
          <w:rFonts w:ascii="Arial" w:hAnsi="Arial" w:cs="Arial"/>
          <w:sz w:val="20"/>
          <w:szCs w:val="20"/>
        </w:rPr>
        <w:t>1</w:t>
      </w:r>
      <w:r w:rsidR="00150CDF" w:rsidRPr="00B01F9E">
        <w:rPr>
          <w:rFonts w:ascii="Arial" w:hAnsi="Arial" w:cs="Arial"/>
          <w:sz w:val="20"/>
          <w:szCs w:val="20"/>
        </w:rPr>
        <w:t>8</w:t>
      </w:r>
      <w:r w:rsidRPr="00B01F9E">
        <w:rPr>
          <w:rFonts w:ascii="Arial" w:hAnsi="Arial" w:cs="Arial"/>
          <w:sz w:val="20"/>
          <w:szCs w:val="20"/>
        </w:rPr>
        <w:t xml:space="preserve"> and </w:t>
      </w:r>
      <w:r w:rsidR="00F71485" w:rsidRPr="00B01F9E">
        <w:rPr>
          <w:rFonts w:ascii="Arial" w:hAnsi="Arial" w:cs="Arial"/>
          <w:sz w:val="20"/>
          <w:szCs w:val="20"/>
        </w:rPr>
        <w:t>1</w:t>
      </w:r>
      <w:r w:rsidR="00150CDF" w:rsidRPr="00B01F9E">
        <w:rPr>
          <w:rFonts w:ascii="Arial" w:hAnsi="Arial" w:cs="Arial"/>
          <w:sz w:val="20"/>
          <w:szCs w:val="20"/>
        </w:rPr>
        <w:t>9)</w:t>
      </w:r>
      <w:r w:rsidR="00103892" w:rsidRPr="00B01F9E">
        <w:rPr>
          <w:rFonts w:ascii="Arial" w:hAnsi="Arial" w:cs="Arial"/>
          <w:sz w:val="20"/>
          <w:szCs w:val="20"/>
        </w:rPr>
        <w:t>.</w:t>
      </w:r>
    </w:p>
    <w:p w14:paraId="6130A179" w14:textId="0C5E3A13" w:rsidR="001C1742" w:rsidRPr="00B01F9E" w:rsidRDefault="001C1742" w:rsidP="00A07FF3">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t>Figure 1</w:t>
      </w:r>
      <w:r w:rsidR="00150CDF" w:rsidRPr="00B01F9E">
        <w:rPr>
          <w:rFonts w:ascii="Arial" w:hAnsi="Arial" w:cs="Arial"/>
          <w:b/>
          <w:bCs/>
          <w:color w:val="009ABF" w:themeColor="text1"/>
          <w:sz w:val="20"/>
          <w:szCs w:val="20"/>
        </w:rPr>
        <w:t>8</w:t>
      </w:r>
      <w:r w:rsidRPr="00B01F9E">
        <w:rPr>
          <w:rFonts w:ascii="Arial" w:hAnsi="Arial" w:cs="Arial"/>
          <w:b/>
          <w:bCs/>
          <w:color w:val="009ABF" w:themeColor="text1"/>
          <w:sz w:val="20"/>
          <w:szCs w:val="20"/>
        </w:rPr>
        <w:t>: Low Level P/F Report Showing Detailed Information by Hovering Over a Cell</w:t>
      </w:r>
    </w:p>
    <w:p w14:paraId="180675E1" w14:textId="60A207C6" w:rsidR="001C1742" w:rsidRPr="00B01F9E" w:rsidRDefault="001C1D03" w:rsidP="00300B40">
      <w:pPr>
        <w:rPr>
          <w:rFonts w:ascii="Arial" w:hAnsi="Arial" w:cs="Arial"/>
          <w:sz w:val="20"/>
          <w:szCs w:val="20"/>
        </w:rPr>
      </w:pPr>
      <w:r w:rsidRPr="00B01F9E">
        <w:rPr>
          <w:rFonts w:ascii="Arial" w:hAnsi="Arial" w:cs="Arial"/>
          <w:noProof/>
          <w:sz w:val="20"/>
          <w:szCs w:val="20"/>
        </w:rPr>
        <w:drawing>
          <wp:inline distT="0" distB="0" distL="0" distR="0" wp14:anchorId="0BEA195C" wp14:editId="16388FB4">
            <wp:extent cx="5943600" cy="2494280"/>
            <wp:effectExtent l="0" t="0" r="0" b="1270"/>
            <wp:docPr id="18617792"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7792" name="Graphic 18617792"/>
                    <pic:cNvPicPr/>
                  </pic:nvPicPr>
                  <pic:blipFill>
                    <a:blip r:embed="rId58">
                      <a:extLst>
                        <a:ext uri="{96DAC541-7B7A-43D3-8B79-37D633B846F1}">
                          <asvg:svgBlip xmlns:asvg="http://schemas.microsoft.com/office/drawing/2016/SVG/main" r:embed="rId59"/>
                        </a:ext>
                      </a:extLst>
                    </a:blip>
                    <a:stretch>
                      <a:fillRect/>
                    </a:stretch>
                  </pic:blipFill>
                  <pic:spPr>
                    <a:xfrm>
                      <a:off x="0" y="0"/>
                      <a:ext cx="5943600" cy="2494280"/>
                    </a:xfrm>
                    <a:prstGeom prst="rect">
                      <a:avLst/>
                    </a:prstGeom>
                  </pic:spPr>
                </pic:pic>
              </a:graphicData>
            </a:graphic>
          </wp:inline>
        </w:drawing>
      </w:r>
    </w:p>
    <w:p w14:paraId="6CCD62BB" w14:textId="77777777" w:rsidR="00ED71C6" w:rsidRPr="00B01F9E" w:rsidRDefault="00ED71C6">
      <w:pPr>
        <w:rPr>
          <w:rFonts w:ascii="Arial" w:hAnsi="Arial" w:cs="Arial"/>
          <w:b/>
          <w:bCs/>
          <w:color w:val="009ABF" w:themeColor="text1"/>
          <w:sz w:val="20"/>
          <w:szCs w:val="20"/>
        </w:rPr>
      </w:pPr>
      <w:r w:rsidRPr="00B01F9E">
        <w:rPr>
          <w:rFonts w:ascii="Arial" w:hAnsi="Arial" w:cs="Arial"/>
          <w:b/>
          <w:bCs/>
          <w:color w:val="009ABF" w:themeColor="text1"/>
          <w:sz w:val="20"/>
          <w:szCs w:val="20"/>
        </w:rPr>
        <w:br w:type="page"/>
      </w:r>
    </w:p>
    <w:p w14:paraId="5692D436" w14:textId="7286D480" w:rsidR="00834808" w:rsidRPr="00B01F9E" w:rsidRDefault="00834808" w:rsidP="00791CC7">
      <w:pPr>
        <w:spacing w:after="0"/>
        <w:rPr>
          <w:rFonts w:ascii="Arial" w:hAnsi="Arial" w:cs="Arial"/>
          <w:b/>
          <w:bCs/>
          <w:color w:val="009ABF" w:themeColor="text1"/>
          <w:sz w:val="20"/>
          <w:szCs w:val="20"/>
        </w:rPr>
      </w:pPr>
      <w:r w:rsidRPr="00B01F9E">
        <w:rPr>
          <w:rFonts w:ascii="Arial" w:hAnsi="Arial" w:cs="Arial"/>
          <w:b/>
          <w:bCs/>
          <w:color w:val="009ABF" w:themeColor="text1"/>
          <w:sz w:val="20"/>
          <w:szCs w:val="20"/>
        </w:rPr>
        <w:lastRenderedPageBreak/>
        <w:t>Figure 1</w:t>
      </w:r>
      <w:r w:rsidR="00150CDF" w:rsidRPr="00B01F9E">
        <w:rPr>
          <w:rFonts w:ascii="Arial" w:hAnsi="Arial" w:cs="Arial"/>
          <w:b/>
          <w:bCs/>
          <w:color w:val="009ABF" w:themeColor="text1"/>
          <w:sz w:val="20"/>
          <w:szCs w:val="20"/>
        </w:rPr>
        <w:t>9</w:t>
      </w:r>
      <w:r w:rsidRPr="00B01F9E">
        <w:rPr>
          <w:rFonts w:ascii="Arial" w:hAnsi="Arial" w:cs="Arial"/>
          <w:b/>
          <w:bCs/>
          <w:color w:val="009ABF" w:themeColor="text1"/>
          <w:sz w:val="20"/>
          <w:szCs w:val="20"/>
        </w:rPr>
        <w:t>: Detail</w:t>
      </w:r>
      <w:r w:rsidR="00E11443" w:rsidRPr="00B01F9E">
        <w:rPr>
          <w:rFonts w:ascii="Arial" w:hAnsi="Arial" w:cs="Arial"/>
          <w:b/>
          <w:bCs/>
          <w:color w:val="009ABF" w:themeColor="text1"/>
          <w:sz w:val="20"/>
          <w:szCs w:val="20"/>
        </w:rPr>
        <w:t>ed</w:t>
      </w:r>
      <w:r w:rsidRPr="00B01F9E">
        <w:rPr>
          <w:rFonts w:ascii="Arial" w:hAnsi="Arial" w:cs="Arial"/>
          <w:b/>
          <w:bCs/>
          <w:color w:val="009ABF" w:themeColor="text1"/>
          <w:sz w:val="20"/>
          <w:szCs w:val="20"/>
        </w:rPr>
        <w:t xml:space="preserve"> Information </w:t>
      </w:r>
      <w:proofErr w:type="gramStart"/>
      <w:r w:rsidR="00AE333D" w:rsidRPr="00B01F9E">
        <w:rPr>
          <w:rFonts w:ascii="Arial" w:hAnsi="Arial" w:cs="Arial"/>
          <w:b/>
          <w:bCs/>
          <w:color w:val="009ABF" w:themeColor="text1"/>
          <w:sz w:val="20"/>
          <w:szCs w:val="20"/>
        </w:rPr>
        <w:t>F</w:t>
      </w:r>
      <w:r w:rsidRPr="00B01F9E">
        <w:rPr>
          <w:rFonts w:ascii="Arial" w:hAnsi="Arial" w:cs="Arial"/>
          <w:b/>
          <w:bCs/>
          <w:color w:val="009ABF" w:themeColor="text1"/>
          <w:sz w:val="20"/>
          <w:szCs w:val="20"/>
        </w:rPr>
        <w:t>rom</w:t>
      </w:r>
      <w:proofErr w:type="gramEnd"/>
      <w:r w:rsidRPr="00B01F9E">
        <w:rPr>
          <w:rFonts w:ascii="Arial" w:hAnsi="Arial" w:cs="Arial"/>
          <w:b/>
          <w:bCs/>
          <w:color w:val="009ABF" w:themeColor="text1"/>
          <w:sz w:val="20"/>
          <w:szCs w:val="20"/>
        </w:rPr>
        <w:t xml:space="preserve"> Hover</w:t>
      </w:r>
      <w:r w:rsidR="00E11443" w:rsidRPr="00B01F9E">
        <w:rPr>
          <w:rFonts w:ascii="Arial" w:hAnsi="Arial" w:cs="Arial"/>
          <w:b/>
          <w:bCs/>
          <w:color w:val="009ABF" w:themeColor="text1"/>
          <w:sz w:val="20"/>
          <w:szCs w:val="20"/>
        </w:rPr>
        <w:t>ing</w:t>
      </w:r>
      <w:r w:rsidRPr="00B01F9E">
        <w:rPr>
          <w:rFonts w:ascii="Arial" w:hAnsi="Arial" w:cs="Arial"/>
          <w:b/>
          <w:bCs/>
          <w:color w:val="009ABF" w:themeColor="text1"/>
          <w:sz w:val="20"/>
          <w:szCs w:val="20"/>
        </w:rPr>
        <w:t xml:space="preserve"> </w:t>
      </w:r>
      <w:r w:rsidR="00E11443" w:rsidRPr="00B01F9E">
        <w:rPr>
          <w:rFonts w:ascii="Arial" w:hAnsi="Arial" w:cs="Arial"/>
          <w:b/>
          <w:bCs/>
          <w:color w:val="009ABF" w:themeColor="text1"/>
          <w:sz w:val="20"/>
          <w:szCs w:val="20"/>
        </w:rPr>
        <w:t>O</w:t>
      </w:r>
      <w:r w:rsidRPr="00B01F9E">
        <w:rPr>
          <w:rFonts w:ascii="Arial" w:hAnsi="Arial" w:cs="Arial"/>
          <w:b/>
          <w:bCs/>
          <w:color w:val="009ABF" w:themeColor="text1"/>
          <w:sz w:val="20"/>
          <w:szCs w:val="20"/>
        </w:rPr>
        <w:t xml:space="preserve">ver Passed Cell for the GFR Resulted Test </w:t>
      </w:r>
    </w:p>
    <w:p w14:paraId="42E45ED7" w14:textId="43111929" w:rsidR="002726E3" w:rsidRPr="00B01F9E" w:rsidRDefault="001C1D03">
      <w:pPr>
        <w:rPr>
          <w:rFonts w:ascii="Arial" w:hAnsi="Arial" w:cs="Arial"/>
          <w:sz w:val="20"/>
          <w:szCs w:val="20"/>
        </w:rPr>
      </w:pPr>
      <w:r w:rsidRPr="00B01F9E">
        <w:rPr>
          <w:rFonts w:ascii="Arial" w:hAnsi="Arial" w:cs="Arial"/>
          <w:noProof/>
          <w:sz w:val="20"/>
          <w:szCs w:val="20"/>
        </w:rPr>
        <w:drawing>
          <wp:inline distT="0" distB="0" distL="0" distR="0" wp14:anchorId="4A35914D" wp14:editId="35E48801">
            <wp:extent cx="2514600" cy="2809875"/>
            <wp:effectExtent l="0" t="0" r="0" b="9525"/>
            <wp:docPr id="324137401"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37401" name="Graphic 14"/>
                    <pic:cNvPicPr/>
                  </pic:nvPicPr>
                  <pic:blipFill>
                    <a:blip r:embed="rId60">
                      <a:extLst>
                        <a:ext uri="{96DAC541-7B7A-43D3-8B79-37D633B846F1}">
                          <asvg:svgBlip xmlns:asvg="http://schemas.microsoft.com/office/drawing/2016/SVG/main" r:embed="rId61"/>
                        </a:ext>
                      </a:extLst>
                    </a:blip>
                    <a:stretch>
                      <a:fillRect/>
                    </a:stretch>
                  </pic:blipFill>
                  <pic:spPr>
                    <a:xfrm>
                      <a:off x="0" y="0"/>
                      <a:ext cx="2514600" cy="2809875"/>
                    </a:xfrm>
                    <a:prstGeom prst="rect">
                      <a:avLst/>
                    </a:prstGeom>
                  </pic:spPr>
                </pic:pic>
              </a:graphicData>
            </a:graphic>
          </wp:inline>
        </w:drawing>
      </w:r>
    </w:p>
    <w:p w14:paraId="0BF1DECB" w14:textId="12BE8863" w:rsidR="00F30D95" w:rsidRPr="00B01F9E" w:rsidRDefault="006D2529" w:rsidP="00F90B02">
      <w:pPr>
        <w:pStyle w:val="Heading3"/>
        <w:spacing w:before="0" w:after="120"/>
        <w:rPr>
          <w:rFonts w:ascii="Arial" w:hAnsi="Arial" w:cs="Arial"/>
          <w:b/>
          <w:bCs/>
          <w:i/>
          <w:iCs/>
          <w:color w:val="009ABF" w:themeColor="text1"/>
          <w:sz w:val="20"/>
          <w:szCs w:val="20"/>
        </w:rPr>
      </w:pPr>
      <w:bookmarkStart w:id="29" w:name="_Toc177136991"/>
      <w:r w:rsidRPr="00B01F9E">
        <w:rPr>
          <w:rFonts w:ascii="Arial" w:hAnsi="Arial" w:cs="Arial"/>
          <w:b/>
          <w:bCs/>
          <w:i/>
          <w:iCs/>
          <w:color w:val="009ABF" w:themeColor="text1"/>
          <w:sz w:val="20"/>
          <w:szCs w:val="20"/>
        </w:rPr>
        <w:t xml:space="preserve">3.6.3 </w:t>
      </w:r>
      <w:r w:rsidR="00F30D95" w:rsidRPr="00B01F9E">
        <w:rPr>
          <w:rFonts w:ascii="Arial" w:hAnsi="Arial" w:cs="Arial"/>
          <w:b/>
          <w:bCs/>
          <w:i/>
          <w:iCs/>
          <w:color w:val="009ABF" w:themeColor="text1"/>
          <w:sz w:val="20"/>
          <w:szCs w:val="20"/>
        </w:rPr>
        <w:t>Future Plans for QA Analysis Reporting</w:t>
      </w:r>
      <w:bookmarkEnd w:id="29"/>
      <w:r w:rsidR="00F30D95" w:rsidRPr="00B01F9E">
        <w:rPr>
          <w:rFonts w:ascii="Arial" w:hAnsi="Arial" w:cs="Arial"/>
          <w:b/>
          <w:bCs/>
          <w:i/>
          <w:iCs/>
          <w:color w:val="009ABF" w:themeColor="text1"/>
          <w:sz w:val="20"/>
          <w:szCs w:val="20"/>
        </w:rPr>
        <w:t xml:space="preserve"> </w:t>
      </w:r>
    </w:p>
    <w:p w14:paraId="380BE207" w14:textId="77777777" w:rsidR="00EE6B4E" w:rsidRPr="00B01F9E" w:rsidRDefault="00F30D95" w:rsidP="005D4E25">
      <w:pPr>
        <w:spacing w:after="120"/>
        <w:rPr>
          <w:rFonts w:ascii="Arial" w:hAnsi="Arial" w:cs="Arial"/>
          <w:sz w:val="20"/>
          <w:szCs w:val="20"/>
        </w:rPr>
      </w:pPr>
      <w:r w:rsidRPr="00B01F9E">
        <w:rPr>
          <w:rFonts w:ascii="Arial" w:hAnsi="Arial" w:cs="Arial"/>
          <w:sz w:val="20"/>
          <w:szCs w:val="20"/>
        </w:rPr>
        <w:t xml:space="preserve">To enhance the effectiveness of the QA Program, several improvements </w:t>
      </w:r>
      <w:r w:rsidR="00EE6B4E" w:rsidRPr="00B01F9E">
        <w:rPr>
          <w:rFonts w:ascii="Arial" w:hAnsi="Arial" w:cs="Arial"/>
          <w:sz w:val="20"/>
          <w:szCs w:val="20"/>
        </w:rPr>
        <w:t xml:space="preserve">are planned for QA analysis reporting: </w:t>
      </w:r>
    </w:p>
    <w:p w14:paraId="573B8DDB" w14:textId="6470376B" w:rsidR="00EE6B4E" w:rsidRPr="00B01F9E" w:rsidRDefault="00EE6B4E" w:rsidP="005D4E25">
      <w:pPr>
        <w:spacing w:after="120"/>
        <w:rPr>
          <w:rFonts w:ascii="Arial" w:hAnsi="Arial" w:cs="Arial"/>
          <w:sz w:val="20"/>
          <w:szCs w:val="20"/>
        </w:rPr>
      </w:pPr>
      <w:r w:rsidRPr="00B01F9E">
        <w:rPr>
          <w:rFonts w:ascii="Arial" w:hAnsi="Arial" w:cs="Arial"/>
          <w:sz w:val="20"/>
          <w:szCs w:val="20"/>
        </w:rPr>
        <w:t>Scheduled QA Program Testing (Graded)</w:t>
      </w:r>
      <w:r w:rsidR="002F47A2" w:rsidRPr="00B01F9E">
        <w:rPr>
          <w:rFonts w:ascii="Arial" w:hAnsi="Arial" w:cs="Arial"/>
          <w:sz w:val="20"/>
          <w:szCs w:val="20"/>
        </w:rPr>
        <w:t>:</w:t>
      </w:r>
      <w:r w:rsidRPr="00B01F9E">
        <w:rPr>
          <w:rFonts w:ascii="Arial" w:hAnsi="Arial" w:cs="Arial"/>
          <w:sz w:val="20"/>
          <w:szCs w:val="20"/>
        </w:rPr>
        <w:t xml:space="preserve"> </w:t>
      </w:r>
    </w:p>
    <w:p w14:paraId="5BA9788B" w14:textId="77777777" w:rsidR="00EE6B4E" w:rsidRPr="00B01F9E" w:rsidRDefault="00EE6B4E" w:rsidP="00EE6B4E">
      <w:pPr>
        <w:pStyle w:val="ListParagraph"/>
        <w:numPr>
          <w:ilvl w:val="0"/>
          <w:numId w:val="99"/>
        </w:numPr>
        <w:spacing w:after="120"/>
        <w:rPr>
          <w:rFonts w:ascii="Arial" w:hAnsi="Arial" w:cs="Arial"/>
          <w:sz w:val="20"/>
          <w:szCs w:val="20"/>
        </w:rPr>
      </w:pPr>
      <w:r w:rsidRPr="00B01F9E">
        <w:rPr>
          <w:rFonts w:ascii="Arial" w:hAnsi="Arial" w:cs="Arial"/>
          <w:sz w:val="20"/>
          <w:szCs w:val="20"/>
        </w:rPr>
        <w:t xml:space="preserve">Data captured will be included in QA analysis reports </w:t>
      </w:r>
    </w:p>
    <w:p w14:paraId="30D8C6E9" w14:textId="77777777" w:rsidR="00EE6B4E" w:rsidRPr="00B01F9E" w:rsidRDefault="00EE6B4E" w:rsidP="00EE6B4E">
      <w:pPr>
        <w:pStyle w:val="ListParagraph"/>
        <w:numPr>
          <w:ilvl w:val="0"/>
          <w:numId w:val="99"/>
        </w:numPr>
        <w:spacing w:after="120"/>
        <w:rPr>
          <w:rFonts w:ascii="Arial" w:hAnsi="Arial" w:cs="Arial"/>
          <w:sz w:val="20"/>
          <w:szCs w:val="20"/>
        </w:rPr>
      </w:pPr>
      <w:r w:rsidRPr="00B01F9E">
        <w:rPr>
          <w:rFonts w:ascii="Arial" w:hAnsi="Arial" w:cs="Arial"/>
          <w:sz w:val="20"/>
          <w:szCs w:val="20"/>
        </w:rPr>
        <w:t>Laboratories will submit results on a predefined schedule</w:t>
      </w:r>
    </w:p>
    <w:p w14:paraId="6DBBEA6F" w14:textId="2F70A083" w:rsidR="00F05066" w:rsidRPr="00B01F9E" w:rsidRDefault="00907379" w:rsidP="00EE6B4E">
      <w:pPr>
        <w:pStyle w:val="ListParagraph"/>
        <w:numPr>
          <w:ilvl w:val="0"/>
          <w:numId w:val="99"/>
        </w:numPr>
        <w:spacing w:after="120"/>
        <w:rPr>
          <w:rFonts w:ascii="Arial" w:hAnsi="Arial" w:cs="Arial"/>
          <w:sz w:val="20"/>
          <w:szCs w:val="20"/>
        </w:rPr>
      </w:pPr>
      <w:r w:rsidRPr="00B01F9E">
        <w:rPr>
          <w:rFonts w:ascii="Arial" w:hAnsi="Arial" w:cs="Arial"/>
          <w:sz w:val="20"/>
          <w:szCs w:val="20"/>
        </w:rPr>
        <w:t>Users can revise their coding multiple times but only the first attempt will be considered for grading</w:t>
      </w:r>
    </w:p>
    <w:p w14:paraId="299F6142" w14:textId="0378D60F" w:rsidR="00376263" w:rsidRPr="00B01F9E" w:rsidRDefault="00176277" w:rsidP="00DF35FD">
      <w:pPr>
        <w:pStyle w:val="ListParagraph"/>
        <w:numPr>
          <w:ilvl w:val="0"/>
          <w:numId w:val="99"/>
        </w:numPr>
        <w:spacing w:after="120"/>
        <w:rPr>
          <w:rFonts w:ascii="Arial" w:hAnsi="Arial" w:cs="Arial"/>
          <w:sz w:val="20"/>
          <w:szCs w:val="20"/>
        </w:rPr>
      </w:pPr>
      <w:r w:rsidRPr="00B01F9E">
        <w:rPr>
          <w:rFonts w:ascii="Arial" w:hAnsi="Arial" w:cs="Arial"/>
          <w:sz w:val="20"/>
          <w:szCs w:val="20"/>
        </w:rPr>
        <w:t>T</w:t>
      </w:r>
      <w:r w:rsidR="00225C8E" w:rsidRPr="00B01F9E">
        <w:rPr>
          <w:rFonts w:ascii="Arial" w:hAnsi="Arial" w:cs="Arial"/>
          <w:sz w:val="20"/>
          <w:szCs w:val="20"/>
        </w:rPr>
        <w:t>he a</w:t>
      </w:r>
      <w:r w:rsidR="00376263" w:rsidRPr="00B01F9E">
        <w:rPr>
          <w:rFonts w:ascii="Arial" w:hAnsi="Arial" w:cs="Arial"/>
          <w:sz w:val="20"/>
          <w:szCs w:val="20"/>
        </w:rPr>
        <w:t>bility to view peer group performance based on the test and IVD manufacturer</w:t>
      </w:r>
      <w:r w:rsidR="00225C8E" w:rsidRPr="00B01F9E">
        <w:rPr>
          <w:rFonts w:ascii="Arial" w:hAnsi="Arial" w:cs="Arial"/>
          <w:sz w:val="20"/>
          <w:szCs w:val="20"/>
        </w:rPr>
        <w:t xml:space="preserve"> will become available</w:t>
      </w:r>
      <w:r w:rsidRPr="00B01F9E">
        <w:rPr>
          <w:rFonts w:ascii="Arial" w:hAnsi="Arial" w:cs="Arial"/>
          <w:sz w:val="20"/>
          <w:szCs w:val="20"/>
        </w:rPr>
        <w:t xml:space="preserve"> as additional laboratories join the QA Program</w:t>
      </w:r>
    </w:p>
    <w:p w14:paraId="5388B472" w14:textId="5F8181BA" w:rsidR="00F05066" w:rsidRPr="00B01F9E" w:rsidRDefault="00F05066" w:rsidP="00F05066">
      <w:pPr>
        <w:spacing w:after="120"/>
        <w:rPr>
          <w:rFonts w:ascii="Arial" w:hAnsi="Arial" w:cs="Arial"/>
          <w:sz w:val="20"/>
          <w:szCs w:val="20"/>
        </w:rPr>
      </w:pPr>
      <w:r w:rsidRPr="00B01F9E">
        <w:rPr>
          <w:rFonts w:ascii="Arial" w:hAnsi="Arial" w:cs="Arial"/>
          <w:sz w:val="20"/>
          <w:szCs w:val="20"/>
        </w:rPr>
        <w:t xml:space="preserve">Non-Scheduled Maintenance Testing (Non-Graded): </w:t>
      </w:r>
    </w:p>
    <w:p w14:paraId="54409963" w14:textId="2EE9F6FE" w:rsidR="00F05066" w:rsidRPr="00B01F9E" w:rsidRDefault="00B27974" w:rsidP="00F05066">
      <w:pPr>
        <w:pStyle w:val="ListParagraph"/>
        <w:numPr>
          <w:ilvl w:val="0"/>
          <w:numId w:val="100"/>
        </w:numPr>
        <w:spacing w:after="120"/>
        <w:rPr>
          <w:rFonts w:ascii="Arial" w:hAnsi="Arial" w:cs="Arial"/>
          <w:sz w:val="20"/>
          <w:szCs w:val="20"/>
        </w:rPr>
      </w:pPr>
      <w:r w:rsidRPr="00B01F9E">
        <w:rPr>
          <w:rFonts w:ascii="Arial" w:hAnsi="Arial" w:cs="Arial"/>
          <w:sz w:val="20"/>
          <w:szCs w:val="20"/>
        </w:rPr>
        <w:t xml:space="preserve">Conducted for updates to LIDR data elements or new method implementations </w:t>
      </w:r>
    </w:p>
    <w:p w14:paraId="7D86E84E" w14:textId="488C24CB" w:rsidR="00B27974" w:rsidRPr="00B01F9E" w:rsidRDefault="00B27974" w:rsidP="00F05066">
      <w:pPr>
        <w:pStyle w:val="ListParagraph"/>
        <w:numPr>
          <w:ilvl w:val="0"/>
          <w:numId w:val="100"/>
        </w:numPr>
        <w:spacing w:after="120"/>
        <w:rPr>
          <w:rFonts w:ascii="Arial" w:hAnsi="Arial" w:cs="Arial"/>
          <w:sz w:val="20"/>
          <w:szCs w:val="20"/>
        </w:rPr>
      </w:pPr>
      <w:r w:rsidRPr="00B01F9E">
        <w:rPr>
          <w:rFonts w:ascii="Arial" w:hAnsi="Arial" w:cs="Arial"/>
          <w:sz w:val="20"/>
          <w:szCs w:val="20"/>
        </w:rPr>
        <w:t xml:space="preserve">Results are not included in QA analysis reporting </w:t>
      </w:r>
    </w:p>
    <w:p w14:paraId="285F832E" w14:textId="0CBE4C28" w:rsidR="00B27974" w:rsidRPr="00B01F9E" w:rsidRDefault="00B27974" w:rsidP="00F05066">
      <w:pPr>
        <w:pStyle w:val="ListParagraph"/>
        <w:numPr>
          <w:ilvl w:val="0"/>
          <w:numId w:val="100"/>
        </w:numPr>
        <w:spacing w:after="120"/>
        <w:rPr>
          <w:rFonts w:ascii="Arial" w:hAnsi="Arial" w:cs="Arial"/>
          <w:sz w:val="20"/>
          <w:szCs w:val="20"/>
        </w:rPr>
      </w:pPr>
      <w:r w:rsidRPr="00B01F9E">
        <w:rPr>
          <w:rFonts w:ascii="Arial" w:hAnsi="Arial" w:cs="Arial"/>
          <w:sz w:val="20"/>
          <w:szCs w:val="20"/>
        </w:rPr>
        <w:t xml:space="preserve">Utilized during initial onboarding </w:t>
      </w:r>
    </w:p>
    <w:p w14:paraId="343930DE" w14:textId="57A0741A" w:rsidR="0028646B" w:rsidRPr="00B01F9E" w:rsidRDefault="00990280" w:rsidP="0028646B">
      <w:pPr>
        <w:spacing w:after="120"/>
        <w:rPr>
          <w:rFonts w:ascii="Arial" w:hAnsi="Arial" w:cs="Arial"/>
          <w:sz w:val="20"/>
          <w:szCs w:val="20"/>
        </w:rPr>
      </w:pPr>
      <w:r w:rsidRPr="00B01F9E">
        <w:rPr>
          <w:rFonts w:ascii="Arial" w:hAnsi="Arial" w:cs="Arial"/>
          <w:sz w:val="20"/>
          <w:szCs w:val="20"/>
        </w:rPr>
        <w:t xml:space="preserve">This </w:t>
      </w:r>
      <w:r w:rsidR="0028646B" w:rsidRPr="00B01F9E">
        <w:rPr>
          <w:rFonts w:ascii="Arial" w:hAnsi="Arial" w:cs="Arial"/>
          <w:sz w:val="20"/>
          <w:szCs w:val="20"/>
        </w:rPr>
        <w:t xml:space="preserve">offers several benefits to laboratories: </w:t>
      </w:r>
    </w:p>
    <w:p w14:paraId="11147803" w14:textId="77777777" w:rsidR="0028646B" w:rsidRPr="00B01F9E" w:rsidRDefault="0028646B" w:rsidP="0028646B">
      <w:pPr>
        <w:pStyle w:val="ListParagraph"/>
        <w:numPr>
          <w:ilvl w:val="0"/>
          <w:numId w:val="98"/>
        </w:numPr>
        <w:spacing w:after="120"/>
        <w:rPr>
          <w:rFonts w:ascii="Arial" w:hAnsi="Arial" w:cs="Arial"/>
          <w:b/>
          <w:bCs/>
          <w:sz w:val="20"/>
          <w:szCs w:val="20"/>
        </w:rPr>
      </w:pPr>
      <w:r w:rsidRPr="00B01F9E">
        <w:rPr>
          <w:rFonts w:ascii="Arial" w:hAnsi="Arial" w:cs="Arial"/>
          <w:b/>
          <w:bCs/>
          <w:sz w:val="20"/>
          <w:szCs w:val="20"/>
        </w:rPr>
        <w:t>Improved Quality:</w:t>
      </w:r>
      <w:r w:rsidRPr="00B01F9E">
        <w:rPr>
          <w:rFonts w:ascii="Arial" w:hAnsi="Arial" w:cs="Arial"/>
          <w:sz w:val="20"/>
          <w:szCs w:val="20"/>
        </w:rPr>
        <w:t xml:space="preserve"> Identification of areas for improvement in LIDR encoding and error prevention</w:t>
      </w:r>
    </w:p>
    <w:p w14:paraId="594CC9E1" w14:textId="77777777" w:rsidR="0028646B" w:rsidRPr="00B01F9E" w:rsidRDefault="0028646B" w:rsidP="0028646B">
      <w:pPr>
        <w:pStyle w:val="ListParagraph"/>
        <w:numPr>
          <w:ilvl w:val="0"/>
          <w:numId w:val="98"/>
        </w:numPr>
        <w:spacing w:after="120"/>
        <w:rPr>
          <w:rFonts w:ascii="Arial" w:hAnsi="Arial" w:cs="Arial"/>
          <w:sz w:val="20"/>
          <w:szCs w:val="20"/>
        </w:rPr>
      </w:pPr>
      <w:r w:rsidRPr="00B01F9E">
        <w:rPr>
          <w:rFonts w:ascii="Arial" w:hAnsi="Arial" w:cs="Arial"/>
          <w:b/>
          <w:bCs/>
          <w:sz w:val="20"/>
          <w:szCs w:val="20"/>
        </w:rPr>
        <w:t xml:space="preserve">Enhanced Compliance: </w:t>
      </w:r>
      <w:r w:rsidRPr="00B01F9E">
        <w:rPr>
          <w:rFonts w:ascii="Arial" w:hAnsi="Arial" w:cs="Arial"/>
          <w:sz w:val="20"/>
          <w:szCs w:val="20"/>
        </w:rPr>
        <w:t>Adherence to regulatory requirements through data-driven insights</w:t>
      </w:r>
    </w:p>
    <w:p w14:paraId="71E99ED1" w14:textId="77777777" w:rsidR="0028646B" w:rsidRPr="00B01F9E" w:rsidRDefault="0028646B" w:rsidP="0028646B">
      <w:pPr>
        <w:pStyle w:val="ListParagraph"/>
        <w:numPr>
          <w:ilvl w:val="0"/>
          <w:numId w:val="98"/>
        </w:numPr>
        <w:spacing w:after="120"/>
        <w:rPr>
          <w:rFonts w:ascii="Arial" w:hAnsi="Arial" w:cs="Arial"/>
          <w:sz w:val="20"/>
          <w:szCs w:val="20"/>
        </w:rPr>
      </w:pPr>
      <w:r w:rsidRPr="00B01F9E">
        <w:rPr>
          <w:rFonts w:ascii="Arial" w:hAnsi="Arial" w:cs="Arial"/>
          <w:b/>
          <w:bCs/>
          <w:sz w:val="20"/>
          <w:szCs w:val="20"/>
        </w:rPr>
        <w:t xml:space="preserve">Benchmarking: </w:t>
      </w:r>
      <w:r w:rsidRPr="00B01F9E">
        <w:rPr>
          <w:rFonts w:ascii="Arial" w:hAnsi="Arial" w:cs="Arial"/>
          <w:sz w:val="20"/>
          <w:szCs w:val="20"/>
        </w:rPr>
        <w:t>Comparison of performance against peer groups and industry standards</w:t>
      </w:r>
    </w:p>
    <w:p w14:paraId="1E0DC577" w14:textId="00826CAA" w:rsidR="00923A23" w:rsidRPr="00B01F9E" w:rsidRDefault="0028646B" w:rsidP="002A2AB5">
      <w:pPr>
        <w:pStyle w:val="ListParagraph"/>
        <w:numPr>
          <w:ilvl w:val="0"/>
          <w:numId w:val="98"/>
        </w:numPr>
        <w:spacing w:after="120"/>
        <w:rPr>
          <w:rFonts w:ascii="Arial" w:hAnsi="Arial" w:cs="Arial"/>
          <w:sz w:val="20"/>
          <w:szCs w:val="20"/>
        </w:rPr>
      </w:pPr>
      <w:r w:rsidRPr="00B01F9E">
        <w:rPr>
          <w:rFonts w:ascii="Arial" w:hAnsi="Arial" w:cs="Arial"/>
          <w:b/>
          <w:bCs/>
          <w:sz w:val="20"/>
          <w:szCs w:val="20"/>
        </w:rPr>
        <w:t xml:space="preserve">Data-Driven Decision Making: </w:t>
      </w:r>
      <w:r w:rsidRPr="00B01F9E">
        <w:rPr>
          <w:rFonts w:ascii="Arial" w:hAnsi="Arial" w:cs="Arial"/>
          <w:sz w:val="20"/>
          <w:szCs w:val="20"/>
        </w:rPr>
        <w:t>Informed decision-making based on quantitative data</w:t>
      </w:r>
    </w:p>
    <w:p w14:paraId="28530180" w14:textId="77777777" w:rsidR="00BA6E74" w:rsidRPr="00B01F9E" w:rsidRDefault="00BA6E74" w:rsidP="00B27974">
      <w:pPr>
        <w:spacing w:after="120"/>
        <w:rPr>
          <w:rFonts w:ascii="Arial" w:hAnsi="Arial" w:cs="Arial"/>
          <w:b/>
          <w:bCs/>
          <w:sz w:val="20"/>
          <w:szCs w:val="20"/>
        </w:rPr>
      </w:pPr>
    </w:p>
    <w:p w14:paraId="6A61F90D" w14:textId="4EB8535C" w:rsidR="00B27974" w:rsidRPr="00B01F9E" w:rsidRDefault="00D05E02" w:rsidP="00B27974">
      <w:pPr>
        <w:spacing w:after="120"/>
        <w:rPr>
          <w:rFonts w:ascii="Arial" w:hAnsi="Arial" w:cs="Arial"/>
          <w:b/>
          <w:bCs/>
          <w:sz w:val="20"/>
          <w:szCs w:val="20"/>
        </w:rPr>
      </w:pPr>
      <w:r w:rsidRPr="00B01F9E">
        <w:rPr>
          <w:rFonts w:ascii="Arial" w:hAnsi="Arial" w:cs="Arial"/>
          <w:b/>
          <w:bCs/>
          <w:sz w:val="20"/>
          <w:szCs w:val="20"/>
        </w:rPr>
        <w:lastRenderedPageBreak/>
        <w:t xml:space="preserve">QA Analysis Report Access: </w:t>
      </w:r>
    </w:p>
    <w:p w14:paraId="4C15E340" w14:textId="2FB0F6A5" w:rsidR="00EB7CC4" w:rsidRPr="00B01F9E" w:rsidRDefault="00EB7CC4" w:rsidP="00EB7CC4">
      <w:pPr>
        <w:spacing w:after="120"/>
        <w:rPr>
          <w:rFonts w:ascii="Arial" w:hAnsi="Arial" w:cs="Arial"/>
          <w:sz w:val="20"/>
          <w:szCs w:val="20"/>
        </w:rPr>
      </w:pPr>
      <w:r w:rsidRPr="00B01F9E">
        <w:rPr>
          <w:rFonts w:ascii="Arial" w:hAnsi="Arial" w:cs="Arial"/>
          <w:sz w:val="20"/>
          <w:szCs w:val="20"/>
        </w:rPr>
        <w:t>In Year 2, reports became available via an interactive web portal. Moving forward, the CAP plans to:</w:t>
      </w:r>
    </w:p>
    <w:p w14:paraId="7EBBF054" w14:textId="6A62B3DA" w:rsidR="00EB7CC4" w:rsidRPr="00B01F9E" w:rsidRDefault="00EB7CC4" w:rsidP="00EB7CC4">
      <w:pPr>
        <w:pStyle w:val="ListParagraph"/>
        <w:numPr>
          <w:ilvl w:val="0"/>
          <w:numId w:val="101"/>
        </w:numPr>
        <w:spacing w:after="120"/>
        <w:rPr>
          <w:rFonts w:ascii="Arial" w:hAnsi="Arial" w:cs="Arial"/>
          <w:sz w:val="20"/>
          <w:szCs w:val="20"/>
        </w:rPr>
      </w:pPr>
      <w:r w:rsidRPr="00B01F9E">
        <w:rPr>
          <w:rFonts w:ascii="Arial" w:hAnsi="Arial" w:cs="Arial"/>
          <w:sz w:val="20"/>
          <w:szCs w:val="20"/>
        </w:rPr>
        <w:t>Notify laboratories when Tableau reports are available online. This will enhance engagement and ensure timely access to critical data.</w:t>
      </w:r>
    </w:p>
    <w:p w14:paraId="0AFFBDCE" w14:textId="48D4059B" w:rsidR="00EB7CC4" w:rsidRPr="00B01F9E" w:rsidRDefault="00EB7CC4" w:rsidP="00EB7CC4">
      <w:pPr>
        <w:pStyle w:val="ListParagraph"/>
        <w:numPr>
          <w:ilvl w:val="0"/>
          <w:numId w:val="101"/>
        </w:numPr>
        <w:spacing w:after="120"/>
        <w:rPr>
          <w:rFonts w:ascii="Arial" w:hAnsi="Arial" w:cs="Arial"/>
          <w:sz w:val="20"/>
          <w:szCs w:val="20"/>
        </w:rPr>
      </w:pPr>
      <w:r w:rsidRPr="00B01F9E">
        <w:rPr>
          <w:rFonts w:ascii="Arial" w:hAnsi="Arial" w:cs="Arial"/>
          <w:sz w:val="20"/>
          <w:szCs w:val="20"/>
        </w:rPr>
        <w:t>Tailor notifications based on specific submitted results. This will provide a more personalized and efficient notification system.</w:t>
      </w:r>
    </w:p>
    <w:p w14:paraId="4433D1E2" w14:textId="0D53C6EC" w:rsidR="00CD620B" w:rsidRPr="00B01F9E" w:rsidRDefault="00EB7CC4" w:rsidP="00F05066">
      <w:pPr>
        <w:spacing w:after="120"/>
        <w:rPr>
          <w:rFonts w:ascii="Arial" w:hAnsi="Arial" w:cs="Arial"/>
          <w:sz w:val="20"/>
          <w:szCs w:val="20"/>
        </w:rPr>
      </w:pPr>
      <w:r w:rsidRPr="00B01F9E">
        <w:rPr>
          <w:rFonts w:ascii="Arial" w:hAnsi="Arial" w:cs="Arial"/>
          <w:sz w:val="20"/>
          <w:szCs w:val="20"/>
        </w:rPr>
        <w:t>These enhancements are designed to streamline the QA Program and improve the overall user experience through timely and relevant updates.</w:t>
      </w:r>
    </w:p>
    <w:p w14:paraId="239225CB" w14:textId="17C4ABE6" w:rsidR="007B6172" w:rsidRPr="00B01F9E" w:rsidRDefault="005D3D26" w:rsidP="005D4E25">
      <w:pPr>
        <w:pStyle w:val="Heading2"/>
        <w:spacing w:before="0" w:after="120"/>
        <w:rPr>
          <w:rFonts w:ascii="Arial" w:hAnsi="Arial" w:cs="Arial"/>
          <w:b/>
          <w:bCs/>
          <w:color w:val="009BBF"/>
          <w:sz w:val="20"/>
          <w:szCs w:val="20"/>
        </w:rPr>
      </w:pPr>
      <w:bookmarkStart w:id="30" w:name="_3.7_Gap_Analysis"/>
      <w:bookmarkStart w:id="31" w:name="_Toc177136992"/>
      <w:bookmarkEnd w:id="30"/>
      <w:r w:rsidRPr="00B01F9E">
        <w:rPr>
          <w:rFonts w:ascii="Arial" w:hAnsi="Arial" w:cs="Arial"/>
          <w:b/>
          <w:bCs/>
          <w:color w:val="009BBF"/>
          <w:sz w:val="20"/>
          <w:szCs w:val="20"/>
        </w:rPr>
        <w:t>3</w:t>
      </w:r>
      <w:r w:rsidR="00546F1D" w:rsidRPr="00B01F9E">
        <w:rPr>
          <w:rFonts w:ascii="Arial" w:hAnsi="Arial" w:cs="Arial"/>
          <w:b/>
          <w:bCs/>
          <w:color w:val="009BBF"/>
          <w:sz w:val="20"/>
          <w:szCs w:val="20"/>
        </w:rPr>
        <w:t>.7 Gap Analysis</w:t>
      </w:r>
      <w:bookmarkEnd w:id="31"/>
    </w:p>
    <w:p w14:paraId="33F43AFA" w14:textId="1BBDDC69" w:rsidR="004C1CD3" w:rsidRPr="00B01F9E" w:rsidRDefault="004C1CD3" w:rsidP="3ADB18B8">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The proposed QA Program monitors the appropriate LIDR coding of laboratory tests. Laboratories review and submit a LIDR Test Compendium Report to the quality organization to analyze correct test coding as compared to LIDR. Another component of the QA Program uses an HL7 interface to transmit encoded laboratory test results from the information system of a laboratory to the quality organization, using appropriate LIDR elements. These interfaced test results represent the same tests utilized for patient testing. The quality organization parses the message and then evaluates the appropriate placement of the codes within the HL7 structure, as well as the correct test coding as compared to LIDR. </w:t>
      </w:r>
    </w:p>
    <w:p w14:paraId="62E093A2" w14:textId="5315C71A" w:rsidR="004C1CD3" w:rsidRPr="00B01F9E" w:rsidRDefault="004C1CD3" w:rsidP="005D4E25">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To determine the design feasibility and identify potential challenges, initial testing involved manual analysis of the coded HL7 result messages. These findings were reported back to the </w:t>
      </w:r>
      <w:bookmarkStart w:id="32" w:name="_Int_XBq2InBX"/>
      <w:proofErr w:type="gramStart"/>
      <w:r w:rsidRPr="00B01F9E">
        <w:rPr>
          <w:rFonts w:ascii="Arial" w:eastAsia="Calibri" w:hAnsi="Arial" w:cs="Arial"/>
          <w:kern w:val="2"/>
          <w:sz w:val="20"/>
          <w:szCs w:val="20"/>
          <w14:ligatures w14:val="standardContextual"/>
        </w:rPr>
        <w:t>Duke</w:t>
      </w:r>
      <w:bookmarkEnd w:id="32"/>
      <w:proofErr w:type="gramEnd"/>
      <w:r w:rsidRPr="00B01F9E">
        <w:rPr>
          <w:rFonts w:ascii="Arial" w:eastAsia="Calibri" w:hAnsi="Arial" w:cs="Arial"/>
          <w:kern w:val="2"/>
          <w:sz w:val="20"/>
          <w:szCs w:val="20"/>
          <w14:ligatures w14:val="standardContextual"/>
        </w:rPr>
        <w:t xml:space="preserve"> analysts, who then amended any inaccurate codes and ensured they were sent in the correct HL7 message segment. Once it was determined that the simulated LIDR, the LIS test build, and the interfaces were stable, the team completed full round testing efforts utilizing a test </w:t>
      </w:r>
      <w:r w:rsidR="00F21579" w:rsidRPr="00B01F9E">
        <w:rPr>
          <w:rFonts w:ascii="Arial" w:eastAsia="Calibri" w:hAnsi="Arial" w:cs="Arial"/>
          <w:kern w:val="2"/>
          <w:sz w:val="20"/>
          <w:szCs w:val="20"/>
          <w14:ligatures w14:val="standardContextual"/>
        </w:rPr>
        <w:t>plan</w:t>
      </w:r>
      <w:r w:rsidRPr="00B01F9E">
        <w:rPr>
          <w:rFonts w:ascii="Arial" w:eastAsia="Calibri" w:hAnsi="Arial" w:cs="Arial"/>
          <w:kern w:val="2"/>
          <w:sz w:val="20"/>
          <w:szCs w:val="20"/>
          <w14:ligatures w14:val="standardContextual"/>
        </w:rPr>
        <w:t xml:space="preserve">. The test </w:t>
      </w:r>
      <w:r w:rsidR="00EE5CA0" w:rsidRPr="00B01F9E">
        <w:rPr>
          <w:rFonts w:ascii="Arial" w:eastAsia="Calibri" w:hAnsi="Arial" w:cs="Arial"/>
          <w:kern w:val="2"/>
          <w:sz w:val="20"/>
          <w:szCs w:val="20"/>
          <w14:ligatures w14:val="standardContextual"/>
        </w:rPr>
        <w:t>plan</w:t>
      </w:r>
      <w:r w:rsidRPr="00B01F9E">
        <w:rPr>
          <w:rFonts w:ascii="Arial" w:eastAsia="Calibri" w:hAnsi="Arial" w:cs="Arial"/>
          <w:kern w:val="2"/>
          <w:sz w:val="20"/>
          <w:szCs w:val="20"/>
          <w14:ligatures w14:val="standardContextual"/>
        </w:rPr>
        <w:t xml:space="preserve"> included the steps for performing both the Instance Error Check and the </w:t>
      </w:r>
      <w:r w:rsidR="00A63EA0" w:rsidRPr="00B01F9E">
        <w:rPr>
          <w:rFonts w:ascii="Arial" w:eastAsia="Calibri" w:hAnsi="Arial" w:cs="Arial"/>
          <w:kern w:val="2"/>
          <w:sz w:val="20"/>
          <w:szCs w:val="20"/>
          <w14:ligatures w14:val="standardContextual"/>
        </w:rPr>
        <w:t xml:space="preserve">LIDR </w:t>
      </w:r>
      <w:r w:rsidRPr="00B01F9E">
        <w:rPr>
          <w:rFonts w:ascii="Arial" w:eastAsia="Calibri" w:hAnsi="Arial" w:cs="Arial"/>
          <w:kern w:val="2"/>
          <w:sz w:val="20"/>
          <w:szCs w:val="20"/>
          <w14:ligatures w14:val="standardContextual"/>
        </w:rPr>
        <w:t xml:space="preserve">Test Compendium Error Check along with automated feedback and analysis from the CAP. </w:t>
      </w:r>
      <w:r w:rsidR="00EE5CA0" w:rsidRPr="00B01F9E">
        <w:rPr>
          <w:rFonts w:ascii="Arial" w:eastAsia="Calibri" w:hAnsi="Arial" w:cs="Arial"/>
          <w:kern w:val="2"/>
          <w:sz w:val="20"/>
          <w:szCs w:val="20"/>
          <w14:ligatures w14:val="standardContextual"/>
        </w:rPr>
        <w:t xml:space="preserve">Please refer to </w:t>
      </w:r>
      <w:r w:rsidR="002C4374" w:rsidRPr="00B01F9E">
        <w:rPr>
          <w:rFonts w:ascii="Arial" w:eastAsia="Calibri" w:hAnsi="Arial" w:cs="Arial"/>
          <w:kern w:val="2"/>
          <w:sz w:val="20"/>
          <w:szCs w:val="20"/>
          <w14:ligatures w14:val="standardContextual"/>
        </w:rPr>
        <w:t>S</w:t>
      </w:r>
      <w:r w:rsidR="00EE5CA0" w:rsidRPr="00B01F9E">
        <w:rPr>
          <w:rFonts w:ascii="Arial" w:eastAsia="Calibri" w:hAnsi="Arial" w:cs="Arial"/>
          <w:kern w:val="2"/>
          <w:sz w:val="20"/>
          <w:szCs w:val="20"/>
          <w14:ligatures w14:val="standardContextual"/>
        </w:rPr>
        <w:t>ection</w:t>
      </w:r>
      <w:r w:rsidR="002C4374" w:rsidRPr="00B01F9E">
        <w:rPr>
          <w:rFonts w:ascii="Arial" w:eastAsia="Calibri" w:hAnsi="Arial" w:cs="Arial"/>
          <w:kern w:val="2"/>
          <w:sz w:val="20"/>
          <w:szCs w:val="20"/>
          <w14:ligatures w14:val="standardContextual"/>
        </w:rPr>
        <w:t xml:space="preserve"> 7.3.1</w:t>
      </w:r>
      <w:r w:rsidR="00EE5CA0" w:rsidRPr="00B01F9E">
        <w:rPr>
          <w:rFonts w:ascii="Arial" w:eastAsia="Calibri" w:hAnsi="Arial" w:cs="Arial"/>
          <w:kern w:val="2"/>
          <w:sz w:val="20"/>
          <w:szCs w:val="20"/>
          <w14:ligatures w14:val="standardContextual"/>
        </w:rPr>
        <w:t xml:space="preserve"> to access both the blank and </w:t>
      </w:r>
      <w:r w:rsidR="00215AC8" w:rsidRPr="00B01F9E">
        <w:rPr>
          <w:rFonts w:ascii="Arial" w:eastAsia="Calibri" w:hAnsi="Arial" w:cs="Arial"/>
          <w:kern w:val="2"/>
          <w:sz w:val="20"/>
          <w:szCs w:val="20"/>
          <w14:ligatures w14:val="standardContextual"/>
        </w:rPr>
        <w:t>completed</w:t>
      </w:r>
      <w:r w:rsidR="00EE5CA0" w:rsidRPr="00B01F9E">
        <w:rPr>
          <w:rFonts w:ascii="Arial" w:eastAsia="Calibri" w:hAnsi="Arial" w:cs="Arial"/>
          <w:kern w:val="2"/>
          <w:sz w:val="20"/>
          <w:szCs w:val="20"/>
          <w14:ligatures w14:val="standardContextual"/>
        </w:rPr>
        <w:t xml:space="preserve"> versions of the POC test plan. </w:t>
      </w:r>
      <w:r w:rsidRPr="00B01F9E">
        <w:rPr>
          <w:rFonts w:ascii="Arial" w:eastAsia="Calibri" w:hAnsi="Arial" w:cs="Arial"/>
          <w:kern w:val="2"/>
          <w:sz w:val="20"/>
          <w:szCs w:val="20"/>
          <w14:ligatures w14:val="standardContextual"/>
        </w:rPr>
        <w:t xml:space="preserve">The testing was documented to track the pass and failure status of various </w:t>
      </w:r>
      <w:r w:rsidR="00072966" w:rsidRPr="00B01F9E">
        <w:rPr>
          <w:rFonts w:ascii="Arial" w:eastAsia="Calibri" w:hAnsi="Arial" w:cs="Arial"/>
          <w:kern w:val="2"/>
          <w:sz w:val="20"/>
          <w:szCs w:val="20"/>
          <w14:ligatures w14:val="standardContextual"/>
        </w:rPr>
        <w:t>steps,</w:t>
      </w:r>
      <w:r w:rsidRPr="00B01F9E">
        <w:rPr>
          <w:rFonts w:ascii="Arial" w:eastAsia="Calibri" w:hAnsi="Arial" w:cs="Arial"/>
          <w:kern w:val="2"/>
          <w:sz w:val="20"/>
          <w:szCs w:val="20"/>
          <w14:ligatures w14:val="standardContextual"/>
        </w:rPr>
        <w:t xml:space="preserve"> and any issues were compiled and monitored. In addition, the interface messages were captured and stored within the document along with the email analysis responses from the CAP. </w:t>
      </w:r>
    </w:p>
    <w:p w14:paraId="37ECC56C" w14:textId="7EE9B037" w:rsidR="003822EB" w:rsidRPr="00B01F9E" w:rsidRDefault="004C1CD3" w:rsidP="005D4E25">
      <w:pPr>
        <w:spacing w:after="120"/>
        <w:rPr>
          <w:rFonts w:ascii="Arial" w:hAnsi="Arial" w:cs="Arial"/>
          <w:sz w:val="20"/>
          <w:szCs w:val="20"/>
        </w:rPr>
      </w:pPr>
      <w:r w:rsidRPr="00B01F9E">
        <w:rPr>
          <w:rFonts w:ascii="Arial" w:hAnsi="Arial" w:cs="Arial"/>
          <w:b/>
          <w:sz w:val="20"/>
          <w:szCs w:val="20"/>
        </w:rPr>
        <w:t xml:space="preserve">Identified </w:t>
      </w:r>
      <w:r w:rsidR="00EB5F49" w:rsidRPr="00B01F9E">
        <w:rPr>
          <w:rFonts w:ascii="Arial" w:hAnsi="Arial" w:cs="Arial"/>
          <w:b/>
          <w:sz w:val="20"/>
          <w:szCs w:val="20"/>
        </w:rPr>
        <w:t>G</w:t>
      </w:r>
      <w:r w:rsidRPr="00B01F9E">
        <w:rPr>
          <w:rFonts w:ascii="Arial" w:hAnsi="Arial" w:cs="Arial"/>
          <w:b/>
          <w:sz w:val="20"/>
          <w:szCs w:val="20"/>
        </w:rPr>
        <w:t xml:space="preserve">aps: </w:t>
      </w:r>
      <w:r w:rsidRPr="00B01F9E">
        <w:rPr>
          <w:rFonts w:ascii="Arial" w:hAnsi="Arial" w:cs="Arial"/>
          <w:sz w:val="20"/>
          <w:szCs w:val="20"/>
        </w:rPr>
        <w:t xml:space="preserve">The testing process facilitated the identification of gaps that required a workaround or could not be resolved for the POC. A summary of the gaps and their impact are represented in Table </w:t>
      </w:r>
      <w:r w:rsidR="00E54936" w:rsidRPr="00B01F9E">
        <w:rPr>
          <w:rFonts w:ascii="Arial" w:hAnsi="Arial" w:cs="Arial"/>
          <w:sz w:val="20"/>
          <w:szCs w:val="20"/>
        </w:rPr>
        <w:t>8</w:t>
      </w:r>
      <w:r w:rsidR="00EE5CA0" w:rsidRPr="00B01F9E">
        <w:rPr>
          <w:rFonts w:ascii="Arial" w:hAnsi="Arial" w:cs="Arial"/>
          <w:sz w:val="20"/>
          <w:szCs w:val="20"/>
        </w:rPr>
        <w:t xml:space="preserve">. Note: The Table </w:t>
      </w:r>
      <w:r w:rsidR="00E54936" w:rsidRPr="00B01F9E">
        <w:rPr>
          <w:rFonts w:ascii="Arial" w:hAnsi="Arial" w:cs="Arial"/>
          <w:sz w:val="20"/>
          <w:szCs w:val="20"/>
        </w:rPr>
        <w:t>8</w:t>
      </w:r>
      <w:r w:rsidR="00EE5CA0" w:rsidRPr="00B01F9E">
        <w:rPr>
          <w:rFonts w:ascii="Arial" w:hAnsi="Arial" w:cs="Arial"/>
          <w:sz w:val="20"/>
          <w:szCs w:val="20"/>
        </w:rPr>
        <w:t xml:space="preserve"> gaps are hyperlinked to their corresponding sections for easy navigation</w:t>
      </w:r>
      <w:r w:rsidRPr="00B01F9E">
        <w:rPr>
          <w:rFonts w:ascii="Arial" w:hAnsi="Arial" w:cs="Arial"/>
          <w:sz w:val="20"/>
          <w:szCs w:val="20"/>
        </w:rPr>
        <w:t>.</w:t>
      </w:r>
      <w:r w:rsidR="003822EB" w:rsidRPr="00B01F9E">
        <w:rPr>
          <w:rFonts w:ascii="Arial" w:hAnsi="Arial" w:cs="Arial"/>
          <w:sz w:val="20"/>
          <w:szCs w:val="20"/>
        </w:rPr>
        <w:t xml:space="preserve"> </w:t>
      </w:r>
    </w:p>
    <w:p w14:paraId="2A1251F8" w14:textId="77777777" w:rsidR="00B5508A" w:rsidRPr="00B01F9E" w:rsidRDefault="00B5508A">
      <w:pPr>
        <w:rPr>
          <w:rFonts w:ascii="Arial" w:eastAsia="Yu Gothic Light" w:hAnsi="Arial" w:cs="Arial"/>
          <w:b/>
          <w:bCs/>
          <w:color w:val="009BBF"/>
          <w:kern w:val="2"/>
          <w:sz w:val="20"/>
          <w:szCs w:val="20"/>
          <w14:ligatures w14:val="standardContextual"/>
        </w:rPr>
      </w:pPr>
      <w:r w:rsidRPr="00B01F9E">
        <w:rPr>
          <w:rFonts w:ascii="Arial" w:eastAsia="Yu Gothic Light" w:hAnsi="Arial" w:cs="Arial"/>
          <w:b/>
          <w:bCs/>
          <w:color w:val="009BBF"/>
          <w:kern w:val="2"/>
          <w:sz w:val="20"/>
          <w:szCs w:val="20"/>
          <w14:ligatures w14:val="standardContextual"/>
        </w:rPr>
        <w:br w:type="page"/>
      </w:r>
    </w:p>
    <w:p w14:paraId="1A3AD511" w14:textId="4609CEB7" w:rsidR="004C1CD3" w:rsidRPr="00B01F9E" w:rsidRDefault="004C1CD3" w:rsidP="005D4E25">
      <w:pPr>
        <w:pStyle w:val="Heading5"/>
        <w:spacing w:before="0"/>
        <w:rPr>
          <w:rFonts w:ascii="Arial" w:hAnsi="Arial" w:cs="Arial"/>
          <w:b/>
          <w:bCs/>
          <w:color w:val="009ABF" w:themeColor="text1"/>
          <w:sz w:val="20"/>
          <w:szCs w:val="20"/>
        </w:rPr>
      </w:pPr>
      <w:r w:rsidRPr="00B01F9E">
        <w:rPr>
          <w:rFonts w:ascii="Arial" w:hAnsi="Arial" w:cs="Arial"/>
          <w:b/>
          <w:bCs/>
          <w:color w:val="009ABF" w:themeColor="text1"/>
          <w:sz w:val="20"/>
          <w:szCs w:val="20"/>
        </w:rPr>
        <w:lastRenderedPageBreak/>
        <w:t xml:space="preserve">Table </w:t>
      </w:r>
      <w:r w:rsidR="005D3AB3" w:rsidRPr="00B01F9E">
        <w:rPr>
          <w:rFonts w:ascii="Arial" w:hAnsi="Arial" w:cs="Arial"/>
          <w:b/>
          <w:bCs/>
          <w:color w:val="009ABF" w:themeColor="text1"/>
          <w:sz w:val="20"/>
          <w:szCs w:val="20"/>
        </w:rPr>
        <w:t>8</w:t>
      </w:r>
      <w:r w:rsidRPr="00B01F9E">
        <w:rPr>
          <w:rFonts w:ascii="Arial" w:hAnsi="Arial" w:cs="Arial"/>
          <w:b/>
          <w:bCs/>
          <w:color w:val="009ABF" w:themeColor="text1"/>
          <w:sz w:val="20"/>
          <w:szCs w:val="20"/>
        </w:rPr>
        <w:t>: Summary of Identified Gaps</w:t>
      </w:r>
    </w:p>
    <w:tbl>
      <w:tblPr>
        <w:tblStyle w:val="TableGrid9"/>
        <w:tblW w:w="0" w:type="auto"/>
        <w:tblLook w:val="04A0" w:firstRow="1" w:lastRow="0" w:firstColumn="1" w:lastColumn="0" w:noHBand="0" w:noVBand="1"/>
      </w:tblPr>
      <w:tblGrid>
        <w:gridCol w:w="4045"/>
        <w:gridCol w:w="1440"/>
        <w:gridCol w:w="2700"/>
        <w:gridCol w:w="1165"/>
      </w:tblGrid>
      <w:tr w:rsidR="004C1CD3" w:rsidRPr="00B01F9E" w14:paraId="1C878F5E" w14:textId="77777777" w:rsidTr="00D74337">
        <w:trPr>
          <w:trHeight w:val="350"/>
        </w:trPr>
        <w:tc>
          <w:tcPr>
            <w:tcW w:w="4045" w:type="dxa"/>
          </w:tcPr>
          <w:p w14:paraId="5E0C9B08" w14:textId="77777777"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 xml:space="preserve">Identified Gap </w:t>
            </w:r>
          </w:p>
        </w:tc>
        <w:tc>
          <w:tcPr>
            <w:tcW w:w="1440" w:type="dxa"/>
          </w:tcPr>
          <w:p w14:paraId="24A4620B" w14:textId="77777777"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 xml:space="preserve">Temporary Resolution Used </w:t>
            </w:r>
          </w:p>
        </w:tc>
        <w:tc>
          <w:tcPr>
            <w:tcW w:w="2700" w:type="dxa"/>
          </w:tcPr>
          <w:p w14:paraId="5151F532" w14:textId="4A841C5C"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Long</w:t>
            </w:r>
            <w:r w:rsidR="00FE6556" w:rsidRPr="00B01F9E">
              <w:rPr>
                <w:rFonts w:ascii="Arial" w:eastAsia="Calibri" w:hAnsi="Arial" w:cs="Arial"/>
                <w:b/>
                <w:bCs/>
                <w:sz w:val="20"/>
                <w:szCs w:val="20"/>
              </w:rPr>
              <w:t>-</w:t>
            </w:r>
            <w:r w:rsidRPr="00B01F9E">
              <w:rPr>
                <w:rFonts w:ascii="Arial" w:eastAsia="Calibri" w:hAnsi="Arial" w:cs="Arial"/>
                <w:b/>
                <w:bCs/>
                <w:sz w:val="20"/>
                <w:szCs w:val="20"/>
              </w:rPr>
              <w:t xml:space="preserve">Term Resolution – Requires Vendor or SDO Involvement </w:t>
            </w:r>
          </w:p>
        </w:tc>
        <w:tc>
          <w:tcPr>
            <w:tcW w:w="1165" w:type="dxa"/>
          </w:tcPr>
          <w:p w14:paraId="503857A7" w14:textId="77777777"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 xml:space="preserve">Impact </w:t>
            </w:r>
          </w:p>
        </w:tc>
      </w:tr>
      <w:tr w:rsidR="004C1CD3" w:rsidRPr="00B01F9E" w14:paraId="19451CF9" w14:textId="77777777" w:rsidTr="004C1CD3">
        <w:tc>
          <w:tcPr>
            <w:tcW w:w="9350" w:type="dxa"/>
            <w:gridSpan w:val="4"/>
            <w:shd w:val="clear" w:color="auto" w:fill="E7E6E6"/>
          </w:tcPr>
          <w:p w14:paraId="1793B9A1" w14:textId="4452C67E" w:rsidR="004C1CD3" w:rsidRPr="00B01F9E" w:rsidRDefault="004C1CD3" w:rsidP="004C1CD3">
            <w:pPr>
              <w:rPr>
                <w:rFonts w:ascii="Arial" w:eastAsia="Calibri" w:hAnsi="Arial" w:cs="Arial"/>
                <w:sz w:val="20"/>
                <w:szCs w:val="20"/>
              </w:rPr>
            </w:pPr>
            <w:r w:rsidRPr="00B01F9E">
              <w:rPr>
                <w:rFonts w:ascii="Arial" w:eastAsia="Calibri" w:hAnsi="Arial" w:cs="Arial"/>
                <w:b/>
                <w:sz w:val="20"/>
                <w:szCs w:val="20"/>
              </w:rPr>
              <w:t xml:space="preserve">Gaps Related to LIDR </w:t>
            </w:r>
          </w:p>
        </w:tc>
      </w:tr>
      <w:bookmarkStart w:id="33" w:name="Gap_1"/>
      <w:tr w:rsidR="004C1CD3" w:rsidRPr="00B01F9E" w14:paraId="46646DB1" w14:textId="77777777" w:rsidTr="00D74337">
        <w:trPr>
          <w:trHeight w:val="432"/>
        </w:trPr>
        <w:tc>
          <w:tcPr>
            <w:tcW w:w="4045" w:type="dxa"/>
          </w:tcPr>
          <w:p w14:paraId="0B753AE0" w14:textId="285D4EE7" w:rsidR="004C1CD3" w:rsidRPr="00B01F9E" w:rsidRDefault="009A07EE" w:rsidP="00D74337">
            <w:pPr>
              <w:rPr>
                <w:rFonts w:ascii="Arial" w:hAnsi="Arial" w:cs="Arial"/>
                <w:color w:val="0563C1"/>
                <w:sz w:val="20"/>
                <w:szCs w:val="20"/>
              </w:rPr>
            </w:pPr>
            <w:r w:rsidRPr="00B01F9E">
              <w:rPr>
                <w:rFonts w:ascii="Arial" w:eastAsia="Calibri" w:hAnsi="Arial" w:cs="Arial"/>
                <w:color w:val="0563C1"/>
                <w:sz w:val="20"/>
                <w:szCs w:val="20"/>
              </w:rPr>
              <w:fldChar w:fldCharType="begin"/>
            </w:r>
            <w:r w:rsidRPr="00B01F9E">
              <w:rPr>
                <w:rFonts w:ascii="Arial" w:eastAsia="Calibri" w:hAnsi="Arial" w:cs="Arial"/>
                <w:color w:val="0563C1"/>
                <w:sz w:val="20"/>
                <w:szCs w:val="20"/>
              </w:rPr>
              <w:instrText>HYPERLINK  \l "Gap_1_1"</w:instrText>
            </w:r>
            <w:r w:rsidRPr="00B01F9E">
              <w:rPr>
                <w:rFonts w:ascii="Arial" w:eastAsia="Calibri" w:hAnsi="Arial" w:cs="Arial"/>
                <w:color w:val="0563C1"/>
                <w:sz w:val="20"/>
                <w:szCs w:val="20"/>
              </w:rPr>
            </w:r>
            <w:r w:rsidRPr="00B01F9E">
              <w:rPr>
                <w:rFonts w:ascii="Arial" w:eastAsia="Calibri" w:hAnsi="Arial" w:cs="Arial"/>
                <w:color w:val="0563C1"/>
                <w:sz w:val="20"/>
                <w:szCs w:val="20"/>
              </w:rPr>
              <w:fldChar w:fldCharType="separate"/>
            </w:r>
            <w:r w:rsidR="004C1CD3" w:rsidRPr="00B01F9E">
              <w:rPr>
                <w:rFonts w:ascii="Arial" w:hAnsi="Arial" w:cs="Arial"/>
                <w:color w:val="0563C1"/>
                <w:sz w:val="20"/>
                <w:szCs w:val="20"/>
              </w:rPr>
              <w:t>LI</w:t>
            </w:r>
            <w:bookmarkStart w:id="34" w:name="_Hlt175730296"/>
            <w:r w:rsidR="004C1CD3" w:rsidRPr="00B01F9E">
              <w:rPr>
                <w:rFonts w:ascii="Arial" w:hAnsi="Arial" w:cs="Arial"/>
                <w:color w:val="0563C1"/>
                <w:sz w:val="20"/>
                <w:szCs w:val="20"/>
              </w:rPr>
              <w:t>D</w:t>
            </w:r>
            <w:bookmarkEnd w:id="34"/>
            <w:r w:rsidR="004C1CD3" w:rsidRPr="00B01F9E">
              <w:rPr>
                <w:rFonts w:ascii="Arial" w:hAnsi="Arial" w:cs="Arial"/>
                <w:color w:val="0563C1"/>
                <w:sz w:val="20"/>
                <w:szCs w:val="20"/>
              </w:rPr>
              <w:t>R is n</w:t>
            </w:r>
            <w:bookmarkStart w:id="35" w:name="_Hlt175766673"/>
            <w:r w:rsidR="004C1CD3" w:rsidRPr="00B01F9E">
              <w:rPr>
                <w:rFonts w:ascii="Arial" w:hAnsi="Arial" w:cs="Arial"/>
                <w:color w:val="0563C1"/>
                <w:sz w:val="20"/>
                <w:szCs w:val="20"/>
              </w:rPr>
              <w:t>o</w:t>
            </w:r>
            <w:bookmarkEnd w:id="35"/>
            <w:r w:rsidR="004C1CD3" w:rsidRPr="00B01F9E">
              <w:rPr>
                <w:rFonts w:ascii="Arial" w:hAnsi="Arial" w:cs="Arial"/>
                <w:color w:val="0563C1"/>
                <w:sz w:val="20"/>
                <w:szCs w:val="20"/>
              </w:rPr>
              <w:t>t</w:t>
            </w:r>
            <w:bookmarkStart w:id="36" w:name="_Hlt175768884"/>
            <w:r w:rsidR="004C1CD3" w:rsidRPr="00B01F9E">
              <w:rPr>
                <w:rFonts w:ascii="Arial" w:hAnsi="Arial" w:cs="Arial"/>
                <w:color w:val="0563C1"/>
                <w:sz w:val="20"/>
                <w:szCs w:val="20"/>
              </w:rPr>
              <w:t xml:space="preserve"> </w:t>
            </w:r>
            <w:bookmarkEnd w:id="36"/>
            <w:r w:rsidR="004C1CD3" w:rsidRPr="00B01F9E">
              <w:rPr>
                <w:rFonts w:ascii="Arial" w:hAnsi="Arial" w:cs="Arial"/>
                <w:color w:val="0563C1"/>
                <w:sz w:val="20"/>
                <w:szCs w:val="20"/>
              </w:rPr>
              <w:t>yet</w:t>
            </w:r>
            <w:r w:rsidR="004C1CD3" w:rsidRPr="00B01F9E" w:rsidDel="0041275D">
              <w:rPr>
                <w:rFonts w:ascii="Arial" w:hAnsi="Arial" w:cs="Arial"/>
                <w:color w:val="0563C1"/>
                <w:sz w:val="20"/>
                <w:szCs w:val="20"/>
              </w:rPr>
              <w:t xml:space="preserve"> </w:t>
            </w:r>
            <w:r w:rsidR="004C1CD3" w:rsidRPr="00B01F9E">
              <w:rPr>
                <w:rFonts w:ascii="Arial" w:hAnsi="Arial" w:cs="Arial"/>
                <w:color w:val="0563C1"/>
                <w:sz w:val="20"/>
                <w:szCs w:val="20"/>
              </w:rPr>
              <w:t>d</w:t>
            </w:r>
            <w:bookmarkStart w:id="37" w:name="_Hlt175769166"/>
            <w:r w:rsidR="004C1CD3" w:rsidRPr="00B01F9E">
              <w:rPr>
                <w:rFonts w:ascii="Arial" w:hAnsi="Arial" w:cs="Arial"/>
                <w:color w:val="0563C1"/>
                <w:sz w:val="20"/>
                <w:szCs w:val="20"/>
              </w:rPr>
              <w:t>e</w:t>
            </w:r>
            <w:bookmarkEnd w:id="37"/>
            <w:r w:rsidR="004C1CD3" w:rsidRPr="00B01F9E">
              <w:rPr>
                <w:rFonts w:ascii="Arial" w:hAnsi="Arial" w:cs="Arial"/>
                <w:color w:val="0563C1"/>
                <w:sz w:val="20"/>
                <w:szCs w:val="20"/>
              </w:rPr>
              <w:t>veloped</w:t>
            </w:r>
            <w:r w:rsidRPr="00B01F9E">
              <w:rPr>
                <w:rFonts w:ascii="Arial" w:eastAsia="Calibri" w:hAnsi="Arial" w:cs="Arial"/>
                <w:color w:val="0563C1"/>
                <w:sz w:val="20"/>
                <w:szCs w:val="20"/>
              </w:rPr>
              <w:fldChar w:fldCharType="end"/>
            </w:r>
            <w:r w:rsidR="004C1CD3" w:rsidRPr="00B01F9E">
              <w:rPr>
                <w:rFonts w:ascii="Arial" w:eastAsia="Calibri" w:hAnsi="Arial" w:cs="Arial"/>
                <w:color w:val="0563C1"/>
                <w:sz w:val="20"/>
                <w:szCs w:val="20"/>
              </w:rPr>
              <w:t xml:space="preserve"> </w:t>
            </w:r>
            <w:bookmarkEnd w:id="33"/>
          </w:p>
        </w:tc>
        <w:tc>
          <w:tcPr>
            <w:tcW w:w="1440" w:type="dxa"/>
            <w:vAlign w:val="center"/>
          </w:tcPr>
          <w:p w14:paraId="2B60629E"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2BB40691"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346CA0DF" w14:textId="294E6E12"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3" behindDoc="0" locked="0" layoutInCell="1" allowOverlap="1" wp14:anchorId="3393EDBD" wp14:editId="4D1429B3">
                      <wp:simplePos x="0" y="0"/>
                      <wp:positionH relativeFrom="column">
                        <wp:posOffset>184467</wp:posOffset>
                      </wp:positionH>
                      <wp:positionV relativeFrom="paragraph">
                        <wp:posOffset>20955</wp:posOffset>
                      </wp:positionV>
                      <wp:extent cx="228600" cy="228600"/>
                      <wp:effectExtent l="0" t="0" r="19050" b="19050"/>
                      <wp:wrapNone/>
                      <wp:docPr id="1675236098"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2549456A" id="Oval 5" o:spid="_x0000_s1026" style="position:absolute;margin-left:14.5pt;margin-top:1.65pt;width:18pt;height:18pt;z-index:2516582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" fillcolor="yellow" strokecolor="#4472c4" strokeweight=".5pt">
                      <v:stroke joinstyle="miter"/>
                    </v:oval>
                  </w:pict>
                </mc:Fallback>
              </mc:AlternateContent>
            </w:r>
          </w:p>
        </w:tc>
      </w:tr>
      <w:bookmarkStart w:id="38" w:name="Gap_2"/>
      <w:tr w:rsidR="004C1CD3" w:rsidRPr="00B01F9E" w14:paraId="07AC41CB" w14:textId="77777777" w:rsidTr="00D74337">
        <w:trPr>
          <w:trHeight w:val="576"/>
        </w:trPr>
        <w:tc>
          <w:tcPr>
            <w:tcW w:w="4045" w:type="dxa"/>
          </w:tcPr>
          <w:p w14:paraId="15D1019C" w14:textId="0863B901" w:rsidR="004C1CD3" w:rsidRPr="00B01F9E" w:rsidRDefault="00094273" w:rsidP="00D74337">
            <w:pPr>
              <w:rPr>
                <w:rFonts w:ascii="Arial" w:hAnsi="Arial" w:cs="Arial"/>
                <w:color w:val="0563C1"/>
                <w:sz w:val="20"/>
                <w:szCs w:val="20"/>
              </w:rPr>
            </w:pPr>
            <w:r w:rsidRPr="00B01F9E">
              <w:rPr>
                <w:rFonts w:ascii="Arial" w:eastAsia="Calibri" w:hAnsi="Arial" w:cs="Arial"/>
                <w:color w:val="0563C1"/>
                <w:sz w:val="20"/>
                <w:szCs w:val="20"/>
              </w:rPr>
              <w:fldChar w:fldCharType="begin"/>
            </w:r>
            <w:r w:rsidR="009A07EE" w:rsidRPr="00B01F9E">
              <w:rPr>
                <w:rFonts w:ascii="Arial" w:eastAsia="Calibri" w:hAnsi="Arial" w:cs="Arial"/>
                <w:color w:val="0563C1"/>
                <w:sz w:val="20"/>
                <w:szCs w:val="20"/>
              </w:rPr>
              <w:instrText>HYPERLINK  \l "Gap_2_2"</w:instrText>
            </w:r>
            <w:r w:rsidRPr="00B01F9E">
              <w:rPr>
                <w:rFonts w:ascii="Arial" w:eastAsia="Calibri" w:hAnsi="Arial" w:cs="Arial"/>
                <w:color w:val="0563C1"/>
                <w:sz w:val="20"/>
                <w:szCs w:val="20"/>
              </w:rPr>
            </w:r>
            <w:r w:rsidRPr="00B01F9E">
              <w:rPr>
                <w:rFonts w:ascii="Arial" w:eastAsia="Calibri" w:hAnsi="Arial" w:cs="Arial"/>
                <w:color w:val="0563C1"/>
                <w:sz w:val="20"/>
                <w:szCs w:val="20"/>
              </w:rPr>
              <w:fldChar w:fldCharType="separate"/>
            </w:r>
            <w:r w:rsidR="004C1CD3" w:rsidRPr="00B01F9E">
              <w:rPr>
                <w:rFonts w:ascii="Arial" w:eastAsia="Calibri" w:hAnsi="Arial" w:cs="Arial"/>
                <w:color w:val="0563C1"/>
                <w:sz w:val="20"/>
                <w:szCs w:val="20"/>
              </w:rPr>
              <w:t xml:space="preserve">Lack </w:t>
            </w:r>
            <w:bookmarkStart w:id="39" w:name="_Hlt175730292"/>
            <w:r w:rsidR="004C1CD3" w:rsidRPr="00B01F9E">
              <w:rPr>
                <w:rFonts w:ascii="Arial" w:eastAsia="Calibri" w:hAnsi="Arial" w:cs="Arial"/>
                <w:color w:val="0563C1"/>
                <w:sz w:val="20"/>
                <w:szCs w:val="20"/>
              </w:rPr>
              <w:t>o</w:t>
            </w:r>
            <w:bookmarkEnd w:id="39"/>
            <w:r w:rsidR="004C1CD3" w:rsidRPr="00B01F9E">
              <w:rPr>
                <w:rFonts w:ascii="Arial" w:eastAsia="Calibri" w:hAnsi="Arial" w:cs="Arial"/>
                <w:color w:val="0563C1"/>
                <w:sz w:val="20"/>
                <w:szCs w:val="20"/>
              </w:rPr>
              <w:t>f IVD ven</w:t>
            </w:r>
            <w:bookmarkStart w:id="40" w:name="_Hlt175766676"/>
            <w:r w:rsidR="004C1CD3" w:rsidRPr="00B01F9E">
              <w:rPr>
                <w:rFonts w:ascii="Arial" w:eastAsia="Calibri" w:hAnsi="Arial" w:cs="Arial"/>
                <w:color w:val="0563C1"/>
                <w:sz w:val="20"/>
                <w:szCs w:val="20"/>
              </w:rPr>
              <w:t>d</w:t>
            </w:r>
            <w:bookmarkStart w:id="41" w:name="_Hlt175731102"/>
            <w:bookmarkStart w:id="42" w:name="_Hlt175731154"/>
            <w:bookmarkEnd w:id="40"/>
            <w:r w:rsidR="004C1CD3" w:rsidRPr="00B01F9E">
              <w:rPr>
                <w:rFonts w:ascii="Arial" w:eastAsia="Calibri" w:hAnsi="Arial" w:cs="Arial"/>
                <w:color w:val="0563C1"/>
                <w:sz w:val="20"/>
                <w:szCs w:val="20"/>
              </w:rPr>
              <w:t>o</w:t>
            </w:r>
            <w:bookmarkStart w:id="43" w:name="_Hlt175731171"/>
            <w:bookmarkEnd w:id="41"/>
            <w:bookmarkEnd w:id="42"/>
            <w:r w:rsidR="004C1CD3" w:rsidRPr="00B01F9E">
              <w:rPr>
                <w:rFonts w:ascii="Arial" w:eastAsia="Calibri" w:hAnsi="Arial" w:cs="Arial"/>
                <w:color w:val="0563C1"/>
                <w:sz w:val="20"/>
                <w:szCs w:val="20"/>
              </w:rPr>
              <w:t>r</w:t>
            </w:r>
            <w:bookmarkEnd w:id="43"/>
            <w:r w:rsidR="004C1CD3" w:rsidRPr="00B01F9E">
              <w:rPr>
                <w:rFonts w:ascii="Arial" w:eastAsia="Calibri" w:hAnsi="Arial" w:cs="Arial"/>
                <w:color w:val="0563C1"/>
                <w:sz w:val="20"/>
                <w:szCs w:val="20"/>
              </w:rPr>
              <w:t xml:space="preserve"> provided</w:t>
            </w:r>
            <w:bookmarkStart w:id="44" w:name="_Hlt175731187"/>
            <w:r w:rsidR="004C1CD3" w:rsidRPr="00B01F9E">
              <w:rPr>
                <w:rFonts w:ascii="Arial" w:eastAsia="Calibri" w:hAnsi="Arial" w:cs="Arial"/>
                <w:color w:val="0563C1"/>
                <w:sz w:val="20"/>
                <w:szCs w:val="20"/>
              </w:rPr>
              <w:t xml:space="preserve"> </w:t>
            </w:r>
            <w:bookmarkEnd w:id="44"/>
            <w:r w:rsidR="004C1CD3" w:rsidRPr="00B01F9E">
              <w:rPr>
                <w:rFonts w:ascii="Arial" w:eastAsia="Calibri" w:hAnsi="Arial" w:cs="Arial"/>
                <w:color w:val="0563C1"/>
                <w:sz w:val="20"/>
                <w:szCs w:val="20"/>
              </w:rPr>
              <w:t>LIVD files</w:t>
            </w:r>
            <w:bookmarkEnd w:id="38"/>
            <w:r w:rsidRPr="00B01F9E">
              <w:rPr>
                <w:rFonts w:ascii="Arial" w:eastAsia="Calibri" w:hAnsi="Arial" w:cs="Arial"/>
                <w:color w:val="0563C1"/>
                <w:sz w:val="20"/>
                <w:szCs w:val="20"/>
              </w:rPr>
              <w:fldChar w:fldCharType="end"/>
            </w:r>
          </w:p>
        </w:tc>
        <w:tc>
          <w:tcPr>
            <w:tcW w:w="1440" w:type="dxa"/>
            <w:vAlign w:val="center"/>
          </w:tcPr>
          <w:p w14:paraId="0E377D24"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01C87BCA"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0341A038" w14:textId="40E17B7D"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4" behindDoc="0" locked="0" layoutInCell="1" allowOverlap="1" wp14:anchorId="5C8328F0" wp14:editId="25589852">
                      <wp:simplePos x="0" y="0"/>
                      <wp:positionH relativeFrom="column">
                        <wp:posOffset>182880</wp:posOffset>
                      </wp:positionH>
                      <wp:positionV relativeFrom="paragraph">
                        <wp:posOffset>65244</wp:posOffset>
                      </wp:positionV>
                      <wp:extent cx="228600" cy="228600"/>
                      <wp:effectExtent l="0" t="0" r="19050" b="19050"/>
                      <wp:wrapNone/>
                      <wp:docPr id="864910607"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469F2554" id="Oval 5" o:spid="_x0000_s1026" style="position:absolute;margin-left:14.4pt;margin-top:5.15pt;width:18pt;height:18pt;z-index:251658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" fillcolor="yellow" strokecolor="#4472c4" strokeweight=".5pt">
                      <v:stroke joinstyle="miter"/>
                    </v:oval>
                  </w:pict>
                </mc:Fallback>
              </mc:AlternateContent>
            </w:r>
          </w:p>
        </w:tc>
      </w:tr>
      <w:bookmarkStart w:id="45" w:name="Gap_3"/>
      <w:tr w:rsidR="004C1CD3" w:rsidRPr="00B01F9E" w14:paraId="3C4ED41E" w14:textId="77777777" w:rsidTr="00D74337">
        <w:tc>
          <w:tcPr>
            <w:tcW w:w="4045" w:type="dxa"/>
          </w:tcPr>
          <w:p w14:paraId="7664AAC2" w14:textId="1D900145" w:rsidR="004C1CD3" w:rsidRPr="00B01F9E" w:rsidRDefault="009A07EE" w:rsidP="00D74337">
            <w:pPr>
              <w:rPr>
                <w:rFonts w:ascii="Arial" w:hAnsi="Arial" w:cs="Arial"/>
                <w:color w:val="0563C1"/>
                <w:sz w:val="20"/>
                <w:szCs w:val="20"/>
              </w:rPr>
            </w:pPr>
            <w:r w:rsidRPr="00B01F9E">
              <w:rPr>
                <w:rFonts w:ascii="Arial" w:eastAsia="Calibri" w:hAnsi="Arial" w:cs="Arial"/>
                <w:color w:val="0563C1"/>
                <w:sz w:val="20"/>
                <w:szCs w:val="20"/>
              </w:rPr>
              <w:fldChar w:fldCharType="begin"/>
            </w:r>
            <w:r w:rsidRPr="00B01F9E">
              <w:rPr>
                <w:rFonts w:ascii="Arial" w:eastAsia="Calibri" w:hAnsi="Arial" w:cs="Arial"/>
                <w:color w:val="0563C1"/>
                <w:sz w:val="20"/>
                <w:szCs w:val="20"/>
              </w:rPr>
              <w:instrText>HYPERLINK  \l "Gap_3_3"</w:instrText>
            </w:r>
            <w:r w:rsidRPr="00B01F9E">
              <w:rPr>
                <w:rFonts w:ascii="Arial" w:eastAsia="Calibri" w:hAnsi="Arial" w:cs="Arial"/>
                <w:color w:val="0563C1"/>
                <w:sz w:val="20"/>
                <w:szCs w:val="20"/>
              </w:rPr>
            </w:r>
            <w:r w:rsidRPr="00B01F9E">
              <w:rPr>
                <w:rFonts w:ascii="Arial" w:eastAsia="Calibri" w:hAnsi="Arial" w:cs="Arial"/>
                <w:color w:val="0563C1"/>
                <w:sz w:val="20"/>
                <w:szCs w:val="20"/>
              </w:rPr>
              <w:fldChar w:fldCharType="separate"/>
            </w:r>
            <w:r w:rsidR="004C1CD3" w:rsidRPr="00B01F9E">
              <w:rPr>
                <w:rFonts w:ascii="Arial" w:hAnsi="Arial" w:cs="Arial"/>
                <w:color w:val="0563C1"/>
                <w:sz w:val="20"/>
                <w:szCs w:val="20"/>
              </w:rPr>
              <w:t>Differe</w:t>
            </w:r>
            <w:bookmarkStart w:id="46" w:name="_Hlt175730289"/>
            <w:r w:rsidR="004C1CD3" w:rsidRPr="00B01F9E">
              <w:rPr>
                <w:rFonts w:ascii="Arial" w:hAnsi="Arial" w:cs="Arial"/>
                <w:color w:val="0563C1"/>
                <w:sz w:val="20"/>
                <w:szCs w:val="20"/>
              </w:rPr>
              <w:t>n</w:t>
            </w:r>
            <w:bookmarkEnd w:id="46"/>
            <w:r w:rsidR="004C1CD3" w:rsidRPr="00B01F9E">
              <w:rPr>
                <w:rFonts w:ascii="Arial" w:hAnsi="Arial" w:cs="Arial"/>
                <w:color w:val="0563C1"/>
                <w:sz w:val="20"/>
                <w:szCs w:val="20"/>
              </w:rPr>
              <w:t>tiat</w:t>
            </w:r>
            <w:bookmarkStart w:id="47" w:name="_Hlt175766678"/>
            <w:r w:rsidR="004C1CD3" w:rsidRPr="00B01F9E">
              <w:rPr>
                <w:rFonts w:ascii="Arial" w:hAnsi="Arial" w:cs="Arial"/>
                <w:color w:val="0563C1"/>
                <w:sz w:val="20"/>
                <w:szCs w:val="20"/>
              </w:rPr>
              <w:t>i</w:t>
            </w:r>
            <w:bookmarkEnd w:id="47"/>
            <w:r w:rsidR="004C1CD3" w:rsidRPr="00B01F9E">
              <w:rPr>
                <w:rFonts w:ascii="Arial" w:hAnsi="Arial" w:cs="Arial"/>
                <w:color w:val="0563C1"/>
                <w:sz w:val="20"/>
                <w:szCs w:val="20"/>
              </w:rPr>
              <w:t>ng specimen source and type in LIVD files</w:t>
            </w:r>
            <w:r w:rsidRPr="00B01F9E">
              <w:rPr>
                <w:rFonts w:ascii="Arial" w:eastAsia="Calibri" w:hAnsi="Arial" w:cs="Arial"/>
                <w:color w:val="0563C1"/>
                <w:sz w:val="20"/>
                <w:szCs w:val="20"/>
              </w:rPr>
              <w:fldChar w:fldCharType="end"/>
            </w:r>
            <w:r w:rsidR="004C1CD3" w:rsidRPr="00B01F9E">
              <w:rPr>
                <w:rFonts w:ascii="Arial" w:eastAsia="Calibri" w:hAnsi="Arial" w:cs="Arial"/>
                <w:color w:val="0563C1"/>
                <w:sz w:val="20"/>
                <w:szCs w:val="20"/>
              </w:rPr>
              <w:t xml:space="preserve"> </w:t>
            </w:r>
            <w:bookmarkEnd w:id="45"/>
          </w:p>
        </w:tc>
        <w:tc>
          <w:tcPr>
            <w:tcW w:w="1440" w:type="dxa"/>
            <w:vAlign w:val="center"/>
          </w:tcPr>
          <w:p w14:paraId="0EF7B887"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506ED19B"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466C1AD9" w14:textId="254B2F32"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5" behindDoc="0" locked="0" layoutInCell="1" allowOverlap="1" wp14:anchorId="6CF75636" wp14:editId="67B35871">
                      <wp:simplePos x="0" y="0"/>
                      <wp:positionH relativeFrom="column">
                        <wp:posOffset>183197</wp:posOffset>
                      </wp:positionH>
                      <wp:positionV relativeFrom="paragraph">
                        <wp:posOffset>38100</wp:posOffset>
                      </wp:positionV>
                      <wp:extent cx="228600" cy="228600"/>
                      <wp:effectExtent l="0" t="0" r="19050" b="19050"/>
                      <wp:wrapNone/>
                      <wp:docPr id="126933080"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25BF1DE8" id="Oval 5" o:spid="_x0000_s1026" style="position:absolute;margin-left:14.4pt;margin-top:3pt;width:18pt;height:18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" fillcolor="yellow" strokecolor="#4472c4" strokeweight=".5pt">
                      <v:stroke joinstyle="miter"/>
                    </v:oval>
                  </w:pict>
                </mc:Fallback>
              </mc:AlternateContent>
            </w:r>
          </w:p>
        </w:tc>
      </w:tr>
      <w:bookmarkStart w:id="48" w:name="Gap_4"/>
      <w:tr w:rsidR="004C1CD3" w:rsidRPr="00B01F9E" w14:paraId="16D979F0" w14:textId="77777777" w:rsidTr="00D74337">
        <w:trPr>
          <w:trHeight w:val="432"/>
        </w:trPr>
        <w:tc>
          <w:tcPr>
            <w:tcW w:w="4045" w:type="dxa"/>
          </w:tcPr>
          <w:p w14:paraId="372C6235" w14:textId="6B8B15DC" w:rsidR="004C1CD3" w:rsidRPr="00B01F9E" w:rsidRDefault="000244C4" w:rsidP="00D74337">
            <w:pPr>
              <w:rPr>
                <w:rFonts w:ascii="Arial" w:eastAsia="Calibri" w:hAnsi="Arial" w:cs="Arial"/>
                <w:color w:val="0563C1"/>
                <w:sz w:val="20"/>
                <w:szCs w:val="20"/>
              </w:rPr>
            </w:pPr>
            <w:r w:rsidRPr="00B01F9E">
              <w:rPr>
                <w:rFonts w:ascii="Arial" w:eastAsia="Calibri" w:hAnsi="Arial" w:cs="Arial"/>
                <w:color w:val="0563C1"/>
                <w:sz w:val="20"/>
                <w:szCs w:val="20"/>
              </w:rPr>
              <w:fldChar w:fldCharType="begin"/>
            </w:r>
            <w:r w:rsidR="009A07EE" w:rsidRPr="00B01F9E">
              <w:rPr>
                <w:rFonts w:ascii="Arial" w:eastAsia="Calibri" w:hAnsi="Arial" w:cs="Arial"/>
                <w:color w:val="0563C1"/>
                <w:sz w:val="20"/>
                <w:szCs w:val="20"/>
              </w:rPr>
              <w:instrText>HYPERLINK  \l "Gap_4_4"</w:instrText>
            </w:r>
            <w:r w:rsidRPr="00B01F9E">
              <w:rPr>
                <w:rFonts w:ascii="Arial" w:eastAsia="Calibri" w:hAnsi="Arial" w:cs="Arial"/>
                <w:color w:val="0563C1"/>
                <w:sz w:val="20"/>
                <w:szCs w:val="20"/>
              </w:rPr>
            </w:r>
            <w:r w:rsidRPr="00B01F9E">
              <w:rPr>
                <w:rFonts w:ascii="Arial" w:eastAsia="Calibri" w:hAnsi="Arial" w:cs="Arial"/>
                <w:color w:val="0563C1"/>
                <w:sz w:val="20"/>
                <w:szCs w:val="20"/>
              </w:rPr>
              <w:fldChar w:fldCharType="separate"/>
            </w:r>
            <w:r w:rsidR="004C1CD3" w:rsidRPr="00B01F9E">
              <w:rPr>
                <w:rFonts w:ascii="Arial" w:eastAsia="Calibri" w:hAnsi="Arial" w:cs="Arial"/>
                <w:color w:val="0563C1"/>
                <w:sz w:val="20"/>
                <w:szCs w:val="20"/>
              </w:rPr>
              <w:t xml:space="preserve">LOINC </w:t>
            </w:r>
            <w:bookmarkStart w:id="49" w:name="_Hlt175766681"/>
            <w:r w:rsidR="004C1CD3" w:rsidRPr="00B01F9E">
              <w:rPr>
                <w:rFonts w:ascii="Arial" w:eastAsia="Calibri" w:hAnsi="Arial" w:cs="Arial"/>
                <w:color w:val="0563C1"/>
                <w:sz w:val="20"/>
                <w:szCs w:val="20"/>
              </w:rPr>
              <w:t>c</w:t>
            </w:r>
            <w:bookmarkStart w:id="50" w:name="_Hlt175730286"/>
            <w:bookmarkEnd w:id="49"/>
            <w:r w:rsidR="004C1CD3" w:rsidRPr="00B01F9E">
              <w:rPr>
                <w:rFonts w:ascii="Arial" w:eastAsia="Calibri" w:hAnsi="Arial" w:cs="Arial"/>
                <w:color w:val="0563C1"/>
                <w:sz w:val="20"/>
                <w:szCs w:val="20"/>
              </w:rPr>
              <w:t>o</w:t>
            </w:r>
            <w:bookmarkEnd w:id="50"/>
            <w:r w:rsidR="004C1CD3" w:rsidRPr="00B01F9E">
              <w:rPr>
                <w:rFonts w:ascii="Arial" w:eastAsia="Calibri" w:hAnsi="Arial" w:cs="Arial"/>
                <w:color w:val="0563C1"/>
                <w:sz w:val="20"/>
                <w:szCs w:val="20"/>
              </w:rPr>
              <w:t>de search tool variability</w:t>
            </w:r>
            <w:r w:rsidRPr="00B01F9E">
              <w:rPr>
                <w:rFonts w:ascii="Arial" w:eastAsia="Calibri" w:hAnsi="Arial" w:cs="Arial"/>
                <w:color w:val="0563C1"/>
                <w:sz w:val="20"/>
                <w:szCs w:val="20"/>
              </w:rPr>
              <w:fldChar w:fldCharType="end"/>
            </w:r>
            <w:r w:rsidR="004C1CD3" w:rsidRPr="00B01F9E">
              <w:rPr>
                <w:rFonts w:ascii="Arial" w:eastAsia="Calibri" w:hAnsi="Arial" w:cs="Arial"/>
                <w:color w:val="0563C1"/>
                <w:sz w:val="20"/>
                <w:szCs w:val="20"/>
              </w:rPr>
              <w:t xml:space="preserve"> </w:t>
            </w:r>
            <w:bookmarkEnd w:id="48"/>
          </w:p>
        </w:tc>
        <w:tc>
          <w:tcPr>
            <w:tcW w:w="1440" w:type="dxa"/>
            <w:vAlign w:val="center"/>
          </w:tcPr>
          <w:p w14:paraId="3CC066E4"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3C38184A"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4F089218" w14:textId="505E6143"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6" behindDoc="0" locked="0" layoutInCell="1" allowOverlap="1" wp14:anchorId="5D5332AB" wp14:editId="766C7E80">
                      <wp:simplePos x="0" y="0"/>
                      <wp:positionH relativeFrom="column">
                        <wp:posOffset>181610</wp:posOffset>
                      </wp:positionH>
                      <wp:positionV relativeFrom="paragraph">
                        <wp:posOffset>20481</wp:posOffset>
                      </wp:positionV>
                      <wp:extent cx="228600" cy="228600"/>
                      <wp:effectExtent l="0" t="0" r="19050" b="19050"/>
                      <wp:wrapNone/>
                      <wp:docPr id="390776590"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4E2B53E9" id="Oval 5" o:spid="_x0000_s1026" style="position:absolute;margin-left:14.3pt;margin-top:1.6pt;width:18pt;height:18pt;z-index:25165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" fillcolor="yellow" strokecolor="#4472c4" strokeweight=".5pt">
                      <v:stroke joinstyle="miter"/>
                    </v:oval>
                  </w:pict>
                </mc:Fallback>
              </mc:AlternateContent>
            </w:r>
          </w:p>
        </w:tc>
      </w:tr>
      <w:bookmarkStart w:id="51" w:name="Gap_5"/>
      <w:tr w:rsidR="004C1CD3" w:rsidRPr="00B01F9E" w14:paraId="4E670389" w14:textId="77777777" w:rsidTr="00D74337">
        <w:trPr>
          <w:trHeight w:val="432"/>
        </w:trPr>
        <w:tc>
          <w:tcPr>
            <w:tcW w:w="4045" w:type="dxa"/>
          </w:tcPr>
          <w:p w14:paraId="3027B026" w14:textId="6909E4BC" w:rsidR="004C1CD3" w:rsidRPr="00B01F9E" w:rsidRDefault="004C1CD3" w:rsidP="00D74337">
            <w:pPr>
              <w:rPr>
                <w:rFonts w:ascii="Arial" w:eastAsia="Calibri" w:hAnsi="Arial" w:cs="Arial"/>
                <w:sz w:val="20"/>
                <w:szCs w:val="20"/>
              </w:rPr>
            </w:pPr>
            <w:r w:rsidRPr="00B01F9E">
              <w:rPr>
                <w:rFonts w:ascii="Arial" w:eastAsia="Calibri" w:hAnsi="Arial" w:cs="Arial"/>
                <w:sz w:val="20"/>
                <w:szCs w:val="20"/>
              </w:rPr>
              <w:fldChar w:fldCharType="begin"/>
            </w:r>
            <w:r w:rsidR="009A07EE" w:rsidRPr="00B01F9E">
              <w:rPr>
                <w:rFonts w:ascii="Arial" w:eastAsia="Calibri" w:hAnsi="Arial" w:cs="Arial"/>
                <w:sz w:val="20"/>
                <w:szCs w:val="20"/>
              </w:rPr>
              <w:instrText>HYPERLINK  \l "Gap_5_5"</w:instrText>
            </w:r>
            <w:r w:rsidRPr="00B01F9E">
              <w:rPr>
                <w:rFonts w:ascii="Arial" w:eastAsia="Calibri" w:hAnsi="Arial" w:cs="Arial"/>
                <w:sz w:val="20"/>
                <w:szCs w:val="20"/>
              </w:rPr>
            </w:r>
            <w:r w:rsidRPr="00B01F9E">
              <w:rPr>
                <w:rFonts w:ascii="Arial" w:eastAsia="Calibri" w:hAnsi="Arial" w:cs="Arial"/>
                <w:sz w:val="20"/>
                <w:szCs w:val="20"/>
              </w:rPr>
              <w:fldChar w:fldCharType="separate"/>
            </w:r>
            <w:r w:rsidRPr="00B01F9E">
              <w:rPr>
                <w:rFonts w:ascii="Arial" w:eastAsia="Calibri" w:hAnsi="Arial" w:cs="Arial"/>
                <w:color w:val="0563C1"/>
                <w:sz w:val="20"/>
                <w:szCs w:val="20"/>
              </w:rPr>
              <w:t>Unava</w:t>
            </w:r>
            <w:bookmarkStart w:id="52" w:name="_Hlt175730283"/>
            <w:r w:rsidRPr="00B01F9E">
              <w:rPr>
                <w:rFonts w:ascii="Arial" w:eastAsia="Calibri" w:hAnsi="Arial" w:cs="Arial"/>
                <w:color w:val="0563C1"/>
                <w:sz w:val="20"/>
                <w:szCs w:val="20"/>
              </w:rPr>
              <w:t>i</w:t>
            </w:r>
            <w:bookmarkEnd w:id="52"/>
            <w:r w:rsidRPr="00B01F9E">
              <w:rPr>
                <w:rFonts w:ascii="Arial" w:eastAsia="Calibri" w:hAnsi="Arial" w:cs="Arial"/>
                <w:color w:val="0563C1"/>
                <w:sz w:val="20"/>
                <w:szCs w:val="20"/>
              </w:rPr>
              <w:t>lab</w:t>
            </w:r>
            <w:bookmarkStart w:id="53" w:name="_Hlt175766684"/>
            <w:r w:rsidRPr="00B01F9E">
              <w:rPr>
                <w:rFonts w:ascii="Arial" w:eastAsia="Calibri" w:hAnsi="Arial" w:cs="Arial"/>
                <w:color w:val="0563C1"/>
                <w:sz w:val="20"/>
                <w:szCs w:val="20"/>
              </w:rPr>
              <w:t>l</w:t>
            </w:r>
            <w:bookmarkEnd w:id="53"/>
            <w:r w:rsidRPr="00B01F9E">
              <w:rPr>
                <w:rFonts w:ascii="Arial" w:eastAsia="Calibri" w:hAnsi="Arial" w:cs="Arial"/>
                <w:color w:val="0563C1"/>
                <w:sz w:val="20"/>
                <w:szCs w:val="20"/>
              </w:rPr>
              <w:t xml:space="preserve">e SNOMED CT codes </w:t>
            </w:r>
            <w:r w:rsidRPr="00B01F9E">
              <w:rPr>
                <w:rFonts w:ascii="Arial" w:eastAsia="Calibri" w:hAnsi="Arial" w:cs="Arial"/>
                <w:color w:val="0563C1"/>
                <w:sz w:val="20"/>
                <w:szCs w:val="20"/>
              </w:rPr>
              <w:fldChar w:fldCharType="end"/>
            </w:r>
            <w:bookmarkEnd w:id="51"/>
          </w:p>
        </w:tc>
        <w:tc>
          <w:tcPr>
            <w:tcW w:w="1440" w:type="dxa"/>
            <w:vAlign w:val="center"/>
          </w:tcPr>
          <w:p w14:paraId="7D9D71F9"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1C2A6B4C"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2263169B" w14:textId="4FC627D9"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7" behindDoc="0" locked="0" layoutInCell="1" allowOverlap="1" wp14:anchorId="2B6174E2" wp14:editId="54CDD4F9">
                      <wp:simplePos x="0" y="0"/>
                      <wp:positionH relativeFrom="column">
                        <wp:posOffset>181927</wp:posOffset>
                      </wp:positionH>
                      <wp:positionV relativeFrom="paragraph">
                        <wp:posOffset>31115</wp:posOffset>
                      </wp:positionV>
                      <wp:extent cx="228600" cy="228600"/>
                      <wp:effectExtent l="0" t="0" r="19050" b="19050"/>
                      <wp:wrapNone/>
                      <wp:docPr id="967422284"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07F0DE60" id="Oval 5" o:spid="_x0000_s1026" style="position:absolute;margin-left:14.3pt;margin-top:2.45pt;width:18pt;height:18pt;z-index:2516582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" fillcolor="yellow" strokecolor="#4472c4" strokeweight=".5pt">
                      <v:stroke joinstyle="miter"/>
                    </v:oval>
                  </w:pict>
                </mc:Fallback>
              </mc:AlternateContent>
            </w:r>
          </w:p>
        </w:tc>
      </w:tr>
      <w:bookmarkStart w:id="54" w:name="Gap_6"/>
      <w:tr w:rsidR="004C1CD3" w:rsidRPr="00B01F9E" w14:paraId="7A0AB36D" w14:textId="77777777" w:rsidTr="00D74337">
        <w:trPr>
          <w:trHeight w:val="432"/>
        </w:trPr>
        <w:tc>
          <w:tcPr>
            <w:tcW w:w="4045" w:type="dxa"/>
          </w:tcPr>
          <w:p w14:paraId="60FF86B2" w14:textId="42C72BCF" w:rsidR="004C1CD3" w:rsidRPr="00B01F9E" w:rsidRDefault="004C1CD3" w:rsidP="00D74337">
            <w:pPr>
              <w:rPr>
                <w:rFonts w:ascii="Arial" w:eastAsia="Calibri" w:hAnsi="Arial" w:cs="Arial"/>
                <w:sz w:val="20"/>
                <w:szCs w:val="20"/>
              </w:rPr>
            </w:pPr>
            <w:r w:rsidRPr="00B01F9E">
              <w:rPr>
                <w:rFonts w:ascii="Arial" w:eastAsia="Calibri" w:hAnsi="Arial" w:cs="Arial"/>
                <w:sz w:val="20"/>
                <w:szCs w:val="20"/>
              </w:rPr>
              <w:fldChar w:fldCharType="begin"/>
            </w:r>
            <w:r w:rsidR="009A07EE" w:rsidRPr="00B01F9E">
              <w:rPr>
                <w:rFonts w:ascii="Arial" w:eastAsia="Calibri" w:hAnsi="Arial" w:cs="Arial"/>
                <w:sz w:val="20"/>
                <w:szCs w:val="20"/>
              </w:rPr>
              <w:instrText>HYPERLINK  \l "Gap_6_6"</w:instrText>
            </w:r>
            <w:r w:rsidRPr="00B01F9E">
              <w:rPr>
                <w:rFonts w:ascii="Arial" w:eastAsia="Calibri" w:hAnsi="Arial" w:cs="Arial"/>
                <w:sz w:val="20"/>
                <w:szCs w:val="20"/>
              </w:rPr>
            </w:r>
            <w:r w:rsidRPr="00B01F9E">
              <w:rPr>
                <w:rFonts w:ascii="Arial" w:eastAsia="Calibri" w:hAnsi="Arial" w:cs="Arial"/>
                <w:sz w:val="20"/>
                <w:szCs w:val="20"/>
              </w:rPr>
              <w:fldChar w:fldCharType="separate"/>
            </w:r>
            <w:r w:rsidRPr="00B01F9E">
              <w:rPr>
                <w:rFonts w:ascii="Arial" w:eastAsia="Calibri" w:hAnsi="Arial" w:cs="Arial"/>
                <w:color w:val="0563C1"/>
                <w:sz w:val="20"/>
                <w:szCs w:val="20"/>
              </w:rPr>
              <w:t>Identifyi</w:t>
            </w:r>
            <w:bookmarkStart w:id="55" w:name="_Hlt175766686"/>
            <w:r w:rsidRPr="00B01F9E">
              <w:rPr>
                <w:rFonts w:ascii="Arial" w:eastAsia="Calibri" w:hAnsi="Arial" w:cs="Arial"/>
                <w:color w:val="0563C1"/>
                <w:sz w:val="20"/>
                <w:szCs w:val="20"/>
              </w:rPr>
              <w:t>n</w:t>
            </w:r>
            <w:bookmarkStart w:id="56" w:name="_Hlt175730280"/>
            <w:bookmarkEnd w:id="55"/>
            <w:r w:rsidRPr="00B01F9E">
              <w:rPr>
                <w:rFonts w:ascii="Arial" w:eastAsia="Calibri" w:hAnsi="Arial" w:cs="Arial"/>
                <w:color w:val="0563C1"/>
                <w:sz w:val="20"/>
                <w:szCs w:val="20"/>
              </w:rPr>
              <w:t>g</w:t>
            </w:r>
            <w:bookmarkEnd w:id="56"/>
            <w:r w:rsidRPr="00B01F9E">
              <w:rPr>
                <w:rFonts w:ascii="Arial" w:eastAsia="Calibri" w:hAnsi="Arial" w:cs="Arial"/>
                <w:color w:val="0563C1"/>
                <w:sz w:val="20"/>
                <w:szCs w:val="20"/>
              </w:rPr>
              <w:t xml:space="preserve"> UDIs requires research </w:t>
            </w:r>
            <w:r w:rsidRPr="00B01F9E">
              <w:rPr>
                <w:rFonts w:ascii="Arial" w:eastAsia="Calibri" w:hAnsi="Arial" w:cs="Arial"/>
                <w:color w:val="0563C1"/>
                <w:sz w:val="20"/>
                <w:szCs w:val="20"/>
              </w:rPr>
              <w:fldChar w:fldCharType="end"/>
            </w:r>
            <w:bookmarkEnd w:id="54"/>
          </w:p>
        </w:tc>
        <w:tc>
          <w:tcPr>
            <w:tcW w:w="1440" w:type="dxa"/>
            <w:vAlign w:val="center"/>
          </w:tcPr>
          <w:p w14:paraId="45DF3208"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1E8F2ECE"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76035CC4" w14:textId="7FF387DF"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8" behindDoc="0" locked="0" layoutInCell="1" allowOverlap="1" wp14:anchorId="2511B244" wp14:editId="32F0AC73">
                      <wp:simplePos x="0" y="0"/>
                      <wp:positionH relativeFrom="column">
                        <wp:posOffset>183832</wp:posOffset>
                      </wp:positionH>
                      <wp:positionV relativeFrom="paragraph">
                        <wp:posOffset>23495</wp:posOffset>
                      </wp:positionV>
                      <wp:extent cx="228600" cy="228600"/>
                      <wp:effectExtent l="0" t="0" r="19050" b="19050"/>
                      <wp:wrapNone/>
                      <wp:docPr id="2068323005"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452DBE65" id="Oval 5" o:spid="_x0000_s1026" style="position:absolute;margin-left:14.45pt;margin-top:1.85pt;width:18pt;height:18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" fillcolor="yellow" strokecolor="#4472c4" strokeweight=".5pt">
                      <v:stroke joinstyle="miter"/>
                    </v:oval>
                  </w:pict>
                </mc:Fallback>
              </mc:AlternateContent>
            </w:r>
          </w:p>
        </w:tc>
      </w:tr>
      <w:bookmarkStart w:id="57" w:name="Gap_7"/>
      <w:tr w:rsidR="004C1CD3" w:rsidRPr="00B01F9E" w14:paraId="798429DE" w14:textId="77777777" w:rsidTr="00D74337">
        <w:trPr>
          <w:trHeight w:val="432"/>
        </w:trPr>
        <w:tc>
          <w:tcPr>
            <w:tcW w:w="4045" w:type="dxa"/>
          </w:tcPr>
          <w:p w14:paraId="07924FEB" w14:textId="3CE63F6D" w:rsidR="004C1CD3" w:rsidRPr="00B01F9E" w:rsidRDefault="00094273" w:rsidP="00D74337">
            <w:pPr>
              <w:rPr>
                <w:rFonts w:ascii="Arial" w:eastAsia="Calibri" w:hAnsi="Arial" w:cs="Arial"/>
                <w:sz w:val="20"/>
                <w:szCs w:val="20"/>
              </w:rPr>
            </w:pPr>
            <w:r w:rsidRPr="00B01F9E">
              <w:rPr>
                <w:rFonts w:ascii="Arial" w:eastAsia="Calibri" w:hAnsi="Arial" w:cs="Arial"/>
                <w:color w:val="0563C1"/>
                <w:sz w:val="20"/>
                <w:szCs w:val="20"/>
              </w:rPr>
              <w:fldChar w:fldCharType="begin"/>
            </w:r>
            <w:r w:rsidR="009A07EE" w:rsidRPr="00B01F9E">
              <w:rPr>
                <w:rFonts w:ascii="Arial" w:eastAsia="Calibri" w:hAnsi="Arial" w:cs="Arial"/>
                <w:color w:val="0563C1"/>
                <w:sz w:val="20"/>
                <w:szCs w:val="20"/>
              </w:rPr>
              <w:instrText>HYPERLINK  \l "Gap_7_7"</w:instrText>
            </w:r>
            <w:r w:rsidRPr="00B01F9E">
              <w:rPr>
                <w:rFonts w:ascii="Arial" w:eastAsia="Calibri" w:hAnsi="Arial" w:cs="Arial"/>
                <w:color w:val="0563C1"/>
                <w:sz w:val="20"/>
                <w:szCs w:val="20"/>
              </w:rPr>
            </w:r>
            <w:r w:rsidRPr="00B01F9E">
              <w:rPr>
                <w:rFonts w:ascii="Arial" w:eastAsia="Calibri" w:hAnsi="Arial" w:cs="Arial"/>
                <w:color w:val="0563C1"/>
                <w:sz w:val="20"/>
                <w:szCs w:val="20"/>
              </w:rPr>
              <w:fldChar w:fldCharType="separate"/>
            </w:r>
            <w:r w:rsidR="004C1CD3" w:rsidRPr="00B01F9E">
              <w:rPr>
                <w:rFonts w:ascii="Arial" w:hAnsi="Arial" w:cs="Arial"/>
                <w:color w:val="0563C1"/>
                <w:sz w:val="20"/>
                <w:szCs w:val="20"/>
              </w:rPr>
              <w:t xml:space="preserve">Maintaining </w:t>
            </w:r>
            <w:bookmarkStart w:id="58" w:name="_Hlt175730277"/>
            <w:r w:rsidR="004C1CD3" w:rsidRPr="00B01F9E">
              <w:rPr>
                <w:rFonts w:ascii="Arial" w:hAnsi="Arial" w:cs="Arial"/>
                <w:color w:val="0563C1"/>
                <w:sz w:val="20"/>
                <w:szCs w:val="20"/>
              </w:rPr>
              <w:t>a</w:t>
            </w:r>
            <w:bookmarkEnd w:id="58"/>
            <w:r w:rsidR="004C1CD3" w:rsidRPr="00B01F9E">
              <w:rPr>
                <w:rFonts w:ascii="Arial" w:hAnsi="Arial" w:cs="Arial"/>
                <w:color w:val="0563C1"/>
                <w:sz w:val="20"/>
                <w:szCs w:val="20"/>
              </w:rPr>
              <w:t>nd updating LOINC codes</w:t>
            </w:r>
            <w:bookmarkEnd w:id="57"/>
            <w:r w:rsidRPr="00B01F9E">
              <w:rPr>
                <w:rFonts w:ascii="Arial" w:eastAsia="Calibri" w:hAnsi="Arial" w:cs="Arial"/>
                <w:color w:val="0563C1"/>
                <w:sz w:val="20"/>
                <w:szCs w:val="20"/>
              </w:rPr>
              <w:fldChar w:fldCharType="end"/>
            </w:r>
          </w:p>
        </w:tc>
        <w:tc>
          <w:tcPr>
            <w:tcW w:w="1440" w:type="dxa"/>
            <w:vAlign w:val="center"/>
          </w:tcPr>
          <w:p w14:paraId="13108C77"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7CE97D81"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2480BA9F" w14:textId="3CB06043"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9" behindDoc="0" locked="0" layoutInCell="1" allowOverlap="1" wp14:anchorId="6F1D40D1" wp14:editId="504C846A">
                      <wp:simplePos x="0" y="0"/>
                      <wp:positionH relativeFrom="column">
                        <wp:posOffset>185102</wp:posOffset>
                      </wp:positionH>
                      <wp:positionV relativeFrom="paragraph">
                        <wp:posOffset>27940</wp:posOffset>
                      </wp:positionV>
                      <wp:extent cx="228600" cy="228600"/>
                      <wp:effectExtent l="0" t="0" r="19050" b="19050"/>
                      <wp:wrapNone/>
                      <wp:docPr id="407673938"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4276DC42" id="Oval 5" o:spid="_x0000_s1026" style="position:absolute;margin-left:14.55pt;margin-top:2.2pt;width:18pt;height: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" fillcolor="yellow" strokecolor="#4472c4" strokeweight=".5pt">
                      <v:stroke joinstyle="miter"/>
                    </v:oval>
                  </w:pict>
                </mc:Fallback>
              </mc:AlternateContent>
            </w:r>
          </w:p>
        </w:tc>
      </w:tr>
      <w:tr w:rsidR="004C1CD3" w:rsidRPr="00B01F9E" w14:paraId="6BC13A7E" w14:textId="77777777" w:rsidTr="004C1CD3">
        <w:tc>
          <w:tcPr>
            <w:tcW w:w="9350" w:type="dxa"/>
            <w:gridSpan w:val="4"/>
            <w:shd w:val="clear" w:color="auto" w:fill="E7E6E6"/>
          </w:tcPr>
          <w:p w14:paraId="5E472E1F" w14:textId="7A24B71B" w:rsidR="004C1CD3" w:rsidRPr="00B01F9E" w:rsidRDefault="004C1CD3" w:rsidP="004C1CD3">
            <w:pPr>
              <w:rPr>
                <w:rFonts w:ascii="Arial" w:eastAsia="Calibri" w:hAnsi="Arial" w:cs="Arial"/>
                <w:sz w:val="20"/>
                <w:szCs w:val="20"/>
              </w:rPr>
            </w:pPr>
            <w:r w:rsidRPr="00B01F9E">
              <w:rPr>
                <w:rFonts w:ascii="Arial" w:eastAsia="Calibri" w:hAnsi="Arial" w:cs="Arial"/>
                <w:b/>
                <w:bCs/>
                <w:sz w:val="20"/>
                <w:szCs w:val="20"/>
              </w:rPr>
              <w:t xml:space="preserve">Gaps Related to LIS Build </w:t>
            </w:r>
          </w:p>
        </w:tc>
      </w:tr>
      <w:bookmarkStart w:id="59" w:name="Gap_8"/>
      <w:tr w:rsidR="004C1CD3" w:rsidRPr="00B01F9E" w14:paraId="058711A4" w14:textId="77777777" w:rsidTr="00D74337">
        <w:tc>
          <w:tcPr>
            <w:tcW w:w="4045" w:type="dxa"/>
          </w:tcPr>
          <w:p w14:paraId="6EEDEECE" w14:textId="5DB9E2C1" w:rsidR="004C1CD3" w:rsidRPr="00B01F9E" w:rsidRDefault="00094273" w:rsidP="00D74337">
            <w:pPr>
              <w:rPr>
                <w:rFonts w:ascii="Arial" w:eastAsia="Calibri"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"Gap_8_8"</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Inability t</w:t>
            </w:r>
            <w:bookmarkStart w:id="60" w:name="_Hlt175730273"/>
            <w:r w:rsidR="004C1CD3" w:rsidRPr="00B01F9E">
              <w:rPr>
                <w:rFonts w:ascii="Arial" w:hAnsi="Arial" w:cs="Arial"/>
                <w:color w:val="0563C1"/>
                <w:sz w:val="20"/>
                <w:szCs w:val="20"/>
              </w:rPr>
              <w:t>o</w:t>
            </w:r>
            <w:bookmarkEnd w:id="60"/>
            <w:r w:rsidR="004C1CD3" w:rsidRPr="00B01F9E">
              <w:rPr>
                <w:rFonts w:ascii="Arial" w:hAnsi="Arial" w:cs="Arial"/>
                <w:color w:val="0563C1"/>
                <w:sz w:val="20"/>
                <w:szCs w:val="20"/>
              </w:rPr>
              <w:t xml:space="preserve"> acc</w:t>
            </w:r>
            <w:bookmarkStart w:id="61" w:name="_Hlt175769172"/>
            <w:r w:rsidR="004C1CD3" w:rsidRPr="00B01F9E">
              <w:rPr>
                <w:rFonts w:ascii="Arial" w:hAnsi="Arial" w:cs="Arial"/>
                <w:color w:val="0563C1"/>
                <w:sz w:val="20"/>
                <w:szCs w:val="20"/>
              </w:rPr>
              <w:t>u</w:t>
            </w:r>
            <w:bookmarkEnd w:id="61"/>
            <w:r w:rsidR="004C1CD3" w:rsidRPr="00B01F9E">
              <w:rPr>
                <w:rFonts w:ascii="Arial" w:hAnsi="Arial" w:cs="Arial"/>
                <w:color w:val="0563C1"/>
                <w:sz w:val="20"/>
                <w:szCs w:val="20"/>
              </w:rPr>
              <w:t xml:space="preserve">rately </w:t>
            </w:r>
            <w:bookmarkStart w:id="62" w:name="_Hlt175769181"/>
            <w:r w:rsidR="004C1CD3" w:rsidRPr="00B01F9E">
              <w:rPr>
                <w:rFonts w:ascii="Arial" w:hAnsi="Arial" w:cs="Arial"/>
                <w:color w:val="0563C1"/>
                <w:sz w:val="20"/>
                <w:szCs w:val="20"/>
              </w:rPr>
              <w:t>m</w:t>
            </w:r>
            <w:bookmarkStart w:id="63" w:name="_Hlt175731271"/>
            <w:bookmarkEnd w:id="62"/>
            <w:r w:rsidR="004C1CD3" w:rsidRPr="00B01F9E">
              <w:rPr>
                <w:rFonts w:ascii="Arial" w:hAnsi="Arial" w:cs="Arial"/>
                <w:color w:val="0563C1"/>
                <w:sz w:val="20"/>
                <w:szCs w:val="20"/>
              </w:rPr>
              <w:t>a</w:t>
            </w:r>
            <w:bookmarkEnd w:id="63"/>
            <w:r w:rsidR="004C1CD3" w:rsidRPr="00B01F9E">
              <w:rPr>
                <w:rFonts w:ascii="Arial" w:hAnsi="Arial" w:cs="Arial"/>
                <w:color w:val="0563C1"/>
                <w:sz w:val="20"/>
                <w:szCs w:val="20"/>
              </w:rPr>
              <w:t>p SNOMED CT codes for spec</w:t>
            </w:r>
            <w:bookmarkStart w:id="64" w:name="_Hlt175766691"/>
            <w:r w:rsidR="004C1CD3" w:rsidRPr="00B01F9E">
              <w:rPr>
                <w:rFonts w:ascii="Arial" w:hAnsi="Arial" w:cs="Arial"/>
                <w:color w:val="0563C1"/>
                <w:sz w:val="20"/>
                <w:szCs w:val="20"/>
              </w:rPr>
              <w:t>i</w:t>
            </w:r>
            <w:bookmarkEnd w:id="64"/>
            <w:r w:rsidR="004C1CD3" w:rsidRPr="00B01F9E">
              <w:rPr>
                <w:rFonts w:ascii="Arial" w:hAnsi="Arial" w:cs="Arial"/>
                <w:color w:val="0563C1"/>
                <w:sz w:val="20"/>
                <w:szCs w:val="20"/>
              </w:rPr>
              <w:t>men description </w:t>
            </w:r>
            <w:bookmarkEnd w:id="59"/>
            <w:r w:rsidRPr="00B01F9E">
              <w:rPr>
                <w:rFonts w:ascii="Arial" w:hAnsi="Arial" w:cs="Arial"/>
                <w:color w:val="0563C1"/>
                <w:sz w:val="20"/>
                <w:szCs w:val="20"/>
              </w:rPr>
              <w:fldChar w:fldCharType="end"/>
            </w:r>
          </w:p>
        </w:tc>
        <w:tc>
          <w:tcPr>
            <w:tcW w:w="1440" w:type="dxa"/>
            <w:vAlign w:val="center"/>
          </w:tcPr>
          <w:p w14:paraId="38EF3891"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4C59E386"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2F7A6525" w14:textId="5569B3B2"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60" behindDoc="0" locked="0" layoutInCell="1" allowOverlap="1" wp14:anchorId="411EF3CB" wp14:editId="5B7B8923">
                      <wp:simplePos x="0" y="0"/>
                      <wp:positionH relativeFrom="column">
                        <wp:posOffset>183832</wp:posOffset>
                      </wp:positionH>
                      <wp:positionV relativeFrom="paragraph">
                        <wp:posOffset>22225</wp:posOffset>
                      </wp:positionV>
                      <wp:extent cx="228600" cy="228600"/>
                      <wp:effectExtent l="0" t="0" r="19050" b="19050"/>
                      <wp:wrapNone/>
                      <wp:docPr id="2091439763"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7267EA0" id="Oval 5" o:spid="_x0000_s1026" style="position:absolute;margin-left:14.45pt;margin-top:1.75pt;width:18pt;height:1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" fillcolor="yellow" strokecolor="#4472c4" strokeweight=".5pt">
                      <v:stroke joinstyle="miter"/>
                    </v:oval>
                  </w:pict>
                </mc:Fallback>
              </mc:AlternateContent>
            </w:r>
          </w:p>
        </w:tc>
      </w:tr>
      <w:bookmarkStart w:id="65" w:name="Gap_9"/>
      <w:tr w:rsidR="004C1CD3" w:rsidRPr="00B01F9E" w14:paraId="13F4418A" w14:textId="77777777" w:rsidTr="00D74337">
        <w:tc>
          <w:tcPr>
            <w:tcW w:w="4045" w:type="dxa"/>
          </w:tcPr>
          <w:p w14:paraId="29BC61D9" w14:textId="5649EED6" w:rsidR="004C1CD3" w:rsidRPr="00B01F9E" w:rsidRDefault="009A07EE" w:rsidP="00D74337">
            <w:pPr>
              <w:rPr>
                <w:rFonts w:ascii="Arial" w:eastAsia="Calibri" w:hAnsi="Arial" w:cs="Arial"/>
                <w:color w:val="0563C1"/>
                <w:sz w:val="20"/>
                <w:szCs w:val="20"/>
              </w:rPr>
            </w:pPr>
            <w:r w:rsidRPr="00B01F9E">
              <w:rPr>
                <w:rFonts w:ascii="Arial" w:hAnsi="Arial" w:cs="Arial"/>
                <w:color w:val="0563C1"/>
                <w:sz w:val="20"/>
                <w:szCs w:val="20"/>
              </w:rPr>
              <w:fldChar w:fldCharType="begin"/>
            </w:r>
            <w:r w:rsidRPr="00B01F9E">
              <w:rPr>
                <w:rFonts w:ascii="Arial" w:hAnsi="Arial" w:cs="Arial"/>
                <w:color w:val="0563C1"/>
                <w:sz w:val="20"/>
                <w:szCs w:val="20"/>
              </w:rPr>
              <w:instrText>HYPERLINK  \l "Gap_9_9"</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Device and kit UDIs could not be encoded in standa</w:t>
            </w:r>
            <w:bookmarkStart w:id="66" w:name="_Hlt175730270"/>
            <w:r w:rsidR="004C1CD3" w:rsidRPr="00B01F9E">
              <w:rPr>
                <w:rFonts w:ascii="Arial" w:hAnsi="Arial" w:cs="Arial"/>
                <w:color w:val="0563C1"/>
                <w:sz w:val="20"/>
                <w:szCs w:val="20"/>
              </w:rPr>
              <w:t>r</w:t>
            </w:r>
            <w:bookmarkEnd w:id="66"/>
            <w:r w:rsidR="004C1CD3" w:rsidRPr="00B01F9E">
              <w:rPr>
                <w:rFonts w:ascii="Arial" w:hAnsi="Arial" w:cs="Arial"/>
                <w:color w:val="0563C1"/>
                <w:sz w:val="20"/>
                <w:szCs w:val="20"/>
              </w:rPr>
              <w:t>dized formats</w:t>
            </w:r>
            <w:r w:rsidRPr="00B01F9E">
              <w:rPr>
                <w:rFonts w:ascii="Arial" w:hAnsi="Arial" w:cs="Arial"/>
                <w:color w:val="0563C1"/>
                <w:sz w:val="20"/>
                <w:szCs w:val="20"/>
              </w:rPr>
              <w:fldChar w:fldCharType="end"/>
            </w:r>
            <w:r w:rsidR="004C1CD3" w:rsidRPr="00B01F9E">
              <w:rPr>
                <w:rFonts w:ascii="Arial" w:hAnsi="Arial" w:cs="Arial"/>
                <w:color w:val="0563C1"/>
                <w:sz w:val="20"/>
                <w:szCs w:val="20"/>
              </w:rPr>
              <w:t xml:space="preserve"> </w:t>
            </w:r>
            <w:bookmarkEnd w:id="65"/>
          </w:p>
        </w:tc>
        <w:tc>
          <w:tcPr>
            <w:tcW w:w="1440" w:type="dxa"/>
            <w:vAlign w:val="center"/>
          </w:tcPr>
          <w:p w14:paraId="3B028E2F"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6C157E6F"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0FA04E9B" w14:textId="531F86D5"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61" behindDoc="0" locked="0" layoutInCell="1" allowOverlap="1" wp14:anchorId="61E3A5AD" wp14:editId="7557C133">
                      <wp:simplePos x="0" y="0"/>
                      <wp:positionH relativeFrom="column">
                        <wp:posOffset>183197</wp:posOffset>
                      </wp:positionH>
                      <wp:positionV relativeFrom="paragraph">
                        <wp:posOffset>25400</wp:posOffset>
                      </wp:positionV>
                      <wp:extent cx="228600" cy="228600"/>
                      <wp:effectExtent l="0" t="0" r="19050" b="19050"/>
                      <wp:wrapNone/>
                      <wp:docPr id="439421197"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BC01E3E" id="Oval 14" o:spid="_x0000_s1026" style="position:absolute;margin-left:14.4pt;margin-top:2pt;width:18pt;height:1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" fillcolor="red" strokecolor="#4472c4" strokeweight=".5pt">
                      <v:stroke joinstyle="miter"/>
                    </v:oval>
                  </w:pict>
                </mc:Fallback>
              </mc:AlternateContent>
            </w:r>
          </w:p>
        </w:tc>
      </w:tr>
      <w:bookmarkStart w:id="67" w:name="Gap_10"/>
      <w:tr w:rsidR="004C1CD3" w:rsidRPr="00B01F9E" w14:paraId="57E87AF8" w14:textId="77777777" w:rsidTr="00D74337">
        <w:trPr>
          <w:trHeight w:val="576"/>
        </w:trPr>
        <w:tc>
          <w:tcPr>
            <w:tcW w:w="4045" w:type="dxa"/>
          </w:tcPr>
          <w:p w14:paraId="1C830B93" w14:textId="5D061E69" w:rsidR="004C1CD3" w:rsidRPr="00B01F9E" w:rsidRDefault="009A07EE" w:rsidP="00D74337">
            <w:pPr>
              <w:rPr>
                <w:rFonts w:ascii="Arial" w:eastAsia="Calibri" w:hAnsi="Arial" w:cs="Arial"/>
                <w:color w:val="0563C1"/>
                <w:sz w:val="20"/>
                <w:szCs w:val="20"/>
              </w:rPr>
            </w:pPr>
            <w:r w:rsidRPr="00B01F9E">
              <w:rPr>
                <w:rFonts w:ascii="Arial" w:hAnsi="Arial" w:cs="Arial"/>
                <w:color w:val="0563C1"/>
                <w:sz w:val="20"/>
                <w:szCs w:val="20"/>
              </w:rPr>
              <w:fldChar w:fldCharType="begin"/>
            </w:r>
            <w:r w:rsidRPr="00B01F9E">
              <w:rPr>
                <w:rFonts w:ascii="Arial" w:hAnsi="Arial" w:cs="Arial"/>
                <w:color w:val="0563C1"/>
                <w:sz w:val="20"/>
                <w:szCs w:val="20"/>
              </w:rPr>
              <w:instrText>HYPERLINK  \l "Gap_10_10"</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Challenge with UDIs for devices with multiple co</w:t>
            </w:r>
            <w:bookmarkStart w:id="68" w:name="_Hlt175730267"/>
            <w:r w:rsidR="004C1CD3" w:rsidRPr="00B01F9E">
              <w:rPr>
                <w:rFonts w:ascii="Arial" w:hAnsi="Arial" w:cs="Arial"/>
                <w:color w:val="0563C1"/>
                <w:sz w:val="20"/>
                <w:szCs w:val="20"/>
              </w:rPr>
              <w:t>m</w:t>
            </w:r>
            <w:bookmarkEnd w:id="68"/>
            <w:r w:rsidR="004C1CD3" w:rsidRPr="00B01F9E">
              <w:rPr>
                <w:rFonts w:ascii="Arial" w:hAnsi="Arial" w:cs="Arial"/>
                <w:color w:val="0563C1"/>
                <w:sz w:val="20"/>
                <w:szCs w:val="20"/>
              </w:rPr>
              <w:t>ponents</w:t>
            </w:r>
            <w:r w:rsidRPr="00B01F9E">
              <w:rPr>
                <w:rFonts w:ascii="Arial" w:hAnsi="Arial" w:cs="Arial"/>
                <w:color w:val="0563C1"/>
                <w:sz w:val="20"/>
                <w:szCs w:val="20"/>
              </w:rPr>
              <w:fldChar w:fldCharType="end"/>
            </w:r>
            <w:r w:rsidR="004C1CD3" w:rsidRPr="00B01F9E">
              <w:rPr>
                <w:rFonts w:ascii="Arial" w:hAnsi="Arial" w:cs="Arial"/>
                <w:color w:val="0563C1"/>
                <w:sz w:val="20"/>
                <w:szCs w:val="20"/>
              </w:rPr>
              <w:t xml:space="preserve"> </w:t>
            </w:r>
            <w:bookmarkEnd w:id="67"/>
          </w:p>
        </w:tc>
        <w:tc>
          <w:tcPr>
            <w:tcW w:w="1440" w:type="dxa"/>
            <w:vAlign w:val="center"/>
          </w:tcPr>
          <w:p w14:paraId="6A5FC1F8"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76A13071"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20CC47BA" w14:textId="7B848B0B"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62" behindDoc="0" locked="0" layoutInCell="1" allowOverlap="1" wp14:anchorId="6B8F3E40" wp14:editId="7153FBA8">
                      <wp:simplePos x="0" y="0"/>
                      <wp:positionH relativeFrom="column">
                        <wp:posOffset>181292</wp:posOffset>
                      </wp:positionH>
                      <wp:positionV relativeFrom="paragraph">
                        <wp:posOffset>76200</wp:posOffset>
                      </wp:positionV>
                      <wp:extent cx="228600" cy="228600"/>
                      <wp:effectExtent l="0" t="0" r="19050" b="19050"/>
                      <wp:wrapNone/>
                      <wp:docPr id="456201611"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B752291" id="Oval 14" o:spid="_x0000_s1026" style="position:absolute;margin-left:14.25pt;margin-top:6pt;width:18pt;height:1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" fillcolor="red" strokecolor="#4472c4" strokeweight=".5pt">
                      <v:stroke joinstyle="miter"/>
                    </v:oval>
                  </w:pict>
                </mc:Fallback>
              </mc:AlternateContent>
            </w:r>
          </w:p>
        </w:tc>
      </w:tr>
      <w:bookmarkStart w:id="69" w:name="Gap_11"/>
      <w:tr w:rsidR="004C1CD3" w:rsidRPr="00B01F9E" w14:paraId="06E4B801" w14:textId="77777777" w:rsidTr="00D74337">
        <w:tc>
          <w:tcPr>
            <w:tcW w:w="4045" w:type="dxa"/>
          </w:tcPr>
          <w:p w14:paraId="0CC2521D" w14:textId="3620029F" w:rsidR="004C1CD3" w:rsidRPr="00B01F9E" w:rsidRDefault="009A07EE" w:rsidP="00D74337">
            <w:pPr>
              <w:rPr>
                <w:rFonts w:ascii="Arial" w:eastAsia="Calibri" w:hAnsi="Arial" w:cs="Arial"/>
                <w:color w:val="0563C1"/>
                <w:sz w:val="20"/>
                <w:szCs w:val="20"/>
              </w:rPr>
            </w:pPr>
            <w:r w:rsidRPr="00B01F9E">
              <w:rPr>
                <w:rFonts w:ascii="Arial" w:hAnsi="Arial" w:cs="Arial"/>
                <w:color w:val="0563C1"/>
                <w:sz w:val="20"/>
                <w:szCs w:val="20"/>
              </w:rPr>
              <w:fldChar w:fldCharType="begin"/>
            </w:r>
            <w:r w:rsidRPr="00B01F9E">
              <w:rPr>
                <w:rFonts w:ascii="Arial" w:hAnsi="Arial" w:cs="Arial"/>
                <w:color w:val="0563C1"/>
                <w:sz w:val="20"/>
                <w:szCs w:val="20"/>
              </w:rPr>
              <w:instrText>HYPERLINK  \l "Gap_11_11"</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Data fo</w:t>
            </w:r>
            <w:bookmarkStart w:id="70" w:name="_Hlt175730263"/>
            <w:r w:rsidR="004C1CD3" w:rsidRPr="00B01F9E">
              <w:rPr>
                <w:rFonts w:ascii="Arial" w:hAnsi="Arial" w:cs="Arial"/>
                <w:color w:val="0563C1"/>
                <w:sz w:val="20"/>
                <w:szCs w:val="20"/>
              </w:rPr>
              <w:t>r</w:t>
            </w:r>
            <w:bookmarkEnd w:id="70"/>
            <w:r w:rsidR="004C1CD3" w:rsidRPr="00B01F9E">
              <w:rPr>
                <w:rFonts w:ascii="Arial" w:hAnsi="Arial" w:cs="Arial"/>
                <w:color w:val="0563C1"/>
                <w:sz w:val="20"/>
                <w:szCs w:val="20"/>
              </w:rPr>
              <w:t xml:space="preserve"> custom fields was stored in fields intended for other use cases</w:t>
            </w:r>
            <w:r w:rsidRPr="00B01F9E">
              <w:rPr>
                <w:rFonts w:ascii="Arial" w:hAnsi="Arial" w:cs="Arial"/>
                <w:color w:val="0563C1"/>
                <w:sz w:val="20"/>
                <w:szCs w:val="20"/>
              </w:rPr>
              <w:fldChar w:fldCharType="end"/>
            </w:r>
            <w:r w:rsidR="004C1CD3" w:rsidRPr="00B01F9E">
              <w:rPr>
                <w:rFonts w:ascii="Arial" w:hAnsi="Arial" w:cs="Arial"/>
                <w:color w:val="0563C1"/>
                <w:sz w:val="20"/>
                <w:szCs w:val="20"/>
              </w:rPr>
              <w:t xml:space="preserve"> </w:t>
            </w:r>
            <w:bookmarkEnd w:id="69"/>
          </w:p>
        </w:tc>
        <w:tc>
          <w:tcPr>
            <w:tcW w:w="1440" w:type="dxa"/>
            <w:vAlign w:val="center"/>
          </w:tcPr>
          <w:p w14:paraId="15D4EA18"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2425601B"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48E4A6ED" w14:textId="26D713E4"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63" behindDoc="0" locked="0" layoutInCell="1" allowOverlap="1" wp14:anchorId="621DC456" wp14:editId="115EC85A">
                      <wp:simplePos x="0" y="0"/>
                      <wp:positionH relativeFrom="column">
                        <wp:posOffset>182880</wp:posOffset>
                      </wp:positionH>
                      <wp:positionV relativeFrom="paragraph">
                        <wp:posOffset>29684</wp:posOffset>
                      </wp:positionV>
                      <wp:extent cx="228600" cy="228600"/>
                      <wp:effectExtent l="0" t="0" r="19050" b="19050"/>
                      <wp:wrapNone/>
                      <wp:docPr id="783628112"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3F5C7382" id="Oval 14" o:spid="_x0000_s1026" style="position:absolute;margin-left:14.4pt;margin-top:2.35pt;width:18pt;height:1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" fillcolor="red" strokecolor="#4472c4" strokeweight=".5pt">
                      <v:stroke joinstyle="miter"/>
                    </v:oval>
                  </w:pict>
                </mc:Fallback>
              </mc:AlternateContent>
            </w:r>
          </w:p>
        </w:tc>
      </w:tr>
      <w:tr w:rsidR="004C1CD3" w:rsidRPr="00B01F9E" w14:paraId="64A854B5" w14:textId="77777777" w:rsidTr="00D74337">
        <w:tc>
          <w:tcPr>
            <w:tcW w:w="9350" w:type="dxa"/>
            <w:gridSpan w:val="4"/>
            <w:shd w:val="clear" w:color="auto" w:fill="E7E6E6"/>
          </w:tcPr>
          <w:p w14:paraId="0F73B30B" w14:textId="437398D7" w:rsidR="004C1CD3" w:rsidRPr="00B01F9E" w:rsidRDefault="004C1CD3" w:rsidP="00D74337">
            <w:pPr>
              <w:rPr>
                <w:rFonts w:ascii="Arial" w:eastAsia="Calibri" w:hAnsi="Arial" w:cs="Arial"/>
                <w:sz w:val="20"/>
                <w:szCs w:val="20"/>
              </w:rPr>
            </w:pPr>
            <w:r w:rsidRPr="00B01F9E">
              <w:rPr>
                <w:rFonts w:ascii="Arial" w:eastAsia="Calibri" w:hAnsi="Arial" w:cs="Arial"/>
                <w:b/>
                <w:bCs/>
                <w:sz w:val="20"/>
                <w:szCs w:val="20"/>
              </w:rPr>
              <w:t xml:space="preserve">Gaps Related to Entering Results in Epic Beaker </w:t>
            </w:r>
          </w:p>
        </w:tc>
      </w:tr>
      <w:bookmarkStart w:id="71" w:name="Gap_12"/>
      <w:tr w:rsidR="004C1CD3" w:rsidRPr="00B01F9E" w14:paraId="189D18B8" w14:textId="77777777" w:rsidTr="00D74337">
        <w:tc>
          <w:tcPr>
            <w:tcW w:w="4045" w:type="dxa"/>
            <w:tcBorders>
              <w:bottom w:val="single" w:sz="4" w:space="0" w:color="auto"/>
            </w:tcBorders>
          </w:tcPr>
          <w:p w14:paraId="28C687EF" w14:textId="7502DAE4" w:rsidR="004C1CD3" w:rsidRPr="00B01F9E" w:rsidRDefault="009A07EE" w:rsidP="00D74337">
            <w:pPr>
              <w:rPr>
                <w:rFonts w:ascii="Arial" w:eastAsia="Calibri" w:hAnsi="Arial" w:cs="Arial"/>
                <w:sz w:val="20"/>
                <w:szCs w:val="20"/>
              </w:rPr>
            </w:pPr>
            <w:r w:rsidRPr="00B01F9E">
              <w:rPr>
                <w:rFonts w:ascii="Arial" w:eastAsia="Calibri" w:hAnsi="Arial" w:cs="Arial"/>
                <w:color w:val="0563C1"/>
                <w:sz w:val="20"/>
                <w:szCs w:val="20"/>
              </w:rPr>
              <w:fldChar w:fldCharType="begin"/>
            </w:r>
            <w:r w:rsidRPr="00B01F9E">
              <w:rPr>
                <w:rFonts w:ascii="Arial" w:eastAsia="Calibri" w:hAnsi="Arial" w:cs="Arial"/>
                <w:color w:val="0563C1"/>
                <w:sz w:val="20"/>
                <w:szCs w:val="20"/>
              </w:rPr>
              <w:instrText>HYPERLINK  \l "Gap_12_12"</w:instrText>
            </w:r>
            <w:r w:rsidRPr="00B01F9E">
              <w:rPr>
                <w:rFonts w:ascii="Arial" w:eastAsia="Calibri" w:hAnsi="Arial" w:cs="Arial"/>
                <w:color w:val="0563C1"/>
                <w:sz w:val="20"/>
                <w:szCs w:val="20"/>
              </w:rPr>
            </w:r>
            <w:r w:rsidRPr="00B01F9E">
              <w:rPr>
                <w:rFonts w:ascii="Arial" w:eastAsia="Calibri" w:hAnsi="Arial" w:cs="Arial"/>
                <w:color w:val="0563C1"/>
                <w:sz w:val="20"/>
                <w:szCs w:val="20"/>
              </w:rPr>
              <w:fldChar w:fldCharType="separate"/>
            </w:r>
            <w:r w:rsidR="004C1CD3" w:rsidRPr="00B01F9E">
              <w:rPr>
                <w:rFonts w:ascii="Arial" w:hAnsi="Arial" w:cs="Arial"/>
                <w:color w:val="0563C1"/>
                <w:sz w:val="20"/>
                <w:szCs w:val="20"/>
              </w:rPr>
              <w:t>Speci</w:t>
            </w:r>
            <w:bookmarkStart w:id="72" w:name="_Hlt175730054"/>
            <w:r w:rsidR="004C1CD3" w:rsidRPr="00B01F9E">
              <w:rPr>
                <w:rFonts w:ascii="Arial" w:hAnsi="Arial" w:cs="Arial"/>
                <w:color w:val="0563C1"/>
                <w:sz w:val="20"/>
                <w:szCs w:val="20"/>
              </w:rPr>
              <w:t>m</w:t>
            </w:r>
            <w:bookmarkStart w:id="73" w:name="_Hlt175667917"/>
            <w:bookmarkStart w:id="74" w:name="_Hlt175730163"/>
            <w:bookmarkStart w:id="75" w:name="_Hlt175730736"/>
            <w:bookmarkEnd w:id="72"/>
            <w:r w:rsidR="004C1CD3" w:rsidRPr="00B01F9E">
              <w:rPr>
                <w:rFonts w:ascii="Arial" w:hAnsi="Arial" w:cs="Arial"/>
                <w:color w:val="0563C1"/>
                <w:sz w:val="20"/>
                <w:szCs w:val="20"/>
              </w:rPr>
              <w:t>e</w:t>
            </w:r>
            <w:bookmarkEnd w:id="73"/>
            <w:bookmarkEnd w:id="74"/>
            <w:bookmarkEnd w:id="75"/>
            <w:r w:rsidR="004C1CD3" w:rsidRPr="00B01F9E">
              <w:rPr>
                <w:rFonts w:ascii="Arial" w:hAnsi="Arial" w:cs="Arial"/>
                <w:color w:val="0563C1"/>
                <w:sz w:val="20"/>
                <w:szCs w:val="20"/>
              </w:rPr>
              <w:t>n de</w:t>
            </w:r>
            <w:bookmarkStart w:id="76" w:name="_Hlt175765719"/>
            <w:r w:rsidR="004C1CD3" w:rsidRPr="00B01F9E">
              <w:rPr>
                <w:rFonts w:ascii="Arial" w:hAnsi="Arial" w:cs="Arial"/>
                <w:color w:val="0563C1"/>
                <w:sz w:val="20"/>
                <w:szCs w:val="20"/>
              </w:rPr>
              <w:t>s</w:t>
            </w:r>
            <w:bookmarkEnd w:id="76"/>
            <w:r w:rsidR="004C1CD3" w:rsidRPr="00B01F9E">
              <w:rPr>
                <w:rFonts w:ascii="Arial" w:hAnsi="Arial" w:cs="Arial"/>
                <w:color w:val="0563C1"/>
                <w:sz w:val="20"/>
                <w:szCs w:val="20"/>
              </w:rPr>
              <w:t xml:space="preserve">criptions are </w:t>
            </w:r>
            <w:bookmarkStart w:id="77" w:name="_Hlt175765501"/>
            <w:r w:rsidR="004C1CD3" w:rsidRPr="00B01F9E">
              <w:rPr>
                <w:rFonts w:ascii="Arial" w:hAnsi="Arial" w:cs="Arial"/>
                <w:color w:val="0563C1"/>
                <w:sz w:val="20"/>
                <w:szCs w:val="20"/>
              </w:rPr>
              <w:t>a</w:t>
            </w:r>
            <w:bookmarkEnd w:id="77"/>
            <w:r w:rsidR="004C1CD3" w:rsidRPr="00B01F9E">
              <w:rPr>
                <w:rFonts w:ascii="Arial" w:hAnsi="Arial" w:cs="Arial"/>
                <w:color w:val="0563C1"/>
                <w:sz w:val="20"/>
                <w:szCs w:val="20"/>
              </w:rPr>
              <w:t xml:space="preserve"> chall</w:t>
            </w:r>
            <w:bookmarkStart w:id="78" w:name="_Hlt175731283"/>
            <w:r w:rsidR="004C1CD3" w:rsidRPr="00B01F9E">
              <w:rPr>
                <w:rFonts w:ascii="Arial" w:hAnsi="Arial" w:cs="Arial"/>
                <w:color w:val="0563C1"/>
                <w:sz w:val="20"/>
                <w:szCs w:val="20"/>
              </w:rPr>
              <w:t>e</w:t>
            </w:r>
            <w:bookmarkEnd w:id="78"/>
            <w:r w:rsidR="004C1CD3" w:rsidRPr="00B01F9E">
              <w:rPr>
                <w:rFonts w:ascii="Arial" w:hAnsi="Arial" w:cs="Arial"/>
                <w:color w:val="0563C1"/>
                <w:sz w:val="20"/>
                <w:szCs w:val="20"/>
              </w:rPr>
              <w:t>nge for culture test</w:t>
            </w:r>
            <w:r w:rsidRPr="00B01F9E">
              <w:rPr>
                <w:rFonts w:ascii="Arial" w:eastAsia="Calibri" w:hAnsi="Arial" w:cs="Arial"/>
                <w:color w:val="0563C1"/>
                <w:sz w:val="20"/>
                <w:szCs w:val="20"/>
              </w:rPr>
              <w:fldChar w:fldCharType="end"/>
            </w:r>
            <w:r w:rsidR="004C1CD3" w:rsidRPr="00B01F9E">
              <w:rPr>
                <w:rFonts w:ascii="Arial" w:eastAsia="Calibri" w:hAnsi="Arial" w:cs="Arial"/>
                <w:color w:val="0563C1"/>
                <w:sz w:val="20"/>
                <w:szCs w:val="20"/>
              </w:rPr>
              <w:t xml:space="preserve"> </w:t>
            </w:r>
            <w:bookmarkEnd w:id="71"/>
          </w:p>
        </w:tc>
        <w:tc>
          <w:tcPr>
            <w:tcW w:w="1440" w:type="dxa"/>
            <w:tcBorders>
              <w:bottom w:val="single" w:sz="4" w:space="0" w:color="auto"/>
            </w:tcBorders>
            <w:vAlign w:val="center"/>
          </w:tcPr>
          <w:p w14:paraId="6359B00B" w14:textId="77777777" w:rsidR="004C1CD3" w:rsidRPr="00B01F9E" w:rsidRDefault="004C1CD3" w:rsidP="004C1CD3">
            <w:pPr>
              <w:jc w:val="center"/>
              <w:rPr>
                <w:rFonts w:ascii="Arial" w:eastAsia="Calibri" w:hAnsi="Arial" w:cs="Arial"/>
                <w:sz w:val="20"/>
                <w:szCs w:val="20"/>
              </w:rPr>
            </w:pPr>
          </w:p>
        </w:tc>
        <w:tc>
          <w:tcPr>
            <w:tcW w:w="2700" w:type="dxa"/>
            <w:tcBorders>
              <w:bottom w:val="single" w:sz="4" w:space="0" w:color="auto"/>
            </w:tcBorders>
            <w:vAlign w:val="center"/>
          </w:tcPr>
          <w:p w14:paraId="02C37622"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Borders>
              <w:bottom w:val="single" w:sz="4" w:space="0" w:color="auto"/>
            </w:tcBorders>
          </w:tcPr>
          <w:p w14:paraId="1F97AB8E" w14:textId="2422E513"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64" behindDoc="0" locked="0" layoutInCell="1" allowOverlap="1" wp14:anchorId="7DD8DACA" wp14:editId="034E7A49">
                      <wp:simplePos x="0" y="0"/>
                      <wp:positionH relativeFrom="column">
                        <wp:posOffset>183832</wp:posOffset>
                      </wp:positionH>
                      <wp:positionV relativeFrom="paragraph">
                        <wp:posOffset>26670</wp:posOffset>
                      </wp:positionV>
                      <wp:extent cx="228600" cy="228600"/>
                      <wp:effectExtent l="0" t="0" r="19050" b="19050"/>
                      <wp:wrapNone/>
                      <wp:docPr id="1752834734"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A26A011" id="Oval 14" o:spid="_x0000_s1026" style="position:absolute;margin-left:14.45pt;margin-top:2.1pt;width:18pt;height:1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" fillcolor="red" strokecolor="#4472c4" strokeweight=".5pt">
                      <v:stroke joinstyle="miter"/>
                    </v:oval>
                  </w:pict>
                </mc:Fallback>
              </mc:AlternateContent>
            </w:r>
          </w:p>
        </w:tc>
      </w:tr>
      <w:tr w:rsidR="00427ADB" w:rsidRPr="00B01F9E" w14:paraId="41AFFC01" w14:textId="77777777" w:rsidTr="00427ADB">
        <w:tc>
          <w:tcPr>
            <w:tcW w:w="4045" w:type="dxa"/>
            <w:tcBorders>
              <w:top w:val="single" w:sz="4" w:space="0" w:color="auto"/>
              <w:left w:val="nil"/>
              <w:bottom w:val="nil"/>
              <w:right w:val="nil"/>
            </w:tcBorders>
          </w:tcPr>
          <w:p w14:paraId="20A2F735" w14:textId="77777777" w:rsidR="00427ADB" w:rsidRPr="00B01F9E" w:rsidRDefault="00427ADB" w:rsidP="004C1CD3">
            <w:pPr>
              <w:rPr>
                <w:rFonts w:ascii="Arial" w:eastAsia="Calibri" w:hAnsi="Arial" w:cs="Arial"/>
                <w:color w:val="0563C1"/>
                <w:sz w:val="20"/>
                <w:szCs w:val="20"/>
              </w:rPr>
            </w:pPr>
          </w:p>
        </w:tc>
        <w:tc>
          <w:tcPr>
            <w:tcW w:w="1440" w:type="dxa"/>
            <w:tcBorders>
              <w:top w:val="single" w:sz="4" w:space="0" w:color="auto"/>
              <w:left w:val="nil"/>
              <w:bottom w:val="nil"/>
              <w:right w:val="nil"/>
            </w:tcBorders>
            <w:vAlign w:val="center"/>
          </w:tcPr>
          <w:p w14:paraId="26F2693F" w14:textId="77777777" w:rsidR="00427ADB" w:rsidRPr="00B01F9E" w:rsidRDefault="00427ADB" w:rsidP="004C1CD3">
            <w:pPr>
              <w:jc w:val="center"/>
              <w:rPr>
                <w:rFonts w:ascii="Arial" w:eastAsia="Calibri" w:hAnsi="Arial" w:cs="Arial"/>
                <w:sz w:val="20"/>
                <w:szCs w:val="20"/>
              </w:rPr>
            </w:pPr>
          </w:p>
        </w:tc>
        <w:tc>
          <w:tcPr>
            <w:tcW w:w="2700" w:type="dxa"/>
            <w:tcBorders>
              <w:top w:val="single" w:sz="4" w:space="0" w:color="auto"/>
              <w:left w:val="nil"/>
              <w:bottom w:val="nil"/>
              <w:right w:val="nil"/>
            </w:tcBorders>
            <w:vAlign w:val="center"/>
          </w:tcPr>
          <w:p w14:paraId="3CBC6A2E" w14:textId="77777777" w:rsidR="00427ADB" w:rsidRPr="00B01F9E" w:rsidRDefault="00427ADB" w:rsidP="004C1CD3">
            <w:pPr>
              <w:jc w:val="center"/>
              <w:rPr>
                <w:rFonts w:ascii="Arial" w:eastAsia="Calibri" w:hAnsi="Arial" w:cs="Arial"/>
                <w:sz w:val="20"/>
                <w:szCs w:val="20"/>
              </w:rPr>
            </w:pPr>
          </w:p>
        </w:tc>
        <w:tc>
          <w:tcPr>
            <w:tcW w:w="1165" w:type="dxa"/>
            <w:tcBorders>
              <w:top w:val="single" w:sz="4" w:space="0" w:color="auto"/>
              <w:left w:val="nil"/>
              <w:bottom w:val="nil"/>
              <w:right w:val="nil"/>
            </w:tcBorders>
          </w:tcPr>
          <w:p w14:paraId="23424DD0" w14:textId="77777777" w:rsidR="00427ADB" w:rsidRPr="00B01F9E" w:rsidRDefault="00427ADB" w:rsidP="004C1CD3">
            <w:pPr>
              <w:rPr>
                <w:rFonts w:ascii="Arial" w:eastAsia="Calibri" w:hAnsi="Arial" w:cs="Arial"/>
                <w:noProof/>
                <w:sz w:val="20"/>
                <w:szCs w:val="20"/>
              </w:rPr>
            </w:pPr>
          </w:p>
        </w:tc>
      </w:tr>
    </w:tbl>
    <w:p w14:paraId="29DAD9B4" w14:textId="5325B023" w:rsidR="004C1CD3" w:rsidRPr="00B01F9E" w:rsidRDefault="004C1CD3" w:rsidP="00067872">
      <w:pPr>
        <w:rPr>
          <w:rFonts w:ascii="Arial" w:eastAsia="Calibri" w:hAnsi="Arial" w:cs="Arial"/>
          <w:kern w:val="2"/>
          <w:sz w:val="20"/>
          <w:szCs w:val="20"/>
          <w14:ligatures w14:val="standardContextual"/>
        </w:rPr>
      </w:pPr>
      <w:r w:rsidRPr="00B01F9E">
        <w:rPr>
          <w:rFonts w:ascii="Arial" w:eastAsia="Calibri" w:hAnsi="Arial" w:cs="Arial"/>
          <w:noProof/>
          <w:kern w:val="2"/>
          <w:sz w:val="20"/>
          <w:szCs w:val="20"/>
          <w14:ligatures w14:val="standardContextual"/>
        </w:rPr>
        <w:drawing>
          <wp:inline distT="0" distB="0" distL="0" distR="0" wp14:anchorId="28AB6E90" wp14:editId="53BD6606">
            <wp:extent cx="2475781" cy="1561522"/>
            <wp:effectExtent l="0" t="0" r="1270" b="635"/>
            <wp:docPr id="95667969" name="Picture 30" descr="A chart with text on it&#10;&#10;Description automatically generated with medium confidence">
              <a:extLst xmlns:a="http://schemas.openxmlformats.org/drawingml/2006/main">
                <a:ext uri="{FF2B5EF4-FFF2-40B4-BE49-F238E27FC236}">
                  <a16:creationId xmlns:a16="http://schemas.microsoft.com/office/drawing/2014/main" id="{4033217C-7B69-A13A-424E-B3EF9ECC7E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A chart with text on it&#10;&#10;Description automatically generated with medium confidence">
                      <a:extLst>
                        <a:ext uri="{FF2B5EF4-FFF2-40B4-BE49-F238E27FC236}">
                          <a16:creationId xmlns:a16="http://schemas.microsoft.com/office/drawing/2014/main" id="{4033217C-7B69-A13A-424E-B3EF9ECC7E67}"/>
                        </a:ext>
                      </a:extLst>
                    </pic:cNvPr>
                    <pic:cNvPicPr>
                      <a:picLocks noChangeAspect="1"/>
                    </pic:cNvPicPr>
                  </pic:nvPicPr>
                  <pic:blipFill>
                    <a:blip r:embed="rId62"/>
                    <a:stretch>
                      <a:fillRect/>
                    </a:stretch>
                  </pic:blipFill>
                  <pic:spPr>
                    <a:xfrm>
                      <a:off x="0" y="0"/>
                      <a:ext cx="2502546" cy="1578403"/>
                    </a:xfrm>
                    <a:prstGeom prst="rect">
                      <a:avLst/>
                    </a:prstGeom>
                  </pic:spPr>
                </pic:pic>
              </a:graphicData>
            </a:graphic>
          </wp:inline>
        </w:drawing>
      </w:r>
    </w:p>
    <w:p w14:paraId="4BDE96B2" w14:textId="77777777" w:rsidR="004C1CD3" w:rsidRPr="00B01F9E" w:rsidRDefault="004C1CD3" w:rsidP="004C1CD3">
      <w:pPr>
        <w:spacing w:after="0"/>
        <w:rPr>
          <w:rFonts w:ascii="Arial" w:eastAsia="Calibri" w:hAnsi="Arial" w:cs="Arial"/>
          <w:b/>
          <w:color w:val="009BBF"/>
          <w:kern w:val="2"/>
          <w:sz w:val="20"/>
          <w:szCs w:val="20"/>
          <w14:ligatures w14:val="standardContextual"/>
        </w:rPr>
      </w:pPr>
    </w:p>
    <w:p w14:paraId="35480F5E" w14:textId="77777777" w:rsidR="004C1CD3" w:rsidRPr="00B01F9E" w:rsidRDefault="004C1CD3" w:rsidP="004C1CD3">
      <w:pPr>
        <w:spacing w:after="0"/>
        <w:rPr>
          <w:rFonts w:ascii="Arial" w:eastAsia="Calibri" w:hAnsi="Arial" w:cs="Arial"/>
          <w:b/>
          <w:color w:val="009BBF"/>
          <w:kern w:val="2"/>
          <w:sz w:val="20"/>
          <w:szCs w:val="20"/>
          <w14:ligatures w14:val="standardContextual"/>
        </w:rPr>
      </w:pPr>
    </w:p>
    <w:p w14:paraId="44A68785" w14:textId="1393678E" w:rsidR="004C1CD3" w:rsidRPr="00B01F9E" w:rsidRDefault="004C1CD3" w:rsidP="005D4E25">
      <w:pPr>
        <w:pStyle w:val="Heading5"/>
        <w:spacing w:before="0"/>
        <w:rPr>
          <w:rFonts w:ascii="Arial" w:eastAsia="Yu Gothic Light" w:hAnsi="Arial" w:cs="Arial"/>
          <w:b/>
          <w:color w:val="009BBF"/>
          <w:kern w:val="2"/>
          <w:sz w:val="20"/>
          <w:szCs w:val="20"/>
          <w14:ligatures w14:val="standardContextual"/>
        </w:rPr>
      </w:pPr>
      <w:r w:rsidRPr="00B01F9E">
        <w:rPr>
          <w:rFonts w:ascii="Arial" w:hAnsi="Arial" w:cs="Arial"/>
          <w:b/>
          <w:bCs/>
          <w:color w:val="009ABF" w:themeColor="text1"/>
          <w:sz w:val="20"/>
          <w:szCs w:val="20"/>
        </w:rPr>
        <w:lastRenderedPageBreak/>
        <w:t>T</w:t>
      </w:r>
      <w:r w:rsidRPr="00B01F9E">
        <w:rPr>
          <w:rFonts w:ascii="Arial" w:eastAsia="Yu Gothic Light" w:hAnsi="Arial" w:cs="Arial"/>
          <w:b/>
          <w:color w:val="009BBF"/>
          <w:kern w:val="2"/>
          <w:sz w:val="20"/>
          <w:szCs w:val="20"/>
          <w14:ligatures w14:val="standardContextual"/>
        </w:rPr>
        <w:t xml:space="preserve">able </w:t>
      </w:r>
      <w:r w:rsidR="005D3AB3" w:rsidRPr="00B01F9E">
        <w:rPr>
          <w:rFonts w:ascii="Arial" w:eastAsia="Yu Gothic Light" w:hAnsi="Arial" w:cs="Arial"/>
          <w:b/>
          <w:color w:val="009BBF"/>
          <w:kern w:val="2"/>
          <w:sz w:val="20"/>
          <w:szCs w:val="20"/>
          <w14:ligatures w14:val="standardContextual"/>
        </w:rPr>
        <w:t>8</w:t>
      </w:r>
      <w:r w:rsidRPr="00B01F9E">
        <w:rPr>
          <w:rFonts w:ascii="Arial" w:eastAsia="Yu Gothic Light" w:hAnsi="Arial" w:cs="Arial"/>
          <w:b/>
          <w:color w:val="009BBF"/>
          <w:kern w:val="2"/>
          <w:sz w:val="20"/>
          <w:szCs w:val="20"/>
          <w14:ligatures w14:val="standardContextual"/>
        </w:rPr>
        <w:t xml:space="preserve"> (cont.): Summary of Identified Gaps</w:t>
      </w:r>
    </w:p>
    <w:tbl>
      <w:tblPr>
        <w:tblStyle w:val="TableGrid9"/>
        <w:tblW w:w="0" w:type="auto"/>
        <w:tblLook w:val="04A0" w:firstRow="1" w:lastRow="0" w:firstColumn="1" w:lastColumn="0" w:noHBand="0" w:noVBand="1"/>
      </w:tblPr>
      <w:tblGrid>
        <w:gridCol w:w="4225"/>
        <w:gridCol w:w="1260"/>
        <w:gridCol w:w="2700"/>
        <w:gridCol w:w="1165"/>
      </w:tblGrid>
      <w:tr w:rsidR="004C1CD3" w:rsidRPr="00B01F9E" w14:paraId="30999A3D" w14:textId="77777777" w:rsidTr="00D74337">
        <w:trPr>
          <w:trHeight w:val="350"/>
        </w:trPr>
        <w:tc>
          <w:tcPr>
            <w:tcW w:w="4225" w:type="dxa"/>
          </w:tcPr>
          <w:p w14:paraId="43A9DF85" w14:textId="77777777"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 xml:space="preserve">Identified Gap </w:t>
            </w:r>
          </w:p>
        </w:tc>
        <w:tc>
          <w:tcPr>
            <w:tcW w:w="1260" w:type="dxa"/>
          </w:tcPr>
          <w:p w14:paraId="66F0C1DD" w14:textId="77777777"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 xml:space="preserve">Temporary Resolution Used </w:t>
            </w:r>
          </w:p>
        </w:tc>
        <w:tc>
          <w:tcPr>
            <w:tcW w:w="2700" w:type="dxa"/>
          </w:tcPr>
          <w:p w14:paraId="3D4A1F3D" w14:textId="67509BE9"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Long</w:t>
            </w:r>
            <w:r w:rsidR="00FE6556" w:rsidRPr="00B01F9E">
              <w:rPr>
                <w:rFonts w:ascii="Arial" w:eastAsia="Calibri" w:hAnsi="Arial" w:cs="Arial"/>
                <w:b/>
                <w:bCs/>
                <w:sz w:val="20"/>
                <w:szCs w:val="20"/>
              </w:rPr>
              <w:t>-</w:t>
            </w:r>
            <w:r w:rsidRPr="00B01F9E">
              <w:rPr>
                <w:rFonts w:ascii="Arial" w:eastAsia="Calibri" w:hAnsi="Arial" w:cs="Arial"/>
                <w:b/>
                <w:bCs/>
                <w:sz w:val="20"/>
                <w:szCs w:val="20"/>
              </w:rPr>
              <w:t xml:space="preserve">Term Resolution – Requires Vendor or SDO Involvement </w:t>
            </w:r>
          </w:p>
        </w:tc>
        <w:tc>
          <w:tcPr>
            <w:tcW w:w="1165" w:type="dxa"/>
          </w:tcPr>
          <w:p w14:paraId="5F9D4CD6" w14:textId="77777777" w:rsidR="004C1CD3" w:rsidRPr="00B01F9E" w:rsidRDefault="004C1CD3" w:rsidP="00D74337">
            <w:pPr>
              <w:rPr>
                <w:rFonts w:ascii="Arial" w:eastAsia="Calibri" w:hAnsi="Arial" w:cs="Arial"/>
                <w:b/>
                <w:bCs/>
                <w:sz w:val="20"/>
                <w:szCs w:val="20"/>
              </w:rPr>
            </w:pPr>
            <w:r w:rsidRPr="00B01F9E">
              <w:rPr>
                <w:rFonts w:ascii="Arial" w:eastAsia="Calibri" w:hAnsi="Arial" w:cs="Arial"/>
                <w:b/>
                <w:bCs/>
                <w:sz w:val="20"/>
                <w:szCs w:val="20"/>
              </w:rPr>
              <w:t xml:space="preserve">Impact </w:t>
            </w:r>
          </w:p>
        </w:tc>
      </w:tr>
      <w:tr w:rsidR="004C1CD3" w:rsidRPr="00B01F9E" w14:paraId="2B2100A4" w14:textId="77777777" w:rsidTr="004C1CD3">
        <w:tc>
          <w:tcPr>
            <w:tcW w:w="9350" w:type="dxa"/>
            <w:gridSpan w:val="4"/>
            <w:shd w:val="clear" w:color="auto" w:fill="E7E6E6"/>
          </w:tcPr>
          <w:p w14:paraId="0FBEF09A" w14:textId="4A1AC3FA" w:rsidR="004C1CD3" w:rsidRPr="00B01F9E" w:rsidRDefault="004C1CD3" w:rsidP="004C1CD3">
            <w:pPr>
              <w:rPr>
                <w:rFonts w:ascii="Arial" w:eastAsia="Calibri" w:hAnsi="Arial" w:cs="Arial"/>
                <w:sz w:val="20"/>
                <w:szCs w:val="20"/>
              </w:rPr>
            </w:pPr>
            <w:r w:rsidRPr="00B01F9E">
              <w:rPr>
                <w:rFonts w:ascii="Arial" w:eastAsia="Calibri" w:hAnsi="Arial" w:cs="Arial"/>
                <w:b/>
                <w:bCs/>
                <w:sz w:val="20"/>
                <w:szCs w:val="20"/>
              </w:rPr>
              <w:t xml:space="preserve">Gaps Related to LIS Result Interface </w:t>
            </w:r>
          </w:p>
        </w:tc>
      </w:tr>
      <w:bookmarkStart w:id="79" w:name="Gap_13"/>
      <w:tr w:rsidR="004C1CD3" w:rsidRPr="00B01F9E" w14:paraId="611E797B" w14:textId="77777777" w:rsidTr="00D74337">
        <w:tc>
          <w:tcPr>
            <w:tcW w:w="4225" w:type="dxa"/>
          </w:tcPr>
          <w:p w14:paraId="2C224C00" w14:textId="3479B0ED" w:rsidR="004C1CD3" w:rsidRPr="00B01F9E" w:rsidRDefault="00094273" w:rsidP="00D74337">
            <w:pPr>
              <w:rPr>
                <w:rFonts w:ascii="Arial"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"Gap_13_13"</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 xml:space="preserve">Unable </w:t>
            </w:r>
            <w:bookmarkStart w:id="80" w:name="_Hlt175765728"/>
            <w:r w:rsidR="004C1CD3" w:rsidRPr="00B01F9E">
              <w:rPr>
                <w:rFonts w:ascii="Arial" w:hAnsi="Arial" w:cs="Arial"/>
                <w:color w:val="0563C1"/>
                <w:sz w:val="20"/>
                <w:szCs w:val="20"/>
              </w:rPr>
              <w:t>t</w:t>
            </w:r>
            <w:bookmarkEnd w:id="80"/>
            <w:r w:rsidR="004C1CD3" w:rsidRPr="00B01F9E">
              <w:rPr>
                <w:rFonts w:ascii="Arial" w:hAnsi="Arial" w:cs="Arial"/>
                <w:color w:val="0563C1"/>
                <w:sz w:val="20"/>
                <w:szCs w:val="20"/>
              </w:rPr>
              <w:t>o se</w:t>
            </w:r>
            <w:bookmarkStart w:id="81" w:name="_Hlt175769283"/>
            <w:r w:rsidR="004C1CD3" w:rsidRPr="00B01F9E">
              <w:rPr>
                <w:rFonts w:ascii="Arial" w:hAnsi="Arial" w:cs="Arial"/>
                <w:color w:val="0563C1"/>
                <w:sz w:val="20"/>
                <w:szCs w:val="20"/>
              </w:rPr>
              <w:t>n</w:t>
            </w:r>
            <w:bookmarkEnd w:id="81"/>
            <w:r w:rsidR="004C1CD3" w:rsidRPr="00B01F9E">
              <w:rPr>
                <w:rFonts w:ascii="Arial" w:hAnsi="Arial" w:cs="Arial"/>
                <w:color w:val="0563C1"/>
                <w:sz w:val="20"/>
                <w:szCs w:val="20"/>
              </w:rPr>
              <w:t xml:space="preserve">d the device </w:t>
            </w:r>
            <w:bookmarkStart w:id="82" w:name="_Hlt175731295"/>
            <w:r w:rsidR="004C1CD3" w:rsidRPr="00B01F9E">
              <w:rPr>
                <w:rFonts w:ascii="Arial" w:hAnsi="Arial" w:cs="Arial"/>
                <w:color w:val="0563C1"/>
                <w:sz w:val="20"/>
                <w:szCs w:val="20"/>
              </w:rPr>
              <w:t>a</w:t>
            </w:r>
            <w:bookmarkEnd w:id="82"/>
            <w:r w:rsidR="004C1CD3" w:rsidRPr="00B01F9E">
              <w:rPr>
                <w:rFonts w:ascii="Arial" w:hAnsi="Arial" w:cs="Arial"/>
                <w:color w:val="0563C1"/>
                <w:sz w:val="20"/>
                <w:szCs w:val="20"/>
              </w:rPr>
              <w:t>nd kit UDIs in OBX-</w:t>
            </w:r>
            <w:bookmarkStart w:id="83" w:name="_Hlt175730741"/>
            <w:r w:rsidR="004C1CD3" w:rsidRPr="00B01F9E">
              <w:rPr>
                <w:rFonts w:ascii="Arial" w:hAnsi="Arial" w:cs="Arial"/>
                <w:color w:val="0563C1"/>
                <w:sz w:val="20"/>
                <w:szCs w:val="20"/>
              </w:rPr>
              <w:t>1</w:t>
            </w:r>
            <w:bookmarkStart w:id="84" w:name="_Hlt175730048"/>
            <w:bookmarkEnd w:id="83"/>
            <w:r w:rsidR="004C1CD3" w:rsidRPr="00B01F9E">
              <w:rPr>
                <w:rFonts w:ascii="Arial" w:hAnsi="Arial" w:cs="Arial"/>
                <w:color w:val="0563C1"/>
                <w:sz w:val="20"/>
                <w:szCs w:val="20"/>
              </w:rPr>
              <w:t>8</w:t>
            </w:r>
            <w:bookmarkEnd w:id="79"/>
            <w:bookmarkEnd w:id="84"/>
            <w:r w:rsidRPr="00B01F9E">
              <w:rPr>
                <w:rFonts w:ascii="Arial" w:hAnsi="Arial" w:cs="Arial"/>
                <w:color w:val="0563C1"/>
                <w:sz w:val="20"/>
                <w:szCs w:val="20"/>
              </w:rPr>
              <w:fldChar w:fldCharType="end"/>
            </w:r>
          </w:p>
        </w:tc>
        <w:tc>
          <w:tcPr>
            <w:tcW w:w="1260" w:type="dxa"/>
            <w:vAlign w:val="center"/>
          </w:tcPr>
          <w:p w14:paraId="3ACA6D39"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02CCF9A7"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0C923C42" w14:textId="77777777"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0" behindDoc="0" locked="0" layoutInCell="1" allowOverlap="1" wp14:anchorId="23FFDA9C" wp14:editId="59375E3C">
                      <wp:simplePos x="0" y="0"/>
                      <wp:positionH relativeFrom="column">
                        <wp:posOffset>179070</wp:posOffset>
                      </wp:positionH>
                      <wp:positionV relativeFrom="paragraph">
                        <wp:posOffset>27779</wp:posOffset>
                      </wp:positionV>
                      <wp:extent cx="228600" cy="228600"/>
                      <wp:effectExtent l="0" t="0" r="19050" b="19050"/>
                      <wp:wrapNone/>
                      <wp:docPr id="1756352764"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71290E5E" id="Oval 5" o:spid="_x0000_s1026" style="position:absolute;margin-left:14.1pt;margin-top:2.2pt;width:18pt;height:18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" fillcolor="yellow" strokecolor="#4472c4" strokeweight=".5pt">
                      <v:stroke joinstyle="miter"/>
                    </v:oval>
                  </w:pict>
                </mc:Fallback>
              </mc:AlternateContent>
            </w:r>
          </w:p>
        </w:tc>
      </w:tr>
      <w:bookmarkStart w:id="85" w:name="Gap_14"/>
      <w:tr w:rsidR="004C1CD3" w:rsidRPr="00B01F9E" w14:paraId="6AA19B2C" w14:textId="77777777" w:rsidTr="00D74337">
        <w:trPr>
          <w:trHeight w:val="432"/>
        </w:trPr>
        <w:tc>
          <w:tcPr>
            <w:tcW w:w="4225" w:type="dxa"/>
          </w:tcPr>
          <w:p w14:paraId="69275BC8" w14:textId="65B21E4C" w:rsidR="004C1CD3" w:rsidRPr="00B01F9E" w:rsidRDefault="00094273" w:rsidP="00D74337">
            <w:pPr>
              <w:rPr>
                <w:rFonts w:ascii="Arial"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"Gap_14_14"</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Iss</w:t>
            </w:r>
            <w:bookmarkStart w:id="86" w:name="_Hlt175730745"/>
            <w:r w:rsidR="004C1CD3" w:rsidRPr="00B01F9E">
              <w:rPr>
                <w:rFonts w:ascii="Arial" w:hAnsi="Arial" w:cs="Arial"/>
                <w:color w:val="0563C1"/>
                <w:sz w:val="20"/>
                <w:szCs w:val="20"/>
              </w:rPr>
              <w:t>u</w:t>
            </w:r>
            <w:bookmarkEnd w:id="86"/>
            <w:r w:rsidR="004C1CD3" w:rsidRPr="00B01F9E">
              <w:rPr>
                <w:rFonts w:ascii="Arial" w:hAnsi="Arial" w:cs="Arial"/>
                <w:color w:val="0563C1"/>
                <w:sz w:val="20"/>
                <w:szCs w:val="20"/>
              </w:rPr>
              <w:t xml:space="preserve">e </w:t>
            </w:r>
            <w:bookmarkStart w:id="87" w:name="_Hlt175667949"/>
            <w:bookmarkStart w:id="88" w:name="_Hlt175730045"/>
            <w:r w:rsidR="004C1CD3" w:rsidRPr="00B01F9E">
              <w:rPr>
                <w:rFonts w:ascii="Arial" w:hAnsi="Arial" w:cs="Arial"/>
                <w:color w:val="0563C1"/>
                <w:sz w:val="20"/>
                <w:szCs w:val="20"/>
              </w:rPr>
              <w:t>w</w:t>
            </w:r>
            <w:bookmarkStart w:id="89" w:name="_Hlt175765732"/>
            <w:bookmarkEnd w:id="87"/>
            <w:bookmarkEnd w:id="88"/>
            <w:r w:rsidR="004C1CD3" w:rsidRPr="00B01F9E">
              <w:rPr>
                <w:rFonts w:ascii="Arial" w:hAnsi="Arial" w:cs="Arial"/>
                <w:color w:val="0563C1"/>
                <w:sz w:val="20"/>
                <w:szCs w:val="20"/>
              </w:rPr>
              <w:t>i</w:t>
            </w:r>
            <w:bookmarkEnd w:id="89"/>
            <w:r w:rsidR="004C1CD3" w:rsidRPr="00B01F9E">
              <w:rPr>
                <w:rFonts w:ascii="Arial" w:hAnsi="Arial" w:cs="Arial"/>
                <w:color w:val="0563C1"/>
                <w:sz w:val="20"/>
                <w:szCs w:val="20"/>
              </w:rPr>
              <w:t>th Gram stain result UDI in HL7 OBX</w:t>
            </w:r>
            <w:bookmarkEnd w:id="85"/>
            <w:r w:rsidRPr="00B01F9E">
              <w:rPr>
                <w:rFonts w:ascii="Arial" w:hAnsi="Arial" w:cs="Arial"/>
                <w:color w:val="0563C1"/>
                <w:sz w:val="20"/>
                <w:szCs w:val="20"/>
              </w:rPr>
              <w:fldChar w:fldCharType="end"/>
            </w:r>
          </w:p>
        </w:tc>
        <w:tc>
          <w:tcPr>
            <w:tcW w:w="1260" w:type="dxa"/>
            <w:vAlign w:val="center"/>
          </w:tcPr>
          <w:p w14:paraId="25F8FF18" w14:textId="77777777" w:rsidR="004C1CD3" w:rsidRPr="00B01F9E" w:rsidRDefault="004C1CD3" w:rsidP="004C1CD3">
            <w:pPr>
              <w:jc w:val="center"/>
              <w:rPr>
                <w:rFonts w:ascii="Arial" w:eastAsia="Calibri" w:hAnsi="Arial" w:cs="Arial"/>
                <w:sz w:val="20"/>
                <w:szCs w:val="20"/>
              </w:rPr>
            </w:pPr>
          </w:p>
        </w:tc>
        <w:tc>
          <w:tcPr>
            <w:tcW w:w="2700" w:type="dxa"/>
            <w:vAlign w:val="center"/>
          </w:tcPr>
          <w:p w14:paraId="5C5F03B9"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441EBF67" w14:textId="77777777" w:rsidR="004C1CD3" w:rsidRPr="00B01F9E" w:rsidRDefault="004C1CD3" w:rsidP="004C1CD3">
            <w:pPr>
              <w:rPr>
                <w:rFonts w:ascii="Arial" w:eastAsia="Calibri" w:hAnsi="Arial" w:cs="Arial"/>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1" behindDoc="0" locked="0" layoutInCell="1" allowOverlap="1" wp14:anchorId="21B77D6F" wp14:editId="1753CBC4">
                      <wp:simplePos x="0" y="0"/>
                      <wp:positionH relativeFrom="column">
                        <wp:posOffset>181282</wp:posOffset>
                      </wp:positionH>
                      <wp:positionV relativeFrom="paragraph">
                        <wp:posOffset>21590</wp:posOffset>
                      </wp:positionV>
                      <wp:extent cx="228600" cy="228600"/>
                      <wp:effectExtent l="0" t="0" r="19050" b="19050"/>
                      <wp:wrapNone/>
                      <wp:docPr id="877471674"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7EFF6301" id="Oval 14" o:spid="_x0000_s1026" style="position:absolute;margin-left:14.25pt;margin-top:1.7pt;width:18pt;height: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" fillcolor="red" strokecolor="#4472c4" strokeweight=".5pt">
                      <v:stroke joinstyle="miter"/>
                    </v:oval>
                  </w:pict>
                </mc:Fallback>
              </mc:AlternateContent>
            </w:r>
          </w:p>
        </w:tc>
      </w:tr>
      <w:bookmarkStart w:id="90" w:name="Gap_15"/>
      <w:tr w:rsidR="004C1CD3" w:rsidRPr="00B01F9E" w14:paraId="2B514F70" w14:textId="77777777" w:rsidTr="00D74337">
        <w:tc>
          <w:tcPr>
            <w:tcW w:w="4225" w:type="dxa"/>
          </w:tcPr>
          <w:p w14:paraId="54CACF22" w14:textId="693F87DB" w:rsidR="004C1CD3" w:rsidRPr="00B01F9E" w:rsidRDefault="00094273" w:rsidP="00D74337">
            <w:pPr>
              <w:rPr>
                <w:rFonts w:ascii="Arial"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"Gap_15_15"</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Ordered</w:t>
            </w:r>
            <w:bookmarkStart w:id="91" w:name="_Hlt175765029"/>
            <w:r w:rsidR="004C1CD3" w:rsidRPr="00B01F9E">
              <w:rPr>
                <w:rFonts w:ascii="Arial" w:hAnsi="Arial" w:cs="Arial"/>
                <w:color w:val="0563C1"/>
                <w:sz w:val="20"/>
                <w:szCs w:val="20"/>
              </w:rPr>
              <w:t xml:space="preserve"> </w:t>
            </w:r>
            <w:bookmarkEnd w:id="91"/>
            <w:r w:rsidR="004C1CD3" w:rsidRPr="00B01F9E">
              <w:rPr>
                <w:rFonts w:ascii="Arial" w:hAnsi="Arial" w:cs="Arial"/>
                <w:color w:val="0563C1"/>
                <w:sz w:val="20"/>
                <w:szCs w:val="20"/>
              </w:rPr>
              <w:t>Test LOIN</w:t>
            </w:r>
            <w:bookmarkStart w:id="92" w:name="_Hlt175667952"/>
            <w:r w:rsidR="004C1CD3" w:rsidRPr="00B01F9E">
              <w:rPr>
                <w:rFonts w:ascii="Arial" w:hAnsi="Arial" w:cs="Arial"/>
                <w:color w:val="0563C1"/>
                <w:sz w:val="20"/>
                <w:szCs w:val="20"/>
              </w:rPr>
              <w:t>C</w:t>
            </w:r>
            <w:bookmarkEnd w:id="92"/>
            <w:r w:rsidR="004C1CD3" w:rsidRPr="00B01F9E">
              <w:rPr>
                <w:rFonts w:ascii="Arial" w:hAnsi="Arial" w:cs="Arial"/>
                <w:color w:val="0563C1"/>
                <w:sz w:val="20"/>
                <w:szCs w:val="20"/>
              </w:rPr>
              <w:t xml:space="preserve"> code issu</w:t>
            </w:r>
            <w:bookmarkStart w:id="93" w:name="_Hlt175729418"/>
            <w:r w:rsidR="004C1CD3" w:rsidRPr="00B01F9E">
              <w:rPr>
                <w:rFonts w:ascii="Arial" w:hAnsi="Arial" w:cs="Arial"/>
                <w:color w:val="0563C1"/>
                <w:sz w:val="20"/>
                <w:szCs w:val="20"/>
              </w:rPr>
              <w:t>e</w:t>
            </w:r>
            <w:bookmarkEnd w:id="93"/>
            <w:r w:rsidR="004C1CD3" w:rsidRPr="00B01F9E">
              <w:rPr>
                <w:rFonts w:ascii="Arial" w:hAnsi="Arial" w:cs="Arial"/>
                <w:color w:val="0563C1"/>
                <w:sz w:val="20"/>
                <w:szCs w:val="20"/>
              </w:rPr>
              <w:t xml:space="preserve"> for AST in Epic R</w:t>
            </w:r>
            <w:bookmarkStart w:id="94" w:name="_Hlt175730042"/>
            <w:r w:rsidR="004C1CD3" w:rsidRPr="00B01F9E">
              <w:rPr>
                <w:rFonts w:ascii="Arial" w:hAnsi="Arial" w:cs="Arial"/>
                <w:color w:val="0563C1"/>
                <w:sz w:val="20"/>
                <w:szCs w:val="20"/>
              </w:rPr>
              <w:t>e</w:t>
            </w:r>
            <w:bookmarkEnd w:id="94"/>
            <w:r w:rsidR="004C1CD3" w:rsidRPr="00B01F9E">
              <w:rPr>
                <w:rFonts w:ascii="Arial" w:hAnsi="Arial" w:cs="Arial"/>
                <w:color w:val="0563C1"/>
                <w:sz w:val="20"/>
                <w:szCs w:val="20"/>
              </w:rPr>
              <w:t>su</w:t>
            </w:r>
            <w:bookmarkStart w:id="95" w:name="_Hlt175765736"/>
            <w:r w:rsidR="004C1CD3" w:rsidRPr="00B01F9E">
              <w:rPr>
                <w:rFonts w:ascii="Arial" w:hAnsi="Arial" w:cs="Arial"/>
                <w:color w:val="0563C1"/>
                <w:sz w:val="20"/>
                <w:szCs w:val="20"/>
              </w:rPr>
              <w:t>l</w:t>
            </w:r>
            <w:bookmarkEnd w:id="95"/>
            <w:r w:rsidR="004C1CD3" w:rsidRPr="00B01F9E">
              <w:rPr>
                <w:rFonts w:ascii="Arial" w:hAnsi="Arial" w:cs="Arial"/>
                <w:color w:val="0563C1"/>
                <w:sz w:val="20"/>
                <w:szCs w:val="20"/>
              </w:rPr>
              <w:t>t Message</w:t>
            </w:r>
            <w:bookmarkEnd w:id="90"/>
            <w:r w:rsidRPr="00B01F9E">
              <w:rPr>
                <w:rFonts w:ascii="Arial" w:hAnsi="Arial" w:cs="Arial"/>
                <w:color w:val="0563C1"/>
                <w:sz w:val="20"/>
                <w:szCs w:val="20"/>
              </w:rPr>
              <w:fldChar w:fldCharType="end"/>
            </w:r>
          </w:p>
        </w:tc>
        <w:tc>
          <w:tcPr>
            <w:tcW w:w="1260" w:type="dxa"/>
            <w:vAlign w:val="center"/>
          </w:tcPr>
          <w:p w14:paraId="037937A1" w14:textId="77777777" w:rsidR="004C1CD3" w:rsidRPr="00B01F9E" w:rsidRDefault="004C1CD3" w:rsidP="004C1CD3">
            <w:pPr>
              <w:jc w:val="center"/>
              <w:rPr>
                <w:rFonts w:ascii="Arial" w:eastAsia="Calibri" w:hAnsi="Arial" w:cs="Arial"/>
                <w:sz w:val="20"/>
                <w:szCs w:val="20"/>
              </w:rPr>
            </w:pPr>
          </w:p>
        </w:tc>
        <w:tc>
          <w:tcPr>
            <w:tcW w:w="2700" w:type="dxa"/>
            <w:vAlign w:val="center"/>
          </w:tcPr>
          <w:p w14:paraId="5C57BAA8"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2CA0AE73"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2" behindDoc="0" locked="0" layoutInCell="1" allowOverlap="1" wp14:anchorId="04BCD9C6" wp14:editId="5BFB43EA">
                      <wp:simplePos x="0" y="0"/>
                      <wp:positionH relativeFrom="column">
                        <wp:posOffset>180647</wp:posOffset>
                      </wp:positionH>
                      <wp:positionV relativeFrom="paragraph">
                        <wp:posOffset>26670</wp:posOffset>
                      </wp:positionV>
                      <wp:extent cx="228600" cy="228600"/>
                      <wp:effectExtent l="0" t="0" r="19050" b="19050"/>
                      <wp:wrapNone/>
                      <wp:docPr id="2083777409"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6BD63478" id="Oval 14" o:spid="_x0000_s1026" style="position:absolute;margin-left:14.2pt;margin-top:2.1pt;width:18pt;height:1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" fillcolor="red" strokecolor="#4472c4" strokeweight=".5pt">
                      <v:stroke joinstyle="miter"/>
                    </v:oval>
                  </w:pict>
                </mc:Fallback>
              </mc:AlternateContent>
            </w:r>
          </w:p>
        </w:tc>
      </w:tr>
      <w:bookmarkStart w:id="96" w:name="Gap_16"/>
      <w:tr w:rsidR="004C1CD3" w:rsidRPr="00B01F9E" w14:paraId="1AEA5282" w14:textId="77777777" w:rsidTr="00D74337">
        <w:tc>
          <w:tcPr>
            <w:tcW w:w="4225" w:type="dxa"/>
          </w:tcPr>
          <w:p w14:paraId="69615779" w14:textId="4A57B64B" w:rsidR="004C1CD3" w:rsidRPr="00B01F9E" w:rsidRDefault="009A07EE" w:rsidP="00D74337">
            <w:pPr>
              <w:rPr>
                <w:rFonts w:ascii="Arial" w:hAnsi="Arial" w:cs="Arial"/>
                <w:color w:val="0563C1"/>
                <w:sz w:val="20"/>
                <w:szCs w:val="20"/>
              </w:rPr>
            </w:pPr>
            <w:r w:rsidRPr="00B01F9E">
              <w:rPr>
                <w:rFonts w:ascii="Arial" w:hAnsi="Arial" w:cs="Arial"/>
                <w:color w:val="0563C1"/>
                <w:sz w:val="20"/>
                <w:szCs w:val="20"/>
              </w:rPr>
              <w:fldChar w:fldCharType="begin"/>
            </w:r>
            <w:r w:rsidRPr="00B01F9E">
              <w:rPr>
                <w:rFonts w:ascii="Arial" w:hAnsi="Arial" w:cs="Arial"/>
                <w:color w:val="0563C1"/>
                <w:sz w:val="20"/>
                <w:szCs w:val="20"/>
              </w:rPr>
              <w:instrText>HYPERLINK  \l "Gap_16_16"</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Failed to</w:t>
            </w:r>
            <w:bookmarkStart w:id="97" w:name="_Hlt175730038"/>
            <w:r w:rsidR="004C1CD3" w:rsidRPr="00B01F9E">
              <w:rPr>
                <w:rFonts w:ascii="Arial" w:hAnsi="Arial" w:cs="Arial"/>
                <w:color w:val="0563C1"/>
                <w:sz w:val="20"/>
                <w:szCs w:val="20"/>
              </w:rPr>
              <w:t xml:space="preserve"> </w:t>
            </w:r>
            <w:bookmarkEnd w:id="97"/>
            <w:r w:rsidR="004C1CD3" w:rsidRPr="00B01F9E">
              <w:rPr>
                <w:rFonts w:ascii="Arial" w:hAnsi="Arial" w:cs="Arial"/>
                <w:color w:val="0563C1"/>
                <w:sz w:val="20"/>
                <w:szCs w:val="20"/>
              </w:rPr>
              <w:t xml:space="preserve">send UDIs in </w:t>
            </w:r>
            <w:bookmarkStart w:id="98" w:name="_Hlt175729441"/>
            <w:r w:rsidR="004C1CD3" w:rsidRPr="00B01F9E">
              <w:rPr>
                <w:rFonts w:ascii="Arial" w:hAnsi="Arial" w:cs="Arial"/>
                <w:color w:val="0563C1"/>
                <w:sz w:val="20"/>
                <w:szCs w:val="20"/>
              </w:rPr>
              <w:t>O</w:t>
            </w:r>
            <w:bookmarkEnd w:id="98"/>
            <w:r w:rsidR="004C1CD3" w:rsidRPr="00B01F9E">
              <w:rPr>
                <w:rFonts w:ascii="Arial" w:hAnsi="Arial" w:cs="Arial"/>
                <w:color w:val="0563C1"/>
                <w:sz w:val="20"/>
                <w:szCs w:val="20"/>
              </w:rPr>
              <w:t>BX segments for AST wit</w:t>
            </w:r>
            <w:bookmarkStart w:id="99" w:name="_Hlt175667957"/>
            <w:r w:rsidR="004C1CD3" w:rsidRPr="00B01F9E">
              <w:rPr>
                <w:rFonts w:ascii="Arial" w:hAnsi="Arial" w:cs="Arial"/>
                <w:color w:val="0563C1"/>
                <w:sz w:val="20"/>
                <w:szCs w:val="20"/>
              </w:rPr>
              <w:t>h</w:t>
            </w:r>
            <w:bookmarkStart w:id="100" w:name="_Hlt175730754"/>
            <w:bookmarkEnd w:id="99"/>
            <w:r w:rsidR="004C1CD3" w:rsidRPr="00B01F9E">
              <w:rPr>
                <w:rFonts w:ascii="Arial" w:hAnsi="Arial" w:cs="Arial"/>
                <w:color w:val="0563C1"/>
                <w:sz w:val="20"/>
                <w:szCs w:val="20"/>
              </w:rPr>
              <w:t xml:space="preserve"> </w:t>
            </w:r>
            <w:bookmarkEnd w:id="100"/>
            <w:r w:rsidR="004C1CD3" w:rsidRPr="00B01F9E">
              <w:rPr>
                <w:rFonts w:ascii="Arial" w:hAnsi="Arial" w:cs="Arial"/>
                <w:color w:val="0563C1"/>
                <w:sz w:val="20"/>
                <w:szCs w:val="20"/>
              </w:rPr>
              <w:t>antibiotic results</w:t>
            </w:r>
            <w:r w:rsidRPr="00B01F9E">
              <w:rPr>
                <w:rFonts w:ascii="Arial" w:hAnsi="Arial" w:cs="Arial"/>
                <w:color w:val="0563C1"/>
                <w:sz w:val="20"/>
                <w:szCs w:val="20"/>
              </w:rPr>
              <w:fldChar w:fldCharType="end"/>
            </w:r>
            <w:r w:rsidR="004C1CD3" w:rsidRPr="00B01F9E">
              <w:rPr>
                <w:rFonts w:ascii="Arial" w:hAnsi="Arial" w:cs="Arial"/>
                <w:color w:val="0563C1"/>
                <w:sz w:val="20"/>
                <w:szCs w:val="20"/>
              </w:rPr>
              <w:t xml:space="preserve"> </w:t>
            </w:r>
            <w:bookmarkEnd w:id="96"/>
          </w:p>
        </w:tc>
        <w:tc>
          <w:tcPr>
            <w:tcW w:w="1260" w:type="dxa"/>
            <w:vAlign w:val="center"/>
          </w:tcPr>
          <w:p w14:paraId="5665AA5A" w14:textId="77777777" w:rsidR="004C1CD3" w:rsidRPr="00B01F9E" w:rsidRDefault="004C1CD3" w:rsidP="004C1CD3">
            <w:pPr>
              <w:jc w:val="center"/>
              <w:rPr>
                <w:rFonts w:ascii="Arial" w:eastAsia="Calibri" w:hAnsi="Arial" w:cs="Arial"/>
                <w:sz w:val="20"/>
                <w:szCs w:val="20"/>
              </w:rPr>
            </w:pPr>
          </w:p>
        </w:tc>
        <w:tc>
          <w:tcPr>
            <w:tcW w:w="2700" w:type="dxa"/>
            <w:vAlign w:val="center"/>
          </w:tcPr>
          <w:p w14:paraId="15452008"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17EA8483"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3" behindDoc="0" locked="0" layoutInCell="1" allowOverlap="1" wp14:anchorId="516950AF" wp14:editId="504919E6">
                      <wp:simplePos x="0" y="0"/>
                      <wp:positionH relativeFrom="column">
                        <wp:posOffset>181917</wp:posOffset>
                      </wp:positionH>
                      <wp:positionV relativeFrom="paragraph">
                        <wp:posOffset>24130</wp:posOffset>
                      </wp:positionV>
                      <wp:extent cx="228600" cy="228600"/>
                      <wp:effectExtent l="0" t="0" r="19050" b="19050"/>
                      <wp:wrapNone/>
                      <wp:docPr id="104974895"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37B1F25" id="Oval 14" o:spid="_x0000_s1026" style="position:absolute;margin-left:14.3pt;margin-top:1.9pt;width:18pt;height:1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" fillcolor="red" strokecolor="#4472c4" strokeweight=".5pt">
                      <v:stroke joinstyle="miter"/>
                    </v:oval>
                  </w:pict>
                </mc:Fallback>
              </mc:AlternateContent>
            </w:r>
          </w:p>
        </w:tc>
      </w:tr>
      <w:tr w:rsidR="004C1CD3" w:rsidRPr="00B01F9E" w14:paraId="0F109673" w14:textId="77777777" w:rsidTr="004C1CD3">
        <w:tc>
          <w:tcPr>
            <w:tcW w:w="9350" w:type="dxa"/>
            <w:gridSpan w:val="4"/>
            <w:shd w:val="clear" w:color="auto" w:fill="E7E6E6"/>
          </w:tcPr>
          <w:p w14:paraId="2A6C128E" w14:textId="66610262" w:rsidR="004C1CD3" w:rsidRPr="00B01F9E" w:rsidRDefault="004C1CD3" w:rsidP="004C1CD3">
            <w:pPr>
              <w:rPr>
                <w:rFonts w:ascii="Arial" w:eastAsia="Calibri" w:hAnsi="Arial" w:cs="Arial"/>
                <w:noProof/>
                <w:sz w:val="20"/>
                <w:szCs w:val="20"/>
              </w:rPr>
            </w:pPr>
            <w:r w:rsidRPr="00B01F9E">
              <w:rPr>
                <w:rFonts w:ascii="Arial" w:eastAsia="Calibri" w:hAnsi="Arial" w:cs="Arial"/>
                <w:b/>
                <w:bCs/>
                <w:sz w:val="20"/>
                <w:szCs w:val="20"/>
              </w:rPr>
              <w:t>Gaps Related to the LIDR</w:t>
            </w:r>
            <w:r w:rsidRPr="00B01F9E">
              <w:rPr>
                <w:rFonts w:ascii="Arial" w:eastAsia="Calibri" w:hAnsi="Arial" w:cs="Arial"/>
                <w:sz w:val="20"/>
                <w:szCs w:val="20"/>
              </w:rPr>
              <w:t xml:space="preserve"> </w:t>
            </w:r>
            <w:r w:rsidRPr="00B01F9E">
              <w:rPr>
                <w:rFonts w:ascii="Arial" w:eastAsia="Calibri" w:hAnsi="Arial" w:cs="Arial"/>
                <w:b/>
                <w:bCs/>
                <w:sz w:val="20"/>
                <w:szCs w:val="20"/>
              </w:rPr>
              <w:t xml:space="preserve">Test Compendium Report </w:t>
            </w:r>
          </w:p>
        </w:tc>
      </w:tr>
      <w:bookmarkStart w:id="101" w:name="Gap_17"/>
      <w:tr w:rsidR="004C1CD3" w:rsidRPr="00B01F9E" w14:paraId="0EEB8731" w14:textId="77777777" w:rsidTr="00153F01">
        <w:tc>
          <w:tcPr>
            <w:tcW w:w="4225" w:type="dxa"/>
          </w:tcPr>
          <w:p w14:paraId="0A686A7C" w14:textId="62F89DF7" w:rsidR="004C1CD3" w:rsidRPr="00B01F9E" w:rsidRDefault="009A07EE" w:rsidP="00153F01">
            <w:pPr>
              <w:rPr>
                <w:rFonts w:ascii="Arial" w:hAnsi="Arial" w:cs="Arial"/>
                <w:color w:val="0563C1"/>
                <w:sz w:val="20"/>
                <w:szCs w:val="20"/>
              </w:rPr>
            </w:pPr>
            <w:r w:rsidRPr="00B01F9E">
              <w:rPr>
                <w:rFonts w:ascii="Arial" w:hAnsi="Arial" w:cs="Arial"/>
                <w:color w:val="0563C1"/>
                <w:sz w:val="20"/>
                <w:szCs w:val="20"/>
              </w:rPr>
              <w:fldChar w:fldCharType="begin"/>
            </w:r>
            <w:r w:rsidRPr="00B01F9E">
              <w:rPr>
                <w:rFonts w:ascii="Arial" w:hAnsi="Arial" w:cs="Arial"/>
                <w:color w:val="0563C1"/>
                <w:sz w:val="20"/>
                <w:szCs w:val="20"/>
              </w:rPr>
              <w:instrText>HYPERLINK  \l "Gap_17_17"</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 xml:space="preserve">Impact of </w:t>
            </w:r>
            <w:bookmarkStart w:id="102" w:name="_Hlt175731303"/>
            <w:r w:rsidR="004C1CD3" w:rsidRPr="00B01F9E">
              <w:rPr>
                <w:rFonts w:ascii="Arial" w:hAnsi="Arial" w:cs="Arial"/>
                <w:color w:val="0563C1"/>
                <w:sz w:val="20"/>
                <w:szCs w:val="20"/>
              </w:rPr>
              <w:t>u</w:t>
            </w:r>
            <w:bookmarkEnd w:id="102"/>
            <w:r w:rsidR="004C1CD3" w:rsidRPr="00B01F9E">
              <w:rPr>
                <w:rFonts w:ascii="Arial" w:hAnsi="Arial" w:cs="Arial"/>
                <w:color w:val="0563C1"/>
                <w:sz w:val="20"/>
                <w:szCs w:val="20"/>
              </w:rPr>
              <w:t>sin</w:t>
            </w:r>
            <w:bookmarkStart w:id="103" w:name="_Hlt175769205"/>
            <w:r w:rsidR="004C1CD3" w:rsidRPr="00B01F9E">
              <w:rPr>
                <w:rFonts w:ascii="Arial" w:hAnsi="Arial" w:cs="Arial"/>
                <w:color w:val="0563C1"/>
                <w:sz w:val="20"/>
                <w:szCs w:val="20"/>
              </w:rPr>
              <w:t>g</w:t>
            </w:r>
            <w:bookmarkEnd w:id="103"/>
            <w:r w:rsidR="004C1CD3" w:rsidRPr="00B01F9E">
              <w:rPr>
                <w:rFonts w:ascii="Arial" w:hAnsi="Arial" w:cs="Arial"/>
                <w:color w:val="0563C1"/>
                <w:sz w:val="20"/>
                <w:szCs w:val="20"/>
              </w:rPr>
              <w:t xml:space="preserve"> interface tab</w:t>
            </w:r>
            <w:bookmarkStart w:id="104" w:name="_Hlt175769223"/>
            <w:r w:rsidR="004C1CD3" w:rsidRPr="00B01F9E">
              <w:rPr>
                <w:rFonts w:ascii="Arial" w:hAnsi="Arial" w:cs="Arial"/>
                <w:color w:val="0563C1"/>
                <w:sz w:val="20"/>
                <w:szCs w:val="20"/>
              </w:rPr>
              <w:t>l</w:t>
            </w:r>
            <w:bookmarkEnd w:id="104"/>
            <w:r w:rsidR="004C1CD3" w:rsidRPr="00B01F9E">
              <w:rPr>
                <w:rFonts w:ascii="Arial" w:hAnsi="Arial" w:cs="Arial"/>
                <w:color w:val="0563C1"/>
                <w:sz w:val="20"/>
                <w:szCs w:val="20"/>
              </w:rPr>
              <w:t>e for mapping SNOM</w:t>
            </w:r>
            <w:bookmarkStart w:id="105" w:name="_Hlt175730763"/>
            <w:r w:rsidR="004C1CD3" w:rsidRPr="00B01F9E">
              <w:rPr>
                <w:rFonts w:ascii="Arial" w:hAnsi="Arial" w:cs="Arial"/>
                <w:color w:val="0563C1"/>
                <w:sz w:val="20"/>
                <w:szCs w:val="20"/>
              </w:rPr>
              <w:t>E</w:t>
            </w:r>
            <w:bookmarkEnd w:id="105"/>
            <w:r w:rsidR="004C1CD3" w:rsidRPr="00B01F9E">
              <w:rPr>
                <w:rFonts w:ascii="Arial" w:hAnsi="Arial" w:cs="Arial"/>
                <w:color w:val="0563C1"/>
                <w:sz w:val="20"/>
                <w:szCs w:val="20"/>
              </w:rPr>
              <w:t>D C</w:t>
            </w:r>
            <w:bookmarkStart w:id="106" w:name="_Hlt175730034"/>
            <w:r w:rsidR="004C1CD3" w:rsidRPr="00B01F9E">
              <w:rPr>
                <w:rFonts w:ascii="Arial" w:hAnsi="Arial" w:cs="Arial"/>
                <w:color w:val="0563C1"/>
                <w:sz w:val="20"/>
                <w:szCs w:val="20"/>
              </w:rPr>
              <w:t>T</w:t>
            </w:r>
            <w:bookmarkEnd w:id="106"/>
            <w:r w:rsidR="004C1CD3" w:rsidRPr="00B01F9E">
              <w:rPr>
                <w:rFonts w:ascii="Arial" w:hAnsi="Arial" w:cs="Arial"/>
                <w:color w:val="0563C1"/>
                <w:sz w:val="20"/>
                <w:szCs w:val="20"/>
              </w:rPr>
              <w:t xml:space="preserve"> codes</w:t>
            </w:r>
            <w:r w:rsidRPr="00B01F9E">
              <w:rPr>
                <w:rFonts w:ascii="Arial" w:hAnsi="Arial" w:cs="Arial"/>
                <w:color w:val="0563C1"/>
                <w:sz w:val="20"/>
                <w:szCs w:val="20"/>
              </w:rPr>
              <w:fldChar w:fldCharType="end"/>
            </w:r>
            <w:r w:rsidR="004C1CD3" w:rsidRPr="00B01F9E">
              <w:rPr>
                <w:rFonts w:ascii="Arial" w:hAnsi="Arial" w:cs="Arial"/>
                <w:color w:val="0563C1"/>
                <w:sz w:val="20"/>
                <w:szCs w:val="20"/>
              </w:rPr>
              <w:t xml:space="preserve"> </w:t>
            </w:r>
            <w:bookmarkEnd w:id="101"/>
          </w:p>
        </w:tc>
        <w:tc>
          <w:tcPr>
            <w:tcW w:w="1260" w:type="dxa"/>
            <w:vAlign w:val="center"/>
          </w:tcPr>
          <w:p w14:paraId="62C9CD12" w14:textId="77777777" w:rsidR="004C1CD3" w:rsidRPr="00B01F9E" w:rsidRDefault="004C1CD3" w:rsidP="004C1CD3">
            <w:pPr>
              <w:jc w:val="center"/>
              <w:rPr>
                <w:rFonts w:ascii="Arial" w:eastAsia="Calibri" w:hAnsi="Arial" w:cs="Arial"/>
                <w:sz w:val="20"/>
                <w:szCs w:val="20"/>
              </w:rPr>
            </w:pPr>
          </w:p>
        </w:tc>
        <w:tc>
          <w:tcPr>
            <w:tcW w:w="2700" w:type="dxa"/>
            <w:vAlign w:val="center"/>
          </w:tcPr>
          <w:p w14:paraId="72CD03F4"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3E1D8E5E"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4" behindDoc="0" locked="0" layoutInCell="1" allowOverlap="1" wp14:anchorId="1F735B9B" wp14:editId="278E14FD">
                      <wp:simplePos x="0" y="0"/>
                      <wp:positionH relativeFrom="column">
                        <wp:posOffset>180012</wp:posOffset>
                      </wp:positionH>
                      <wp:positionV relativeFrom="paragraph">
                        <wp:posOffset>26035</wp:posOffset>
                      </wp:positionV>
                      <wp:extent cx="228600" cy="228600"/>
                      <wp:effectExtent l="0" t="0" r="19050" b="19050"/>
                      <wp:wrapNone/>
                      <wp:docPr id="195337324"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4B33A77D" id="Oval 14" o:spid="_x0000_s1026" style="position:absolute;margin-left:14.15pt;margin-top:2.05pt;width:18pt;height:1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" fillcolor="red" strokecolor="#4472c4" strokeweight=".5pt">
                      <v:stroke joinstyle="miter"/>
                    </v:oval>
                  </w:pict>
                </mc:Fallback>
              </mc:AlternateContent>
            </w:r>
          </w:p>
        </w:tc>
      </w:tr>
      <w:bookmarkStart w:id="107" w:name="Gap_18"/>
      <w:tr w:rsidR="004C1CD3" w:rsidRPr="00B01F9E" w14:paraId="676D649E" w14:textId="77777777" w:rsidTr="00153F01">
        <w:tc>
          <w:tcPr>
            <w:tcW w:w="4225" w:type="dxa"/>
          </w:tcPr>
          <w:p w14:paraId="7CAE0A82" w14:textId="7A8BD112" w:rsidR="004C1CD3" w:rsidRPr="00B01F9E" w:rsidRDefault="00094273" w:rsidP="00153F01">
            <w:pPr>
              <w:rPr>
                <w:rFonts w:ascii="Arial"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"Gap_18_18"</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LIDR</w:t>
            </w:r>
            <w:bookmarkStart w:id="108" w:name="_Hlt175730766"/>
            <w:r w:rsidR="004C1CD3" w:rsidRPr="00B01F9E">
              <w:rPr>
                <w:rFonts w:ascii="Arial" w:hAnsi="Arial" w:cs="Arial"/>
                <w:color w:val="0563C1"/>
                <w:sz w:val="20"/>
                <w:szCs w:val="20"/>
              </w:rPr>
              <w:t xml:space="preserve"> </w:t>
            </w:r>
            <w:bookmarkEnd w:id="108"/>
            <w:r w:rsidR="004C1CD3" w:rsidRPr="00B01F9E">
              <w:rPr>
                <w:rFonts w:ascii="Arial" w:hAnsi="Arial" w:cs="Arial"/>
                <w:color w:val="0563C1"/>
                <w:sz w:val="20"/>
                <w:szCs w:val="20"/>
              </w:rPr>
              <w:t>Test Compendium Report did not contain specimen collection method column</w:t>
            </w:r>
            <w:bookmarkEnd w:id="107"/>
            <w:r w:rsidRPr="00B01F9E">
              <w:rPr>
                <w:rFonts w:ascii="Arial" w:hAnsi="Arial" w:cs="Arial"/>
                <w:color w:val="0563C1"/>
                <w:sz w:val="20"/>
                <w:szCs w:val="20"/>
              </w:rPr>
              <w:fldChar w:fldCharType="end"/>
            </w:r>
          </w:p>
        </w:tc>
        <w:tc>
          <w:tcPr>
            <w:tcW w:w="1260" w:type="dxa"/>
            <w:vAlign w:val="center"/>
          </w:tcPr>
          <w:p w14:paraId="3BD627C5" w14:textId="77777777" w:rsidR="004C1CD3" w:rsidRPr="00B01F9E" w:rsidRDefault="004C1CD3" w:rsidP="004C1CD3">
            <w:pPr>
              <w:jc w:val="center"/>
              <w:rPr>
                <w:rFonts w:ascii="Arial" w:eastAsia="Calibri" w:hAnsi="Arial" w:cs="Arial"/>
                <w:sz w:val="20"/>
                <w:szCs w:val="20"/>
              </w:rPr>
            </w:pPr>
          </w:p>
        </w:tc>
        <w:tc>
          <w:tcPr>
            <w:tcW w:w="2700" w:type="dxa"/>
            <w:vAlign w:val="center"/>
          </w:tcPr>
          <w:p w14:paraId="21C084DD"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71B5D305"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5" behindDoc="0" locked="0" layoutInCell="1" allowOverlap="1" wp14:anchorId="10C7F2EC" wp14:editId="053C5838">
                      <wp:simplePos x="0" y="0"/>
                      <wp:positionH relativeFrom="column">
                        <wp:posOffset>183208</wp:posOffset>
                      </wp:positionH>
                      <wp:positionV relativeFrom="paragraph">
                        <wp:posOffset>23274</wp:posOffset>
                      </wp:positionV>
                      <wp:extent cx="228600" cy="228600"/>
                      <wp:effectExtent l="0" t="0" r="19050" b="19050"/>
                      <wp:wrapNone/>
                      <wp:docPr id="517306228"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19A0C8CA" id="Oval 14" o:spid="_x0000_s1026" style="position:absolute;margin-left:14.45pt;margin-top:1.85pt;width:18pt;height:1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" fillcolor="red" strokecolor="#4472c4" strokeweight=".5pt">
                      <v:stroke joinstyle="miter"/>
                    </v:oval>
                  </w:pict>
                </mc:Fallback>
              </mc:AlternateContent>
            </w:r>
          </w:p>
        </w:tc>
      </w:tr>
      <w:bookmarkStart w:id="109" w:name="Gap_19"/>
      <w:tr w:rsidR="004C1CD3" w:rsidRPr="00B01F9E" w14:paraId="398D5AF1" w14:textId="77777777" w:rsidTr="00153F01">
        <w:tc>
          <w:tcPr>
            <w:tcW w:w="4225" w:type="dxa"/>
          </w:tcPr>
          <w:p w14:paraId="6ABA00B3" w14:textId="24D5333C" w:rsidR="004C1CD3" w:rsidRPr="00B01F9E" w:rsidRDefault="00094273" w:rsidP="00153F01">
            <w:pPr>
              <w:rPr>
                <w:rFonts w:ascii="Arial"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"Gap_19_19"</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LIDR</w:t>
            </w:r>
            <w:bookmarkStart w:id="110" w:name="_Hlt175730769"/>
            <w:r w:rsidR="004C1CD3" w:rsidRPr="00B01F9E">
              <w:rPr>
                <w:rFonts w:ascii="Arial" w:hAnsi="Arial" w:cs="Arial"/>
                <w:color w:val="0563C1"/>
                <w:sz w:val="20"/>
                <w:szCs w:val="20"/>
              </w:rPr>
              <w:t xml:space="preserve"> </w:t>
            </w:r>
            <w:bookmarkEnd w:id="110"/>
            <w:r w:rsidR="004C1CD3" w:rsidRPr="00B01F9E">
              <w:rPr>
                <w:rFonts w:ascii="Arial" w:hAnsi="Arial" w:cs="Arial"/>
                <w:color w:val="0563C1"/>
                <w:sz w:val="20"/>
                <w:szCs w:val="20"/>
              </w:rPr>
              <w:t>Test Co</w:t>
            </w:r>
            <w:bookmarkStart w:id="111" w:name="_Hlt175769286"/>
            <w:r w:rsidR="004C1CD3" w:rsidRPr="00B01F9E">
              <w:rPr>
                <w:rFonts w:ascii="Arial" w:hAnsi="Arial" w:cs="Arial"/>
                <w:color w:val="0563C1"/>
                <w:sz w:val="20"/>
                <w:szCs w:val="20"/>
              </w:rPr>
              <w:t>m</w:t>
            </w:r>
            <w:bookmarkEnd w:id="111"/>
            <w:r w:rsidR="004C1CD3" w:rsidRPr="00B01F9E">
              <w:rPr>
                <w:rFonts w:ascii="Arial" w:hAnsi="Arial" w:cs="Arial"/>
                <w:color w:val="0563C1"/>
                <w:sz w:val="20"/>
                <w:szCs w:val="20"/>
              </w:rPr>
              <w:t>pendium Report was not delivered via ideal electronic transfer</w:t>
            </w:r>
            <w:bookmarkEnd w:id="109"/>
            <w:r w:rsidRPr="00B01F9E">
              <w:rPr>
                <w:rFonts w:ascii="Arial" w:hAnsi="Arial" w:cs="Arial"/>
                <w:color w:val="0563C1"/>
                <w:sz w:val="20"/>
                <w:szCs w:val="20"/>
              </w:rPr>
              <w:fldChar w:fldCharType="end"/>
            </w:r>
          </w:p>
        </w:tc>
        <w:tc>
          <w:tcPr>
            <w:tcW w:w="1260" w:type="dxa"/>
            <w:vAlign w:val="center"/>
          </w:tcPr>
          <w:p w14:paraId="7CB9C42A"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7DA78A19"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1F69D141"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7" behindDoc="0" locked="0" layoutInCell="1" allowOverlap="1" wp14:anchorId="78646504" wp14:editId="3DB4E343">
                      <wp:simplePos x="0" y="0"/>
                      <wp:positionH relativeFrom="column">
                        <wp:posOffset>179705</wp:posOffset>
                      </wp:positionH>
                      <wp:positionV relativeFrom="paragraph">
                        <wp:posOffset>30828</wp:posOffset>
                      </wp:positionV>
                      <wp:extent cx="228600" cy="228600"/>
                      <wp:effectExtent l="0" t="0" r="19050" b="19050"/>
                      <wp:wrapNone/>
                      <wp:docPr id="1790422937"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6EF34A6B" id="Oval 5" o:spid="_x0000_s1026" style="position:absolute;margin-left:14.15pt;margin-top:2.45pt;width:18pt;height:1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" fillcolor="yellow" strokecolor="#4472c4" strokeweight=".5pt">
                      <v:stroke joinstyle="miter"/>
                    </v:oval>
                  </w:pict>
                </mc:Fallback>
              </mc:AlternateContent>
            </w:r>
          </w:p>
        </w:tc>
      </w:tr>
      <w:bookmarkStart w:id="112" w:name="Gap_20"/>
      <w:tr w:rsidR="004C1CD3" w:rsidRPr="00B01F9E" w14:paraId="4E794410" w14:textId="77777777" w:rsidTr="00153F01">
        <w:tc>
          <w:tcPr>
            <w:tcW w:w="4225" w:type="dxa"/>
          </w:tcPr>
          <w:p w14:paraId="7EE6AF75" w14:textId="2D297305" w:rsidR="004C1CD3" w:rsidRPr="00B01F9E" w:rsidRDefault="00094273" w:rsidP="00153F01">
            <w:pPr>
              <w:rPr>
                <w:rFonts w:ascii="Arial"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"Gap_20_20"</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The de</w:t>
            </w:r>
            <w:bookmarkStart w:id="113" w:name="_Hlt175730772"/>
            <w:r w:rsidR="004C1CD3" w:rsidRPr="00B01F9E">
              <w:rPr>
                <w:rFonts w:ascii="Arial" w:hAnsi="Arial" w:cs="Arial"/>
                <w:color w:val="0563C1"/>
                <w:sz w:val="20"/>
                <w:szCs w:val="20"/>
              </w:rPr>
              <w:t>l</w:t>
            </w:r>
            <w:bookmarkEnd w:id="113"/>
            <w:r w:rsidR="004C1CD3" w:rsidRPr="00B01F9E">
              <w:rPr>
                <w:rFonts w:ascii="Arial" w:hAnsi="Arial" w:cs="Arial"/>
                <w:color w:val="0563C1"/>
                <w:sz w:val="20"/>
                <w:szCs w:val="20"/>
              </w:rPr>
              <w:t>ivered LIDR Test Compendium Report had e</w:t>
            </w:r>
            <w:bookmarkStart w:id="114" w:name="_Hlt175667971"/>
            <w:r w:rsidR="004C1CD3" w:rsidRPr="00B01F9E">
              <w:rPr>
                <w:rFonts w:ascii="Arial" w:hAnsi="Arial" w:cs="Arial"/>
                <w:color w:val="0563C1"/>
                <w:sz w:val="20"/>
                <w:szCs w:val="20"/>
              </w:rPr>
              <w:t>x</w:t>
            </w:r>
            <w:bookmarkEnd w:id="114"/>
            <w:r w:rsidR="004C1CD3" w:rsidRPr="00B01F9E">
              <w:rPr>
                <w:rFonts w:ascii="Arial" w:hAnsi="Arial" w:cs="Arial"/>
                <w:color w:val="0563C1"/>
                <w:sz w:val="20"/>
                <w:szCs w:val="20"/>
              </w:rPr>
              <w:t>tr</w:t>
            </w:r>
            <w:bookmarkStart w:id="115" w:name="_Hlt175729536"/>
            <w:r w:rsidR="004C1CD3" w:rsidRPr="00B01F9E">
              <w:rPr>
                <w:rFonts w:ascii="Arial" w:hAnsi="Arial" w:cs="Arial"/>
                <w:color w:val="0563C1"/>
                <w:sz w:val="20"/>
                <w:szCs w:val="20"/>
              </w:rPr>
              <w:t>a</w:t>
            </w:r>
            <w:bookmarkEnd w:id="115"/>
            <w:r w:rsidR="004C1CD3" w:rsidRPr="00B01F9E">
              <w:rPr>
                <w:rFonts w:ascii="Arial" w:hAnsi="Arial" w:cs="Arial"/>
                <w:color w:val="0563C1"/>
                <w:sz w:val="20"/>
                <w:szCs w:val="20"/>
              </w:rPr>
              <w:t>neous data and build errors</w:t>
            </w:r>
            <w:bookmarkEnd w:id="112"/>
            <w:r w:rsidRPr="00B01F9E">
              <w:rPr>
                <w:rFonts w:ascii="Arial" w:hAnsi="Arial" w:cs="Arial"/>
                <w:color w:val="0563C1"/>
                <w:sz w:val="20"/>
                <w:szCs w:val="20"/>
              </w:rPr>
              <w:fldChar w:fldCharType="end"/>
            </w:r>
            <w:r w:rsidR="004C1CD3" w:rsidRPr="00B01F9E">
              <w:rPr>
                <w:rFonts w:ascii="Arial" w:hAnsi="Arial" w:cs="Arial"/>
                <w:color w:val="0563C1"/>
                <w:sz w:val="20"/>
                <w:szCs w:val="20"/>
              </w:rPr>
              <w:t xml:space="preserve"> </w:t>
            </w:r>
          </w:p>
        </w:tc>
        <w:tc>
          <w:tcPr>
            <w:tcW w:w="1260" w:type="dxa"/>
            <w:vAlign w:val="center"/>
          </w:tcPr>
          <w:p w14:paraId="72E60886"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7DE1E19B"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5D98EAEC"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6" behindDoc="0" locked="0" layoutInCell="1" allowOverlap="1" wp14:anchorId="74170204" wp14:editId="60602A23">
                      <wp:simplePos x="0" y="0"/>
                      <wp:positionH relativeFrom="column">
                        <wp:posOffset>179070</wp:posOffset>
                      </wp:positionH>
                      <wp:positionV relativeFrom="paragraph">
                        <wp:posOffset>28187</wp:posOffset>
                      </wp:positionV>
                      <wp:extent cx="228600" cy="228600"/>
                      <wp:effectExtent l="0" t="0" r="19050" b="19050"/>
                      <wp:wrapNone/>
                      <wp:docPr id="178709083"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2E041319" id="Oval 14" o:spid="_x0000_s1026" style="position:absolute;margin-left:14.1pt;margin-top:2.2pt;width:18pt;height:18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" fillcolor="red" strokecolor="#4472c4" strokeweight=".5pt">
                      <v:stroke joinstyle="miter"/>
                    </v:oval>
                  </w:pict>
                </mc:Fallback>
              </mc:AlternateContent>
            </w:r>
          </w:p>
        </w:tc>
      </w:tr>
      <w:tr w:rsidR="004C1CD3" w:rsidRPr="00B01F9E" w14:paraId="14B330FD" w14:textId="77777777" w:rsidTr="004C1CD3">
        <w:tc>
          <w:tcPr>
            <w:tcW w:w="9350" w:type="dxa"/>
            <w:gridSpan w:val="4"/>
            <w:shd w:val="clear" w:color="auto" w:fill="E7E6E6"/>
          </w:tcPr>
          <w:p w14:paraId="1D34FBF9" w14:textId="5BAA780D" w:rsidR="004C1CD3" w:rsidRPr="00B01F9E" w:rsidRDefault="004C1CD3" w:rsidP="004C1CD3">
            <w:pPr>
              <w:rPr>
                <w:rFonts w:ascii="Arial" w:eastAsia="Calibri" w:hAnsi="Arial" w:cs="Arial"/>
                <w:noProof/>
                <w:sz w:val="20"/>
                <w:szCs w:val="20"/>
              </w:rPr>
            </w:pPr>
            <w:r w:rsidRPr="00B01F9E">
              <w:rPr>
                <w:rFonts w:ascii="Arial" w:eastAsia="Calibri" w:hAnsi="Arial" w:cs="Arial"/>
                <w:b/>
                <w:bCs/>
                <w:sz w:val="20"/>
                <w:szCs w:val="20"/>
              </w:rPr>
              <w:t xml:space="preserve">Gaps Related to the Instance Error Check </w:t>
            </w:r>
          </w:p>
        </w:tc>
      </w:tr>
      <w:bookmarkStart w:id="116" w:name="Gap_21"/>
      <w:tr w:rsidR="004C1CD3" w:rsidRPr="00B01F9E" w14:paraId="13B8D4B4" w14:textId="77777777" w:rsidTr="00153F01">
        <w:tc>
          <w:tcPr>
            <w:tcW w:w="4225" w:type="dxa"/>
          </w:tcPr>
          <w:p w14:paraId="396B0FDC" w14:textId="651D88F4" w:rsidR="004C1CD3" w:rsidRPr="00B01F9E" w:rsidRDefault="00800B7B" w:rsidP="00153F01">
            <w:pPr>
              <w:rPr>
                <w:rFonts w:ascii="Arial" w:eastAsia="Calibri" w:hAnsi="Arial" w:cs="Arial"/>
                <w:sz w:val="20"/>
                <w:szCs w:val="20"/>
              </w:rPr>
            </w:pPr>
            <w:r w:rsidRPr="00B01F9E">
              <w:rPr>
                <w:rFonts w:ascii="Arial" w:eastAsia="Calibri" w:hAnsi="Arial" w:cs="Arial"/>
                <w:color w:val="0563C1"/>
                <w:sz w:val="20"/>
                <w:szCs w:val="20"/>
              </w:rPr>
              <w:fldChar w:fldCharType="begin"/>
            </w:r>
            <w:r w:rsidR="009A07EE" w:rsidRPr="00B01F9E">
              <w:rPr>
                <w:rFonts w:ascii="Arial" w:eastAsia="Calibri" w:hAnsi="Arial" w:cs="Arial"/>
                <w:color w:val="0563C1"/>
                <w:sz w:val="20"/>
                <w:szCs w:val="20"/>
              </w:rPr>
              <w:instrText>HYPERLINK  \l "Gap_21_21"</w:instrText>
            </w:r>
            <w:r w:rsidRPr="00B01F9E">
              <w:rPr>
                <w:rFonts w:ascii="Arial" w:eastAsia="Calibri" w:hAnsi="Arial" w:cs="Arial"/>
                <w:color w:val="0563C1"/>
                <w:sz w:val="20"/>
                <w:szCs w:val="20"/>
              </w:rPr>
            </w:r>
            <w:r w:rsidRPr="00B01F9E">
              <w:rPr>
                <w:rFonts w:ascii="Arial" w:eastAsia="Calibri" w:hAnsi="Arial" w:cs="Arial"/>
                <w:color w:val="0563C1"/>
                <w:sz w:val="20"/>
                <w:szCs w:val="20"/>
              </w:rPr>
              <w:fldChar w:fldCharType="separate"/>
            </w:r>
            <w:r w:rsidR="004C1CD3" w:rsidRPr="00B01F9E">
              <w:rPr>
                <w:rFonts w:ascii="Arial" w:hAnsi="Arial" w:cs="Arial"/>
                <w:color w:val="0563C1"/>
                <w:sz w:val="20"/>
                <w:szCs w:val="20"/>
              </w:rPr>
              <w:t>Instanc</w:t>
            </w:r>
            <w:bookmarkStart w:id="117" w:name="_Hlt175729544"/>
            <w:r w:rsidR="004C1CD3" w:rsidRPr="00B01F9E">
              <w:rPr>
                <w:rFonts w:ascii="Arial" w:hAnsi="Arial" w:cs="Arial"/>
                <w:color w:val="0563C1"/>
                <w:sz w:val="20"/>
                <w:szCs w:val="20"/>
              </w:rPr>
              <w:t>e</w:t>
            </w:r>
            <w:bookmarkEnd w:id="117"/>
            <w:r w:rsidR="004C1CD3" w:rsidRPr="00B01F9E">
              <w:rPr>
                <w:rFonts w:ascii="Arial" w:hAnsi="Arial" w:cs="Arial"/>
                <w:color w:val="0563C1"/>
                <w:sz w:val="20"/>
                <w:szCs w:val="20"/>
              </w:rPr>
              <w:t xml:space="preserve"> Er</w:t>
            </w:r>
            <w:bookmarkStart w:id="118" w:name="_Hlt175667974"/>
            <w:r w:rsidR="004C1CD3" w:rsidRPr="00B01F9E">
              <w:rPr>
                <w:rFonts w:ascii="Arial" w:hAnsi="Arial" w:cs="Arial"/>
                <w:color w:val="0563C1"/>
                <w:sz w:val="20"/>
                <w:szCs w:val="20"/>
              </w:rPr>
              <w:t>r</w:t>
            </w:r>
            <w:bookmarkEnd w:id="118"/>
            <w:r w:rsidR="004C1CD3" w:rsidRPr="00B01F9E">
              <w:rPr>
                <w:rFonts w:ascii="Arial" w:hAnsi="Arial" w:cs="Arial"/>
                <w:color w:val="0563C1"/>
                <w:sz w:val="20"/>
                <w:szCs w:val="20"/>
              </w:rPr>
              <w:t>or C</w:t>
            </w:r>
            <w:bookmarkStart w:id="119" w:name="_Hlt175668013"/>
            <w:bookmarkStart w:id="120" w:name="_Hlt175731311"/>
            <w:r w:rsidR="004C1CD3" w:rsidRPr="00B01F9E">
              <w:rPr>
                <w:rFonts w:ascii="Arial" w:hAnsi="Arial" w:cs="Arial"/>
                <w:color w:val="0563C1"/>
                <w:sz w:val="20"/>
                <w:szCs w:val="20"/>
              </w:rPr>
              <w:t>h</w:t>
            </w:r>
            <w:bookmarkEnd w:id="119"/>
            <w:bookmarkEnd w:id="120"/>
            <w:r w:rsidR="004C1CD3" w:rsidRPr="00B01F9E">
              <w:rPr>
                <w:rFonts w:ascii="Arial" w:hAnsi="Arial" w:cs="Arial"/>
                <w:color w:val="0563C1"/>
                <w:sz w:val="20"/>
                <w:szCs w:val="20"/>
              </w:rPr>
              <w:t xml:space="preserve">eck </w:t>
            </w:r>
            <w:bookmarkStart w:id="121" w:name="_Hlt175769214"/>
            <w:r w:rsidR="004C1CD3" w:rsidRPr="00B01F9E">
              <w:rPr>
                <w:rFonts w:ascii="Arial" w:hAnsi="Arial" w:cs="Arial"/>
                <w:color w:val="0563C1"/>
                <w:sz w:val="20"/>
                <w:szCs w:val="20"/>
              </w:rPr>
              <w:t>m</w:t>
            </w:r>
            <w:bookmarkEnd w:id="121"/>
            <w:r w:rsidR="004C1CD3" w:rsidRPr="00B01F9E">
              <w:rPr>
                <w:rFonts w:ascii="Arial" w:hAnsi="Arial" w:cs="Arial"/>
                <w:color w:val="0563C1"/>
                <w:sz w:val="20"/>
                <w:szCs w:val="20"/>
              </w:rPr>
              <w:t>essage receipt by LIS inte</w:t>
            </w:r>
            <w:bookmarkStart w:id="122" w:name="_Hlt175730776"/>
            <w:r w:rsidR="004C1CD3" w:rsidRPr="00B01F9E">
              <w:rPr>
                <w:rFonts w:ascii="Arial" w:hAnsi="Arial" w:cs="Arial"/>
                <w:color w:val="0563C1"/>
                <w:sz w:val="20"/>
                <w:szCs w:val="20"/>
              </w:rPr>
              <w:t>r</w:t>
            </w:r>
            <w:bookmarkEnd w:id="122"/>
            <w:r w:rsidR="004C1CD3" w:rsidRPr="00B01F9E">
              <w:rPr>
                <w:rFonts w:ascii="Arial" w:hAnsi="Arial" w:cs="Arial"/>
                <w:color w:val="0563C1"/>
                <w:sz w:val="20"/>
                <w:szCs w:val="20"/>
              </w:rPr>
              <w:t>face was not available </w:t>
            </w:r>
            <w:bookmarkEnd w:id="116"/>
            <w:r w:rsidRPr="00B01F9E">
              <w:rPr>
                <w:rFonts w:ascii="Arial" w:eastAsia="Calibri" w:hAnsi="Arial" w:cs="Arial"/>
                <w:color w:val="0563C1"/>
                <w:sz w:val="20"/>
                <w:szCs w:val="20"/>
              </w:rPr>
              <w:fldChar w:fldCharType="end"/>
            </w:r>
          </w:p>
        </w:tc>
        <w:tc>
          <w:tcPr>
            <w:tcW w:w="1260" w:type="dxa"/>
            <w:vAlign w:val="center"/>
          </w:tcPr>
          <w:p w14:paraId="5B4C3C5E"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16B4CD00"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31292D3A"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8" behindDoc="0" locked="0" layoutInCell="1" allowOverlap="1" wp14:anchorId="106BF2FE" wp14:editId="54507F42">
                      <wp:simplePos x="0" y="0"/>
                      <wp:positionH relativeFrom="column">
                        <wp:posOffset>179705</wp:posOffset>
                      </wp:positionH>
                      <wp:positionV relativeFrom="paragraph">
                        <wp:posOffset>28414</wp:posOffset>
                      </wp:positionV>
                      <wp:extent cx="228600" cy="228600"/>
                      <wp:effectExtent l="0" t="0" r="19050" b="19050"/>
                      <wp:wrapNone/>
                      <wp:docPr id="914052817" name="Oval 5"/>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195781F7" id="Oval 5" o:spid="_x0000_s1026" style="position:absolute;margin-left:14.15pt;margin-top:2.25pt;width:18pt;height: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" fillcolor="yellow" strokecolor="#4472c4" strokeweight=".5pt">
                      <v:stroke joinstyle="miter"/>
                    </v:oval>
                  </w:pict>
                </mc:Fallback>
              </mc:AlternateContent>
            </w:r>
          </w:p>
        </w:tc>
      </w:tr>
      <w:tr w:rsidR="004C1CD3" w:rsidRPr="00B01F9E" w14:paraId="78438C02" w14:textId="77777777" w:rsidTr="00153F01">
        <w:tc>
          <w:tcPr>
            <w:tcW w:w="9350" w:type="dxa"/>
            <w:gridSpan w:val="4"/>
            <w:shd w:val="clear" w:color="auto" w:fill="E7E6E6"/>
          </w:tcPr>
          <w:p w14:paraId="34C4AD92" w14:textId="2940692A" w:rsidR="004C1CD3" w:rsidRPr="00B01F9E" w:rsidRDefault="004C1CD3" w:rsidP="00153F01">
            <w:pPr>
              <w:rPr>
                <w:rFonts w:ascii="Arial" w:eastAsia="Calibri" w:hAnsi="Arial" w:cs="Arial"/>
                <w:noProof/>
                <w:sz w:val="20"/>
                <w:szCs w:val="20"/>
              </w:rPr>
            </w:pPr>
            <w:r w:rsidRPr="00B01F9E">
              <w:rPr>
                <w:rFonts w:ascii="Arial" w:eastAsia="Calibri" w:hAnsi="Arial" w:cs="Arial"/>
                <w:b/>
                <w:bCs/>
                <w:sz w:val="20"/>
                <w:szCs w:val="20"/>
              </w:rPr>
              <w:t xml:space="preserve">Gaps Related to Training and Education </w:t>
            </w:r>
          </w:p>
        </w:tc>
      </w:tr>
      <w:bookmarkStart w:id="123" w:name="Gap_22"/>
      <w:tr w:rsidR="004C1CD3" w:rsidRPr="00B01F9E" w14:paraId="49CDF755" w14:textId="77777777" w:rsidTr="00153F01">
        <w:trPr>
          <w:trHeight w:val="432"/>
        </w:trPr>
        <w:tc>
          <w:tcPr>
            <w:tcW w:w="4225" w:type="dxa"/>
          </w:tcPr>
          <w:p w14:paraId="525F1DFD" w14:textId="57903477" w:rsidR="004C1CD3" w:rsidRPr="00B01F9E" w:rsidRDefault="009A07EE" w:rsidP="00153F01">
            <w:pPr>
              <w:rPr>
                <w:rFonts w:ascii="Arial" w:eastAsia="Calibri" w:hAnsi="Arial" w:cs="Arial"/>
                <w:sz w:val="20"/>
                <w:szCs w:val="20"/>
              </w:rPr>
            </w:pPr>
            <w:r w:rsidRPr="00B01F9E">
              <w:rPr>
                <w:rFonts w:ascii="Arial" w:hAnsi="Arial" w:cs="Arial"/>
                <w:color w:val="0563C1"/>
                <w:sz w:val="20"/>
                <w:szCs w:val="20"/>
              </w:rPr>
              <w:fldChar w:fldCharType="begin"/>
            </w:r>
            <w:r w:rsidRPr="00B01F9E">
              <w:rPr>
                <w:rFonts w:ascii="Arial" w:hAnsi="Arial" w:cs="Arial"/>
                <w:color w:val="0563C1"/>
                <w:sz w:val="20"/>
                <w:szCs w:val="20"/>
              </w:rPr>
              <w:instrText>HYPERLINK  \l "Gap_22_22"</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Intellec</w:t>
            </w:r>
            <w:bookmarkStart w:id="124" w:name="_Hlt175730779"/>
            <w:r w:rsidR="004C1CD3" w:rsidRPr="00B01F9E">
              <w:rPr>
                <w:rFonts w:ascii="Arial" w:hAnsi="Arial" w:cs="Arial"/>
                <w:color w:val="0563C1"/>
                <w:sz w:val="20"/>
                <w:szCs w:val="20"/>
              </w:rPr>
              <w:t>t</w:t>
            </w:r>
            <w:bookmarkEnd w:id="124"/>
            <w:r w:rsidR="004C1CD3" w:rsidRPr="00B01F9E">
              <w:rPr>
                <w:rFonts w:ascii="Arial" w:hAnsi="Arial" w:cs="Arial"/>
                <w:color w:val="0563C1"/>
                <w:sz w:val="20"/>
                <w:szCs w:val="20"/>
              </w:rPr>
              <w:t>ua</w:t>
            </w:r>
            <w:bookmarkStart w:id="125" w:name="_Hlt175731316"/>
            <w:r w:rsidR="004C1CD3" w:rsidRPr="00B01F9E">
              <w:rPr>
                <w:rFonts w:ascii="Arial" w:hAnsi="Arial" w:cs="Arial"/>
                <w:color w:val="0563C1"/>
                <w:sz w:val="20"/>
                <w:szCs w:val="20"/>
              </w:rPr>
              <w:t>l</w:t>
            </w:r>
            <w:bookmarkStart w:id="126" w:name="_Hlt175667977"/>
            <w:bookmarkEnd w:id="125"/>
            <w:r w:rsidR="004C1CD3" w:rsidRPr="00B01F9E">
              <w:rPr>
                <w:rFonts w:ascii="Arial" w:hAnsi="Arial" w:cs="Arial"/>
                <w:color w:val="0563C1"/>
                <w:sz w:val="20"/>
                <w:szCs w:val="20"/>
              </w:rPr>
              <w:t xml:space="preserve"> </w:t>
            </w:r>
            <w:bookmarkStart w:id="127" w:name="_Hlt175729629"/>
            <w:bookmarkEnd w:id="126"/>
            <w:r w:rsidR="004C1CD3" w:rsidRPr="00B01F9E">
              <w:rPr>
                <w:rFonts w:ascii="Arial" w:hAnsi="Arial" w:cs="Arial"/>
                <w:color w:val="0563C1"/>
                <w:sz w:val="20"/>
                <w:szCs w:val="20"/>
              </w:rPr>
              <w:t>p</w:t>
            </w:r>
            <w:bookmarkStart w:id="128" w:name="_Hlt175731447"/>
            <w:bookmarkEnd w:id="127"/>
            <w:r w:rsidR="004C1CD3" w:rsidRPr="00B01F9E">
              <w:rPr>
                <w:rFonts w:ascii="Arial" w:hAnsi="Arial" w:cs="Arial"/>
                <w:color w:val="0563C1"/>
                <w:sz w:val="20"/>
                <w:szCs w:val="20"/>
              </w:rPr>
              <w:t>r</w:t>
            </w:r>
            <w:bookmarkEnd w:id="128"/>
            <w:r w:rsidR="004C1CD3" w:rsidRPr="00B01F9E">
              <w:rPr>
                <w:rFonts w:ascii="Arial" w:hAnsi="Arial" w:cs="Arial"/>
                <w:color w:val="0563C1"/>
                <w:sz w:val="20"/>
                <w:szCs w:val="20"/>
              </w:rPr>
              <w:t>op</w:t>
            </w:r>
            <w:bookmarkStart w:id="129" w:name="_Hlt175668034"/>
            <w:r w:rsidR="004C1CD3" w:rsidRPr="00B01F9E">
              <w:rPr>
                <w:rFonts w:ascii="Arial" w:hAnsi="Arial" w:cs="Arial"/>
                <w:color w:val="0563C1"/>
                <w:sz w:val="20"/>
                <w:szCs w:val="20"/>
              </w:rPr>
              <w:t>e</w:t>
            </w:r>
            <w:bookmarkStart w:id="130" w:name="_Hlt175668030"/>
            <w:bookmarkEnd w:id="129"/>
            <w:r w:rsidR="004C1CD3" w:rsidRPr="00B01F9E">
              <w:rPr>
                <w:rFonts w:ascii="Arial" w:hAnsi="Arial" w:cs="Arial"/>
                <w:color w:val="0563C1"/>
                <w:sz w:val="20"/>
                <w:szCs w:val="20"/>
              </w:rPr>
              <w:t>r</w:t>
            </w:r>
            <w:bookmarkEnd w:id="130"/>
            <w:r w:rsidR="004C1CD3" w:rsidRPr="00B01F9E">
              <w:rPr>
                <w:rFonts w:ascii="Arial" w:hAnsi="Arial" w:cs="Arial"/>
                <w:color w:val="0563C1"/>
                <w:sz w:val="20"/>
                <w:szCs w:val="20"/>
              </w:rPr>
              <w:t>ty</w:t>
            </w:r>
            <w:bookmarkStart w:id="131" w:name="_Hlt175729554"/>
            <w:bookmarkStart w:id="132" w:name="_Hlt175729566"/>
            <w:r w:rsidR="004C1CD3" w:rsidRPr="00B01F9E">
              <w:rPr>
                <w:rFonts w:ascii="Arial" w:hAnsi="Arial" w:cs="Arial"/>
                <w:color w:val="0563C1"/>
                <w:sz w:val="20"/>
                <w:szCs w:val="20"/>
              </w:rPr>
              <w:t xml:space="preserve"> </w:t>
            </w:r>
            <w:bookmarkStart w:id="133" w:name="_Hlt175729893"/>
            <w:bookmarkEnd w:id="131"/>
            <w:bookmarkEnd w:id="132"/>
            <w:r w:rsidR="004C1CD3" w:rsidRPr="00B01F9E">
              <w:rPr>
                <w:rFonts w:ascii="Arial" w:hAnsi="Arial" w:cs="Arial"/>
                <w:color w:val="0563C1"/>
                <w:sz w:val="20"/>
                <w:szCs w:val="20"/>
              </w:rPr>
              <w:t>r</w:t>
            </w:r>
            <w:bookmarkEnd w:id="133"/>
            <w:r w:rsidR="004C1CD3" w:rsidRPr="00B01F9E">
              <w:rPr>
                <w:rFonts w:ascii="Arial" w:hAnsi="Arial" w:cs="Arial"/>
                <w:color w:val="0563C1"/>
                <w:sz w:val="20"/>
                <w:szCs w:val="20"/>
              </w:rPr>
              <w:t>ig</w:t>
            </w:r>
            <w:bookmarkStart w:id="134" w:name="_Hlt175769229"/>
            <w:r w:rsidR="004C1CD3" w:rsidRPr="00B01F9E">
              <w:rPr>
                <w:rFonts w:ascii="Arial" w:hAnsi="Arial" w:cs="Arial"/>
                <w:color w:val="0563C1"/>
                <w:sz w:val="20"/>
                <w:szCs w:val="20"/>
              </w:rPr>
              <w:t>h</w:t>
            </w:r>
            <w:bookmarkEnd w:id="134"/>
            <w:r w:rsidR="004C1CD3" w:rsidRPr="00B01F9E">
              <w:rPr>
                <w:rFonts w:ascii="Arial" w:hAnsi="Arial" w:cs="Arial"/>
                <w:color w:val="0563C1"/>
                <w:sz w:val="20"/>
                <w:szCs w:val="20"/>
              </w:rPr>
              <w:t xml:space="preserve">ts </w:t>
            </w:r>
            <w:bookmarkStart w:id="135" w:name="_Hlt175731377"/>
            <w:r w:rsidR="004C1CD3" w:rsidRPr="00B01F9E">
              <w:rPr>
                <w:rFonts w:ascii="Arial" w:hAnsi="Arial" w:cs="Arial"/>
                <w:color w:val="0563C1"/>
                <w:sz w:val="20"/>
                <w:szCs w:val="20"/>
              </w:rPr>
              <w:t>l</w:t>
            </w:r>
            <w:bookmarkEnd w:id="135"/>
            <w:r w:rsidR="004C1CD3" w:rsidRPr="00B01F9E">
              <w:rPr>
                <w:rFonts w:ascii="Arial" w:hAnsi="Arial" w:cs="Arial"/>
                <w:color w:val="0563C1"/>
                <w:sz w:val="20"/>
                <w:szCs w:val="20"/>
              </w:rPr>
              <w:t>imitati</w:t>
            </w:r>
            <w:bookmarkStart w:id="136" w:name="_Hlt175729612"/>
            <w:r w:rsidR="004C1CD3" w:rsidRPr="00B01F9E">
              <w:rPr>
                <w:rFonts w:ascii="Arial" w:hAnsi="Arial" w:cs="Arial"/>
                <w:color w:val="0563C1"/>
                <w:sz w:val="20"/>
                <w:szCs w:val="20"/>
              </w:rPr>
              <w:t>o</w:t>
            </w:r>
            <w:bookmarkEnd w:id="136"/>
            <w:r w:rsidR="004C1CD3" w:rsidRPr="00B01F9E">
              <w:rPr>
                <w:rFonts w:ascii="Arial" w:hAnsi="Arial" w:cs="Arial"/>
                <w:color w:val="0563C1"/>
                <w:sz w:val="20"/>
                <w:szCs w:val="20"/>
              </w:rPr>
              <w:t>ns</w:t>
            </w:r>
            <w:r w:rsidRPr="00B01F9E">
              <w:rPr>
                <w:rFonts w:ascii="Arial" w:hAnsi="Arial" w:cs="Arial"/>
                <w:color w:val="0563C1"/>
                <w:sz w:val="20"/>
                <w:szCs w:val="20"/>
              </w:rPr>
              <w:fldChar w:fldCharType="end"/>
            </w:r>
            <w:r w:rsidR="004C1CD3" w:rsidRPr="00B01F9E">
              <w:rPr>
                <w:rFonts w:ascii="Arial" w:eastAsia="Calibri" w:hAnsi="Arial" w:cs="Arial"/>
                <w:color w:val="0563C1"/>
                <w:sz w:val="20"/>
                <w:szCs w:val="20"/>
              </w:rPr>
              <w:t xml:space="preserve"> </w:t>
            </w:r>
            <w:bookmarkEnd w:id="123"/>
          </w:p>
        </w:tc>
        <w:tc>
          <w:tcPr>
            <w:tcW w:w="1260" w:type="dxa"/>
            <w:vAlign w:val="center"/>
          </w:tcPr>
          <w:p w14:paraId="260E5717"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0F2FE194"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3AEDA489"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49" behindDoc="0" locked="0" layoutInCell="1" allowOverlap="1" wp14:anchorId="290E9AE6" wp14:editId="15B8FE0C">
                      <wp:simplePos x="0" y="0"/>
                      <wp:positionH relativeFrom="column">
                        <wp:posOffset>180340</wp:posOffset>
                      </wp:positionH>
                      <wp:positionV relativeFrom="paragraph">
                        <wp:posOffset>10900</wp:posOffset>
                      </wp:positionV>
                      <wp:extent cx="228600" cy="228600"/>
                      <wp:effectExtent l="0" t="0" r="19050" b="19050"/>
                      <wp:wrapNone/>
                      <wp:docPr id="20" name="Oval 19">
                        <a:extLst xmlns:a="http://schemas.openxmlformats.org/drawingml/2006/main">
                          <a:ext uri="{FF2B5EF4-FFF2-40B4-BE49-F238E27FC236}">
                            <a16:creationId xmlns:a16="http://schemas.microsoft.com/office/drawing/2014/main" id="{B87D715A-7452-D491-7E01-A815B0557F7C}"/>
                          </a:ext>
                        </a:extLst>
                      </wp:docPr>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0070C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6116740" id="Oval 19" o:spid="_x0000_s1026" style="position:absolute;margin-left:14.2pt;margin-top:.85pt;width:18pt;height:1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" fillcolor="#0070c0" strokecolor="#4472c4" strokeweight=".5pt">
                      <v:stroke joinstyle="miter"/>
                    </v:oval>
                  </w:pict>
                </mc:Fallback>
              </mc:AlternateContent>
            </w:r>
          </w:p>
        </w:tc>
      </w:tr>
      <w:tr w:rsidR="004C1CD3" w:rsidRPr="00B01F9E" w14:paraId="0A9613D9" w14:textId="77777777" w:rsidTr="00153F01">
        <w:tc>
          <w:tcPr>
            <w:tcW w:w="9350" w:type="dxa"/>
            <w:gridSpan w:val="4"/>
            <w:shd w:val="clear" w:color="auto" w:fill="E7E6E6"/>
          </w:tcPr>
          <w:p w14:paraId="7D96505E" w14:textId="6EBF9032" w:rsidR="004C1CD3" w:rsidRPr="00B01F9E" w:rsidRDefault="004C1CD3" w:rsidP="00153F01">
            <w:pPr>
              <w:rPr>
                <w:rFonts w:ascii="Arial" w:eastAsia="Calibri" w:hAnsi="Arial" w:cs="Arial"/>
                <w:noProof/>
                <w:sz w:val="20"/>
                <w:szCs w:val="20"/>
              </w:rPr>
            </w:pPr>
            <w:r w:rsidRPr="00B01F9E">
              <w:rPr>
                <w:rFonts w:ascii="Arial" w:eastAsia="Calibri" w:hAnsi="Arial" w:cs="Arial"/>
                <w:b/>
                <w:bCs/>
                <w:sz w:val="20"/>
                <w:szCs w:val="20"/>
              </w:rPr>
              <w:t>Gaps Related to</w:t>
            </w:r>
            <w:r w:rsidR="00D50A3E" w:rsidRPr="00B01F9E">
              <w:rPr>
                <w:rFonts w:ascii="Arial" w:eastAsia="Calibri" w:hAnsi="Arial" w:cs="Arial"/>
                <w:b/>
                <w:bCs/>
                <w:sz w:val="20"/>
                <w:szCs w:val="20"/>
              </w:rPr>
              <w:t xml:space="preserve"> QA Analysis</w:t>
            </w:r>
            <w:r w:rsidRPr="00B01F9E">
              <w:rPr>
                <w:rFonts w:ascii="Arial" w:eastAsia="Calibri" w:hAnsi="Arial" w:cs="Arial"/>
                <w:b/>
                <w:bCs/>
                <w:sz w:val="20"/>
                <w:szCs w:val="20"/>
              </w:rPr>
              <w:t xml:space="preserve"> Report</w:t>
            </w:r>
            <w:r w:rsidR="00AF4418" w:rsidRPr="00B01F9E">
              <w:rPr>
                <w:rFonts w:ascii="Arial" w:eastAsia="Calibri" w:hAnsi="Arial" w:cs="Arial"/>
                <w:b/>
                <w:bCs/>
                <w:sz w:val="20"/>
                <w:szCs w:val="20"/>
              </w:rPr>
              <w:t>ing</w:t>
            </w:r>
          </w:p>
        </w:tc>
      </w:tr>
      <w:bookmarkStart w:id="137" w:name="Gap_23"/>
      <w:tr w:rsidR="004C1CD3" w:rsidRPr="00B01F9E" w14:paraId="7F0BE060" w14:textId="77777777" w:rsidTr="00153F01">
        <w:trPr>
          <w:trHeight w:val="432"/>
        </w:trPr>
        <w:tc>
          <w:tcPr>
            <w:tcW w:w="4225" w:type="dxa"/>
          </w:tcPr>
          <w:p w14:paraId="3A841C50" w14:textId="54AA18EB" w:rsidR="004C1CD3" w:rsidRPr="00B01F9E" w:rsidRDefault="00800B7B" w:rsidP="00153F01">
            <w:pPr>
              <w:rPr>
                <w:rFonts w:ascii="Arial" w:eastAsia="Calibri" w:hAnsi="Arial" w:cs="Arial"/>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"Gap_23_23"</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Data e</w:t>
            </w:r>
            <w:bookmarkStart w:id="138" w:name="_Hlt175730783"/>
            <w:r w:rsidR="004C1CD3" w:rsidRPr="00B01F9E">
              <w:rPr>
                <w:rFonts w:ascii="Arial" w:hAnsi="Arial" w:cs="Arial"/>
                <w:color w:val="0563C1"/>
                <w:sz w:val="20"/>
                <w:szCs w:val="20"/>
              </w:rPr>
              <w:t>l</w:t>
            </w:r>
            <w:bookmarkEnd w:id="138"/>
            <w:r w:rsidR="004C1CD3" w:rsidRPr="00B01F9E">
              <w:rPr>
                <w:rFonts w:ascii="Arial" w:hAnsi="Arial" w:cs="Arial"/>
                <w:color w:val="0563C1"/>
                <w:sz w:val="20"/>
                <w:szCs w:val="20"/>
              </w:rPr>
              <w:t>eme</w:t>
            </w:r>
            <w:bookmarkStart w:id="139" w:name="_Hlt175731432"/>
            <w:r w:rsidR="004C1CD3" w:rsidRPr="00B01F9E">
              <w:rPr>
                <w:rFonts w:ascii="Arial" w:hAnsi="Arial" w:cs="Arial"/>
                <w:color w:val="0563C1"/>
                <w:sz w:val="20"/>
                <w:szCs w:val="20"/>
              </w:rPr>
              <w:t>n</w:t>
            </w:r>
            <w:bookmarkStart w:id="140" w:name="_Hlt175731321"/>
            <w:bookmarkEnd w:id="139"/>
            <w:r w:rsidR="004C1CD3" w:rsidRPr="00B01F9E">
              <w:rPr>
                <w:rFonts w:ascii="Arial" w:hAnsi="Arial" w:cs="Arial"/>
                <w:color w:val="0563C1"/>
                <w:sz w:val="20"/>
                <w:szCs w:val="20"/>
              </w:rPr>
              <w:t>t</w:t>
            </w:r>
            <w:bookmarkEnd w:id="140"/>
            <w:r w:rsidR="004C1CD3" w:rsidRPr="00B01F9E">
              <w:rPr>
                <w:rFonts w:ascii="Arial" w:hAnsi="Arial" w:cs="Arial"/>
                <w:color w:val="0563C1"/>
                <w:sz w:val="20"/>
                <w:szCs w:val="20"/>
              </w:rPr>
              <w:t>s are</w:t>
            </w:r>
            <w:bookmarkStart w:id="141" w:name="_Hlt175729897"/>
            <w:r w:rsidR="004C1CD3" w:rsidRPr="00B01F9E">
              <w:rPr>
                <w:rFonts w:ascii="Arial" w:hAnsi="Arial" w:cs="Arial"/>
                <w:color w:val="0563C1"/>
                <w:sz w:val="20"/>
                <w:szCs w:val="20"/>
              </w:rPr>
              <w:t xml:space="preserve"> </w:t>
            </w:r>
            <w:bookmarkStart w:id="142" w:name="_Hlt175729883"/>
            <w:bookmarkEnd w:id="141"/>
            <w:r w:rsidR="004C1CD3" w:rsidRPr="00B01F9E">
              <w:rPr>
                <w:rFonts w:ascii="Arial" w:hAnsi="Arial" w:cs="Arial"/>
                <w:color w:val="0563C1"/>
                <w:sz w:val="20"/>
                <w:szCs w:val="20"/>
              </w:rPr>
              <w:t>m</w:t>
            </w:r>
            <w:bookmarkStart w:id="143" w:name="_Hlt175731423"/>
            <w:bookmarkEnd w:id="142"/>
            <w:r w:rsidR="004C1CD3" w:rsidRPr="00B01F9E">
              <w:rPr>
                <w:rFonts w:ascii="Arial" w:hAnsi="Arial" w:cs="Arial"/>
                <w:color w:val="0563C1"/>
                <w:sz w:val="20"/>
                <w:szCs w:val="20"/>
              </w:rPr>
              <w:t>i</w:t>
            </w:r>
            <w:bookmarkEnd w:id="143"/>
            <w:r w:rsidR="004C1CD3" w:rsidRPr="00B01F9E">
              <w:rPr>
                <w:rFonts w:ascii="Arial" w:hAnsi="Arial" w:cs="Arial"/>
                <w:color w:val="0563C1"/>
                <w:sz w:val="20"/>
                <w:szCs w:val="20"/>
              </w:rPr>
              <w:t>ssing fo</w:t>
            </w:r>
            <w:bookmarkStart w:id="144" w:name="_Hlt175729866"/>
            <w:r w:rsidR="004C1CD3" w:rsidRPr="00B01F9E">
              <w:rPr>
                <w:rFonts w:ascii="Arial" w:hAnsi="Arial" w:cs="Arial"/>
                <w:color w:val="0563C1"/>
                <w:sz w:val="20"/>
                <w:szCs w:val="20"/>
              </w:rPr>
              <w:t>r</w:t>
            </w:r>
            <w:bookmarkEnd w:id="144"/>
            <w:r w:rsidR="004C1CD3" w:rsidRPr="00B01F9E">
              <w:rPr>
                <w:rFonts w:ascii="Arial" w:hAnsi="Arial" w:cs="Arial"/>
                <w:color w:val="0563C1"/>
                <w:sz w:val="20"/>
                <w:szCs w:val="20"/>
              </w:rPr>
              <w:t xml:space="preserve"> </w:t>
            </w:r>
            <w:bookmarkStart w:id="145" w:name="_Hlt175769237"/>
            <w:r w:rsidR="004C1CD3" w:rsidRPr="00B01F9E">
              <w:rPr>
                <w:rFonts w:ascii="Arial" w:hAnsi="Arial" w:cs="Arial"/>
                <w:color w:val="0563C1"/>
                <w:sz w:val="20"/>
                <w:szCs w:val="20"/>
              </w:rPr>
              <w:t>a</w:t>
            </w:r>
            <w:bookmarkStart w:id="146" w:name="_Hlt175729870"/>
            <w:bookmarkEnd w:id="145"/>
            <w:r w:rsidR="004C1CD3" w:rsidRPr="00B01F9E">
              <w:rPr>
                <w:rFonts w:ascii="Arial" w:hAnsi="Arial" w:cs="Arial"/>
                <w:color w:val="0563C1"/>
                <w:sz w:val="20"/>
                <w:szCs w:val="20"/>
              </w:rPr>
              <w:t>n</w:t>
            </w:r>
            <w:bookmarkStart w:id="147" w:name="_Hlt175769248"/>
            <w:bookmarkEnd w:id="146"/>
            <w:r w:rsidR="004C1CD3" w:rsidRPr="00B01F9E">
              <w:rPr>
                <w:rFonts w:ascii="Arial" w:hAnsi="Arial" w:cs="Arial"/>
                <w:color w:val="0563C1"/>
                <w:sz w:val="20"/>
                <w:szCs w:val="20"/>
              </w:rPr>
              <w:t>a</w:t>
            </w:r>
            <w:bookmarkEnd w:id="147"/>
            <w:r w:rsidR="004C1CD3" w:rsidRPr="00B01F9E">
              <w:rPr>
                <w:rFonts w:ascii="Arial" w:hAnsi="Arial" w:cs="Arial"/>
                <w:color w:val="0563C1"/>
                <w:sz w:val="20"/>
                <w:szCs w:val="20"/>
              </w:rPr>
              <w:t>lysis</w:t>
            </w:r>
            <w:bookmarkEnd w:id="137"/>
            <w:r w:rsidRPr="00B01F9E">
              <w:rPr>
                <w:rFonts w:ascii="Arial" w:hAnsi="Arial" w:cs="Arial"/>
                <w:color w:val="0563C1"/>
                <w:sz w:val="20"/>
                <w:szCs w:val="20"/>
              </w:rPr>
              <w:fldChar w:fldCharType="end"/>
            </w:r>
          </w:p>
        </w:tc>
        <w:tc>
          <w:tcPr>
            <w:tcW w:w="1260" w:type="dxa"/>
            <w:vAlign w:val="center"/>
          </w:tcPr>
          <w:p w14:paraId="793EF08A"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2700" w:type="dxa"/>
            <w:vAlign w:val="center"/>
          </w:tcPr>
          <w:p w14:paraId="7E9EE945"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3168081C"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0" behindDoc="0" locked="0" layoutInCell="1" allowOverlap="1" wp14:anchorId="69B23FED" wp14:editId="4D7DA82D">
                      <wp:simplePos x="0" y="0"/>
                      <wp:positionH relativeFrom="column">
                        <wp:posOffset>182880</wp:posOffset>
                      </wp:positionH>
                      <wp:positionV relativeFrom="paragraph">
                        <wp:posOffset>15980</wp:posOffset>
                      </wp:positionV>
                      <wp:extent cx="228600" cy="228600"/>
                      <wp:effectExtent l="0" t="0" r="19050" b="19050"/>
                      <wp:wrapNone/>
                      <wp:docPr id="689869327" name="Oval 19"/>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FF00"/>
                              </a:solidFill>
                              <a:ln w="6350" cap="flat" cmpd="sng" algn="ctr">
                                <a:solidFill>
                                  <a:srgbClr val="4472C4"/>
                                </a:solidFill>
                                <a:prstDash val="solid"/>
                                <a:miter lim="800000"/>
                              </a:ln>
                              <a:effectLst/>
                            </wps:spPr>
                            <wps:bodyPr rtlCol="0" anchor="ctr"/>
                          </wps:wsp>
                        </a:graphicData>
                      </a:graphic>
                    </wp:anchor>
                  </w:drawing>
                </mc:Choice>
                <mc:Fallback xmlns:arto="http://schemas.microsoft.com/office/word/2006/arto">
                  <w:pict>
                    <v:oval w14:anchorId="1D75389B" id="Oval 19" o:spid="_x0000_s1026" style="position:absolute;margin-left:14.4pt;margin-top:1.25pt;width:18pt;height:18pt;z-index:251658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" fillcolor="yellow" strokecolor="#4472c4" strokeweight=".5pt">
                      <v:stroke joinstyle="miter"/>
                    </v:oval>
                  </w:pict>
                </mc:Fallback>
              </mc:AlternateContent>
            </w:r>
          </w:p>
        </w:tc>
      </w:tr>
      <w:tr w:rsidR="004C1CD3" w:rsidRPr="00B01F9E" w14:paraId="2A89FAE1" w14:textId="77777777" w:rsidTr="00153F01">
        <w:trPr>
          <w:trHeight w:val="288"/>
        </w:trPr>
        <w:tc>
          <w:tcPr>
            <w:tcW w:w="9350" w:type="dxa"/>
            <w:gridSpan w:val="4"/>
            <w:shd w:val="clear" w:color="auto" w:fill="E7E6E6"/>
          </w:tcPr>
          <w:p w14:paraId="05ABCAA6" w14:textId="7BD8537A" w:rsidR="004C1CD3" w:rsidRPr="00B01F9E" w:rsidRDefault="004C1CD3" w:rsidP="00153F01">
            <w:pPr>
              <w:rPr>
                <w:rFonts w:ascii="Arial" w:eastAsia="Calibri" w:hAnsi="Arial" w:cs="Arial"/>
                <w:b/>
                <w:sz w:val="20"/>
                <w:szCs w:val="20"/>
              </w:rPr>
            </w:pPr>
            <w:bookmarkStart w:id="148" w:name="_Hlk175649575"/>
            <w:r w:rsidRPr="00B01F9E">
              <w:rPr>
                <w:rFonts w:ascii="Arial" w:eastAsia="Calibri" w:hAnsi="Arial" w:cs="Arial"/>
                <w:b/>
                <w:sz w:val="20"/>
                <w:szCs w:val="20"/>
              </w:rPr>
              <w:t xml:space="preserve">Gaps Related to Laboratory Analyst </w:t>
            </w:r>
            <w:bookmarkEnd w:id="148"/>
            <w:r w:rsidRPr="00B01F9E">
              <w:rPr>
                <w:rFonts w:ascii="Arial" w:eastAsia="Calibri" w:hAnsi="Arial" w:cs="Arial"/>
                <w:b/>
                <w:bCs/>
                <w:sz w:val="20"/>
                <w:szCs w:val="20"/>
              </w:rPr>
              <w:t xml:space="preserve">Availability </w:t>
            </w:r>
          </w:p>
        </w:tc>
      </w:tr>
      <w:bookmarkStart w:id="149" w:name="Gap_24"/>
      <w:tr w:rsidR="004C1CD3" w:rsidRPr="00B01F9E" w14:paraId="20AD24CD" w14:textId="77777777" w:rsidTr="00153F01">
        <w:trPr>
          <w:trHeight w:val="432"/>
        </w:trPr>
        <w:tc>
          <w:tcPr>
            <w:tcW w:w="4225" w:type="dxa"/>
          </w:tcPr>
          <w:p w14:paraId="0A6A428A" w14:textId="0D75313A" w:rsidR="004C1CD3" w:rsidRPr="00B01F9E" w:rsidRDefault="00800B7B" w:rsidP="00153F01">
            <w:pPr>
              <w:rPr>
                <w:rFonts w:ascii="Arial" w:hAnsi="Arial" w:cs="Arial"/>
                <w:color w:val="0563C1"/>
                <w:sz w:val="20"/>
                <w:szCs w:val="20"/>
              </w:rPr>
            </w:pPr>
            <w:r w:rsidRPr="00B01F9E">
              <w:rPr>
                <w:rFonts w:ascii="Arial" w:hAnsi="Arial" w:cs="Arial"/>
                <w:color w:val="0563C1"/>
                <w:sz w:val="20"/>
                <w:szCs w:val="20"/>
              </w:rPr>
              <w:fldChar w:fldCharType="begin"/>
            </w:r>
            <w:r w:rsidR="009A07EE" w:rsidRPr="00B01F9E">
              <w:rPr>
                <w:rFonts w:ascii="Arial" w:hAnsi="Arial" w:cs="Arial"/>
                <w:color w:val="0563C1"/>
                <w:sz w:val="20"/>
                <w:szCs w:val="20"/>
              </w:rPr>
              <w:instrText>HYPERLINK  \l "Gap_24_24"</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Limi</w:t>
            </w:r>
            <w:bookmarkStart w:id="150" w:name="_Hlt175730786"/>
            <w:r w:rsidR="004C1CD3" w:rsidRPr="00B01F9E">
              <w:rPr>
                <w:rFonts w:ascii="Arial" w:hAnsi="Arial" w:cs="Arial"/>
                <w:color w:val="0563C1"/>
                <w:sz w:val="20"/>
                <w:szCs w:val="20"/>
              </w:rPr>
              <w:t>t</w:t>
            </w:r>
            <w:bookmarkEnd w:id="150"/>
            <w:r w:rsidR="004C1CD3" w:rsidRPr="00B01F9E">
              <w:rPr>
                <w:rFonts w:ascii="Arial" w:hAnsi="Arial" w:cs="Arial"/>
                <w:color w:val="0563C1"/>
                <w:sz w:val="20"/>
                <w:szCs w:val="20"/>
              </w:rPr>
              <w:t>ed av</w:t>
            </w:r>
            <w:bookmarkStart w:id="151" w:name="_Hlt175729944"/>
            <w:bookmarkStart w:id="152" w:name="_Hlt175729964"/>
            <w:bookmarkStart w:id="153" w:name="_Hlt175731436"/>
            <w:r w:rsidR="004C1CD3" w:rsidRPr="00B01F9E">
              <w:rPr>
                <w:rFonts w:ascii="Arial" w:hAnsi="Arial" w:cs="Arial"/>
                <w:color w:val="0563C1"/>
                <w:sz w:val="20"/>
                <w:szCs w:val="20"/>
              </w:rPr>
              <w:t>a</w:t>
            </w:r>
            <w:bookmarkEnd w:id="151"/>
            <w:bookmarkEnd w:id="152"/>
            <w:bookmarkEnd w:id="153"/>
            <w:r w:rsidR="004C1CD3" w:rsidRPr="00B01F9E">
              <w:rPr>
                <w:rFonts w:ascii="Arial" w:hAnsi="Arial" w:cs="Arial"/>
                <w:color w:val="0563C1"/>
                <w:sz w:val="20"/>
                <w:szCs w:val="20"/>
              </w:rPr>
              <w:t>il</w:t>
            </w:r>
            <w:bookmarkStart w:id="154" w:name="_Hlt175729974"/>
            <w:r w:rsidR="004C1CD3" w:rsidRPr="00B01F9E">
              <w:rPr>
                <w:rFonts w:ascii="Arial" w:hAnsi="Arial" w:cs="Arial"/>
                <w:color w:val="0563C1"/>
                <w:sz w:val="20"/>
                <w:szCs w:val="20"/>
              </w:rPr>
              <w:t>a</w:t>
            </w:r>
            <w:bookmarkStart w:id="155" w:name="_Hlt175729983"/>
            <w:bookmarkEnd w:id="154"/>
            <w:r w:rsidR="004C1CD3" w:rsidRPr="00B01F9E">
              <w:rPr>
                <w:rFonts w:ascii="Arial" w:hAnsi="Arial" w:cs="Arial"/>
                <w:color w:val="0563C1"/>
                <w:sz w:val="20"/>
                <w:szCs w:val="20"/>
              </w:rPr>
              <w:t>b</w:t>
            </w:r>
            <w:bookmarkEnd w:id="155"/>
            <w:r w:rsidR="004C1CD3" w:rsidRPr="00B01F9E">
              <w:rPr>
                <w:rFonts w:ascii="Arial" w:hAnsi="Arial" w:cs="Arial"/>
                <w:color w:val="0563C1"/>
                <w:sz w:val="20"/>
                <w:szCs w:val="20"/>
              </w:rPr>
              <w:t>ilit</w:t>
            </w:r>
            <w:bookmarkStart w:id="156" w:name="_Hlt175725028"/>
            <w:r w:rsidR="004C1CD3" w:rsidRPr="00B01F9E">
              <w:rPr>
                <w:rFonts w:ascii="Arial" w:hAnsi="Arial" w:cs="Arial"/>
                <w:color w:val="0563C1"/>
                <w:sz w:val="20"/>
                <w:szCs w:val="20"/>
              </w:rPr>
              <w:t>y</w:t>
            </w:r>
            <w:bookmarkEnd w:id="156"/>
            <w:r w:rsidR="004C1CD3" w:rsidRPr="00B01F9E">
              <w:rPr>
                <w:rFonts w:ascii="Arial" w:hAnsi="Arial" w:cs="Arial"/>
                <w:color w:val="0563C1"/>
                <w:sz w:val="20"/>
                <w:szCs w:val="20"/>
              </w:rPr>
              <w:t xml:space="preserve"> to work on required build</w:t>
            </w:r>
            <w:bookmarkEnd w:id="149"/>
            <w:r w:rsidRPr="00B01F9E">
              <w:rPr>
                <w:rFonts w:ascii="Arial" w:hAnsi="Arial" w:cs="Arial"/>
                <w:color w:val="0563C1"/>
                <w:sz w:val="20"/>
                <w:szCs w:val="20"/>
              </w:rPr>
              <w:fldChar w:fldCharType="end"/>
            </w:r>
          </w:p>
        </w:tc>
        <w:tc>
          <w:tcPr>
            <w:tcW w:w="1260" w:type="dxa"/>
            <w:vAlign w:val="center"/>
          </w:tcPr>
          <w:p w14:paraId="29874F79" w14:textId="77777777" w:rsidR="004C1CD3" w:rsidRPr="00B01F9E" w:rsidRDefault="004C1CD3" w:rsidP="004C1CD3">
            <w:pPr>
              <w:jc w:val="center"/>
              <w:rPr>
                <w:rFonts w:ascii="Arial" w:eastAsia="Calibri" w:hAnsi="Arial" w:cs="Arial"/>
                <w:sz w:val="20"/>
                <w:szCs w:val="20"/>
              </w:rPr>
            </w:pPr>
          </w:p>
        </w:tc>
        <w:tc>
          <w:tcPr>
            <w:tcW w:w="2700" w:type="dxa"/>
            <w:vAlign w:val="center"/>
          </w:tcPr>
          <w:p w14:paraId="4700964B"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Pr>
          <w:p w14:paraId="7C92A411"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1" behindDoc="0" locked="0" layoutInCell="1" allowOverlap="1" wp14:anchorId="406BA455" wp14:editId="59F5B65A">
                      <wp:simplePos x="0" y="0"/>
                      <wp:positionH relativeFrom="column">
                        <wp:posOffset>183515</wp:posOffset>
                      </wp:positionH>
                      <wp:positionV relativeFrom="paragraph">
                        <wp:posOffset>19524</wp:posOffset>
                      </wp:positionV>
                      <wp:extent cx="228600" cy="228600"/>
                      <wp:effectExtent l="0" t="0" r="19050" b="19050"/>
                      <wp:wrapNone/>
                      <wp:docPr id="160670533"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0053AE6F" id="Oval 14" o:spid="_x0000_s1026" style="position:absolute;margin-left:14.45pt;margin-top:1.55pt;width:18pt;height:1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" fillcolor="red" strokecolor="#4472c4" strokeweight=".5pt">
                      <v:stroke joinstyle="miter"/>
                    </v:oval>
                  </w:pict>
                </mc:Fallback>
              </mc:AlternateContent>
            </w:r>
          </w:p>
        </w:tc>
      </w:tr>
      <w:bookmarkStart w:id="157" w:name="Gap_25"/>
      <w:tr w:rsidR="004C1CD3" w:rsidRPr="00B01F9E" w14:paraId="212B4507" w14:textId="77777777" w:rsidTr="00153F01">
        <w:trPr>
          <w:trHeight w:val="576"/>
        </w:trPr>
        <w:tc>
          <w:tcPr>
            <w:tcW w:w="4225" w:type="dxa"/>
            <w:tcBorders>
              <w:bottom w:val="single" w:sz="4" w:space="0" w:color="auto"/>
            </w:tcBorders>
          </w:tcPr>
          <w:p w14:paraId="2D69936E" w14:textId="0FF2F7E3" w:rsidR="004C1CD3" w:rsidRPr="00B01F9E" w:rsidRDefault="009A07EE" w:rsidP="00153F01">
            <w:pPr>
              <w:rPr>
                <w:rFonts w:ascii="Arial" w:hAnsi="Arial" w:cs="Arial"/>
                <w:color w:val="0563C1"/>
                <w:sz w:val="20"/>
                <w:szCs w:val="20"/>
              </w:rPr>
            </w:pPr>
            <w:r w:rsidRPr="00B01F9E">
              <w:rPr>
                <w:rFonts w:ascii="Arial" w:hAnsi="Arial" w:cs="Arial"/>
                <w:color w:val="0563C1"/>
                <w:sz w:val="20"/>
                <w:szCs w:val="20"/>
              </w:rPr>
              <w:fldChar w:fldCharType="begin"/>
            </w:r>
            <w:r w:rsidRPr="00B01F9E">
              <w:rPr>
                <w:rFonts w:ascii="Arial" w:hAnsi="Arial" w:cs="Arial"/>
                <w:color w:val="0563C1"/>
                <w:sz w:val="20"/>
                <w:szCs w:val="20"/>
              </w:rPr>
              <w:instrText>HYPERLINK  \l "Gap_25_25"</w:instrText>
            </w:r>
            <w:r w:rsidRPr="00B01F9E">
              <w:rPr>
                <w:rFonts w:ascii="Arial" w:hAnsi="Arial" w:cs="Arial"/>
                <w:color w:val="0563C1"/>
                <w:sz w:val="20"/>
                <w:szCs w:val="20"/>
              </w:rPr>
            </w:r>
            <w:r w:rsidRPr="00B01F9E">
              <w:rPr>
                <w:rFonts w:ascii="Arial" w:hAnsi="Arial" w:cs="Arial"/>
                <w:color w:val="0563C1"/>
                <w:sz w:val="20"/>
                <w:szCs w:val="20"/>
              </w:rPr>
              <w:fldChar w:fldCharType="separate"/>
            </w:r>
            <w:r w:rsidR="004C1CD3" w:rsidRPr="00B01F9E">
              <w:rPr>
                <w:rFonts w:ascii="Arial" w:hAnsi="Arial" w:cs="Arial"/>
                <w:color w:val="0563C1"/>
                <w:sz w:val="20"/>
                <w:szCs w:val="20"/>
              </w:rPr>
              <w:t>Limi</w:t>
            </w:r>
            <w:bookmarkStart w:id="158" w:name="_Hlt175730789"/>
            <w:r w:rsidR="004C1CD3" w:rsidRPr="00B01F9E">
              <w:rPr>
                <w:rFonts w:ascii="Arial" w:hAnsi="Arial" w:cs="Arial"/>
                <w:color w:val="0563C1"/>
                <w:sz w:val="20"/>
                <w:szCs w:val="20"/>
              </w:rPr>
              <w:t>t</w:t>
            </w:r>
            <w:bookmarkEnd w:id="158"/>
            <w:r w:rsidR="004C1CD3" w:rsidRPr="00B01F9E">
              <w:rPr>
                <w:rFonts w:ascii="Arial" w:hAnsi="Arial" w:cs="Arial"/>
                <w:color w:val="0563C1"/>
                <w:sz w:val="20"/>
                <w:szCs w:val="20"/>
              </w:rPr>
              <w:t>ed availability to fully explore perceived system limitations and required solutions</w:t>
            </w:r>
            <w:r w:rsidRPr="00B01F9E">
              <w:rPr>
                <w:rFonts w:ascii="Arial" w:hAnsi="Arial" w:cs="Arial"/>
                <w:color w:val="0563C1"/>
                <w:sz w:val="20"/>
                <w:szCs w:val="20"/>
              </w:rPr>
              <w:fldChar w:fldCharType="end"/>
            </w:r>
            <w:r w:rsidR="004C1CD3" w:rsidRPr="00B01F9E">
              <w:rPr>
                <w:rFonts w:ascii="Arial" w:hAnsi="Arial" w:cs="Arial"/>
                <w:color w:val="0563C1"/>
                <w:sz w:val="20"/>
                <w:szCs w:val="20"/>
              </w:rPr>
              <w:t xml:space="preserve"> </w:t>
            </w:r>
            <w:bookmarkEnd w:id="157"/>
          </w:p>
        </w:tc>
        <w:tc>
          <w:tcPr>
            <w:tcW w:w="1260" w:type="dxa"/>
            <w:tcBorders>
              <w:bottom w:val="single" w:sz="4" w:space="0" w:color="auto"/>
            </w:tcBorders>
            <w:vAlign w:val="center"/>
          </w:tcPr>
          <w:p w14:paraId="4649BD53" w14:textId="77777777" w:rsidR="004C1CD3" w:rsidRPr="00B01F9E" w:rsidRDefault="004C1CD3" w:rsidP="004C1CD3">
            <w:pPr>
              <w:jc w:val="center"/>
              <w:rPr>
                <w:rFonts w:ascii="Arial" w:eastAsia="Calibri" w:hAnsi="Arial" w:cs="Arial"/>
                <w:sz w:val="20"/>
                <w:szCs w:val="20"/>
              </w:rPr>
            </w:pPr>
          </w:p>
        </w:tc>
        <w:tc>
          <w:tcPr>
            <w:tcW w:w="2700" w:type="dxa"/>
            <w:tcBorders>
              <w:bottom w:val="single" w:sz="4" w:space="0" w:color="auto"/>
            </w:tcBorders>
            <w:vAlign w:val="center"/>
          </w:tcPr>
          <w:p w14:paraId="15F0F53E" w14:textId="77777777" w:rsidR="004C1CD3" w:rsidRPr="00B01F9E" w:rsidRDefault="004C1CD3" w:rsidP="004C1CD3">
            <w:pPr>
              <w:jc w:val="center"/>
              <w:rPr>
                <w:rFonts w:ascii="Arial" w:eastAsia="Calibri" w:hAnsi="Arial" w:cs="Arial"/>
                <w:sz w:val="20"/>
                <w:szCs w:val="20"/>
              </w:rPr>
            </w:pPr>
            <w:r w:rsidRPr="00B01F9E">
              <w:rPr>
                <w:rFonts w:ascii="Arial" w:eastAsia="Calibri" w:hAnsi="Arial" w:cs="Arial"/>
                <w:sz w:val="20"/>
                <w:szCs w:val="20"/>
              </w:rPr>
              <w:t>X</w:t>
            </w:r>
          </w:p>
        </w:tc>
        <w:tc>
          <w:tcPr>
            <w:tcW w:w="1165" w:type="dxa"/>
            <w:tcBorders>
              <w:bottom w:val="single" w:sz="4" w:space="0" w:color="auto"/>
            </w:tcBorders>
          </w:tcPr>
          <w:p w14:paraId="57FD0810" w14:textId="77777777" w:rsidR="004C1CD3" w:rsidRPr="00B01F9E" w:rsidRDefault="004C1CD3" w:rsidP="004C1CD3">
            <w:pPr>
              <w:rPr>
                <w:rFonts w:ascii="Arial" w:eastAsia="Calibri" w:hAnsi="Arial" w:cs="Arial"/>
                <w:noProof/>
                <w:sz w:val="20"/>
                <w:szCs w:val="20"/>
              </w:rPr>
            </w:pPr>
            <w:r w:rsidRPr="00B01F9E">
              <w:rPr>
                <w:rFonts w:ascii="Arial" w:eastAsia="Calibri" w:hAnsi="Arial" w:cs="Arial"/>
                <w:noProof/>
                <w:sz w:val="20"/>
                <w:szCs w:val="20"/>
              </w:rPr>
              <mc:AlternateContent>
                <mc:Choice Requires="wps">
                  <w:drawing>
                    <wp:anchor distT="0" distB="0" distL="114300" distR="114300" simplePos="0" relativeHeight="251658252" behindDoc="0" locked="0" layoutInCell="1" allowOverlap="1" wp14:anchorId="29A2D742" wp14:editId="2E444412">
                      <wp:simplePos x="0" y="0"/>
                      <wp:positionH relativeFrom="column">
                        <wp:posOffset>181610</wp:posOffset>
                      </wp:positionH>
                      <wp:positionV relativeFrom="paragraph">
                        <wp:posOffset>62069</wp:posOffset>
                      </wp:positionV>
                      <wp:extent cx="228600" cy="228600"/>
                      <wp:effectExtent l="0" t="0" r="19050" b="19050"/>
                      <wp:wrapNone/>
                      <wp:docPr id="894040871" name="Oval 14"/>
                      <wp:cNvGraphicFramePr/>
                      <a:graphic xmlns:a="http://schemas.openxmlformats.org/drawingml/2006/main">
                        <a:graphicData uri="http://schemas.microsoft.com/office/word/2010/wordprocessingShape">
                          <wps:wsp>
                            <wps:cNvSpPr/>
                            <wps:spPr>
                              <a:xfrm>
                                <a:off x="0" y="0"/>
                                <a:ext cx="228600" cy="228600"/>
                              </a:xfrm>
                              <a:prstGeom prst="ellipse">
                                <a:avLst/>
                              </a:prstGeom>
                              <a:solidFill>
                                <a:srgbClr val="FF0000"/>
                              </a:solidFill>
                              <a:ln w="6350" cap="flat" cmpd="sng" algn="ctr">
                                <a:solidFill>
                                  <a:srgbClr val="4472C4"/>
                                </a:solidFill>
                                <a:prstDash val="solid"/>
                                <a:miter lim="800000"/>
                              </a:ln>
                              <a:effectLst/>
                            </wps:spPr>
                            <wps:bodyPr rtlCol="0" anchor="ctr"/>
                          </wps:wsp>
                        </a:graphicData>
                      </a:graphic>
                      <wp14:sizeRelH relativeFrom="margin">
                        <wp14:pctWidth>0</wp14:pctWidth>
                      </wp14:sizeRelH>
                      <wp14:sizeRelV relativeFrom="margin">
                        <wp14:pctHeight>0</wp14:pctHeight>
                      </wp14:sizeRelV>
                    </wp:anchor>
                  </w:drawing>
                </mc:Choice>
                <mc:Fallback xmlns:arto="http://schemas.microsoft.com/office/word/2006/arto">
                  <w:pict>
                    <v:oval w14:anchorId="54E487C4" id="Oval 14" o:spid="_x0000_s1026" style="position:absolute;margin-left:14.3pt;margin-top:4.9pt;width:18pt;height:1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" fillcolor="red" strokecolor="#4472c4" strokeweight=".5pt">
                      <v:stroke joinstyle="miter"/>
                    </v:oval>
                  </w:pict>
                </mc:Fallback>
              </mc:AlternateContent>
            </w:r>
          </w:p>
        </w:tc>
      </w:tr>
      <w:tr w:rsidR="00427ADB" w:rsidRPr="00B01F9E" w14:paraId="64749CB4" w14:textId="77777777" w:rsidTr="002F3CB6">
        <w:trPr>
          <w:trHeight w:val="47"/>
        </w:trPr>
        <w:tc>
          <w:tcPr>
            <w:tcW w:w="4225" w:type="dxa"/>
            <w:tcBorders>
              <w:top w:val="single" w:sz="4" w:space="0" w:color="auto"/>
              <w:left w:val="nil"/>
              <w:bottom w:val="nil"/>
              <w:right w:val="nil"/>
            </w:tcBorders>
          </w:tcPr>
          <w:p w14:paraId="059183B2" w14:textId="77777777" w:rsidR="00427ADB" w:rsidRPr="00B01F9E" w:rsidRDefault="00427ADB" w:rsidP="004C1CD3">
            <w:pPr>
              <w:rPr>
                <w:rFonts w:ascii="Arial" w:hAnsi="Arial" w:cs="Arial"/>
                <w:color w:val="0563C1"/>
                <w:sz w:val="20"/>
                <w:szCs w:val="20"/>
              </w:rPr>
            </w:pPr>
          </w:p>
        </w:tc>
        <w:tc>
          <w:tcPr>
            <w:tcW w:w="1260" w:type="dxa"/>
            <w:tcBorders>
              <w:top w:val="single" w:sz="4" w:space="0" w:color="auto"/>
              <w:left w:val="nil"/>
              <w:bottom w:val="nil"/>
              <w:right w:val="nil"/>
            </w:tcBorders>
            <w:vAlign w:val="center"/>
          </w:tcPr>
          <w:p w14:paraId="3A760201" w14:textId="77777777" w:rsidR="00427ADB" w:rsidRPr="00B01F9E" w:rsidRDefault="00427ADB" w:rsidP="004C1CD3">
            <w:pPr>
              <w:jc w:val="center"/>
              <w:rPr>
                <w:rFonts w:ascii="Arial" w:eastAsia="Calibri" w:hAnsi="Arial" w:cs="Arial"/>
                <w:sz w:val="20"/>
                <w:szCs w:val="20"/>
              </w:rPr>
            </w:pPr>
          </w:p>
        </w:tc>
        <w:tc>
          <w:tcPr>
            <w:tcW w:w="2700" w:type="dxa"/>
            <w:tcBorders>
              <w:top w:val="single" w:sz="4" w:space="0" w:color="auto"/>
              <w:left w:val="nil"/>
              <w:bottom w:val="nil"/>
              <w:right w:val="nil"/>
            </w:tcBorders>
            <w:vAlign w:val="center"/>
          </w:tcPr>
          <w:p w14:paraId="5C37BEFF" w14:textId="77777777" w:rsidR="00427ADB" w:rsidRPr="00B01F9E" w:rsidRDefault="00427ADB" w:rsidP="004C1CD3">
            <w:pPr>
              <w:jc w:val="center"/>
              <w:rPr>
                <w:rFonts w:ascii="Arial" w:eastAsia="Calibri" w:hAnsi="Arial" w:cs="Arial"/>
                <w:sz w:val="20"/>
                <w:szCs w:val="20"/>
              </w:rPr>
            </w:pPr>
          </w:p>
        </w:tc>
        <w:tc>
          <w:tcPr>
            <w:tcW w:w="1165" w:type="dxa"/>
            <w:tcBorders>
              <w:top w:val="single" w:sz="4" w:space="0" w:color="auto"/>
              <w:left w:val="nil"/>
              <w:bottom w:val="nil"/>
              <w:right w:val="nil"/>
            </w:tcBorders>
          </w:tcPr>
          <w:p w14:paraId="61A72649" w14:textId="77777777" w:rsidR="00427ADB" w:rsidRPr="00B01F9E" w:rsidRDefault="00427ADB" w:rsidP="004C1CD3">
            <w:pPr>
              <w:rPr>
                <w:rFonts w:ascii="Arial" w:eastAsia="Calibri" w:hAnsi="Arial" w:cs="Arial"/>
                <w:noProof/>
                <w:sz w:val="20"/>
                <w:szCs w:val="20"/>
              </w:rPr>
            </w:pPr>
          </w:p>
        </w:tc>
      </w:tr>
    </w:tbl>
    <w:p w14:paraId="1403D0A6" w14:textId="77777777" w:rsidR="00C3735A" w:rsidRPr="00B01F9E" w:rsidRDefault="004C1CD3" w:rsidP="00B5508A">
      <w:pPr>
        <w:rPr>
          <w:rFonts w:ascii="Arial" w:eastAsia="Yu Gothic Light" w:hAnsi="Arial" w:cs="Arial"/>
          <w:b/>
          <w:color w:val="009BBF"/>
          <w:kern w:val="2"/>
          <w:sz w:val="20"/>
          <w:szCs w:val="20"/>
          <w14:ligatures w14:val="standardContextual"/>
        </w:rPr>
      </w:pPr>
      <w:r w:rsidRPr="00B01F9E">
        <w:rPr>
          <w:rFonts w:ascii="Arial" w:eastAsia="Calibri" w:hAnsi="Arial" w:cs="Arial"/>
          <w:noProof/>
          <w:kern w:val="2"/>
          <w:sz w:val="20"/>
          <w:szCs w:val="20"/>
          <w14:ligatures w14:val="standardContextual"/>
        </w:rPr>
        <w:drawing>
          <wp:inline distT="0" distB="0" distL="0" distR="0" wp14:anchorId="211EC91F" wp14:editId="7D7691BC">
            <wp:extent cx="2287631" cy="1442852"/>
            <wp:effectExtent l="0" t="0" r="0" b="5080"/>
            <wp:docPr id="1840468379" name="Picture 30" descr="A chart with text on it&#10;&#10;Description automatically generated with medium confidence">
              <a:extLst xmlns:a="http://schemas.openxmlformats.org/drawingml/2006/main">
                <a:ext uri="{FF2B5EF4-FFF2-40B4-BE49-F238E27FC236}">
                  <a16:creationId xmlns:a16="http://schemas.microsoft.com/office/drawing/2014/main" id="{4033217C-7B69-A13A-424E-B3EF9ECC7E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A chart with text on it&#10;&#10;Description automatically generated with medium confidence">
                      <a:extLst>
                        <a:ext uri="{FF2B5EF4-FFF2-40B4-BE49-F238E27FC236}">
                          <a16:creationId xmlns:a16="http://schemas.microsoft.com/office/drawing/2014/main" id="{4033217C-7B69-A13A-424E-B3EF9ECC7E67}"/>
                        </a:ext>
                      </a:extLst>
                    </pic:cNvPr>
                    <pic:cNvPicPr>
                      <a:picLocks noChangeAspect="1"/>
                    </pic:cNvPicPr>
                  </pic:nvPicPr>
                  <pic:blipFill>
                    <a:blip r:embed="rId62"/>
                    <a:stretch>
                      <a:fillRect/>
                    </a:stretch>
                  </pic:blipFill>
                  <pic:spPr>
                    <a:xfrm>
                      <a:off x="0" y="0"/>
                      <a:ext cx="2320168" cy="1463374"/>
                    </a:xfrm>
                    <a:prstGeom prst="rect">
                      <a:avLst/>
                    </a:prstGeom>
                  </pic:spPr>
                </pic:pic>
              </a:graphicData>
            </a:graphic>
          </wp:inline>
        </w:drawing>
      </w:r>
      <w:bookmarkStart w:id="159" w:name="_Ref173848753"/>
    </w:p>
    <w:p w14:paraId="71681F22" w14:textId="4CC481E7" w:rsidR="004C1CD3" w:rsidRPr="00B01F9E" w:rsidRDefault="005D3D26" w:rsidP="00FB088B">
      <w:pPr>
        <w:pStyle w:val="Heading3"/>
        <w:spacing w:before="0" w:after="120"/>
        <w:rPr>
          <w:rFonts w:ascii="Arial" w:hAnsi="Arial" w:cs="Arial"/>
          <w:b/>
          <w:bCs/>
          <w:i/>
          <w:iCs/>
          <w:color w:val="009ABF" w:themeColor="text1"/>
          <w:sz w:val="20"/>
          <w:szCs w:val="20"/>
        </w:rPr>
      </w:pPr>
      <w:bookmarkStart w:id="160" w:name="_Toc177136993"/>
      <w:r w:rsidRPr="00B01F9E">
        <w:rPr>
          <w:rFonts w:ascii="Arial" w:hAnsi="Arial" w:cs="Arial"/>
          <w:b/>
          <w:bCs/>
          <w:i/>
          <w:iCs/>
          <w:color w:val="009ABF" w:themeColor="text1"/>
          <w:sz w:val="20"/>
          <w:szCs w:val="20"/>
        </w:rPr>
        <w:lastRenderedPageBreak/>
        <w:t>3</w:t>
      </w:r>
      <w:r w:rsidR="00D64AB8" w:rsidRPr="00B01F9E">
        <w:rPr>
          <w:rFonts w:ascii="Arial" w:hAnsi="Arial" w:cs="Arial"/>
          <w:b/>
          <w:bCs/>
          <w:i/>
          <w:iCs/>
          <w:color w:val="009ABF" w:themeColor="text1"/>
          <w:sz w:val="20"/>
          <w:szCs w:val="20"/>
        </w:rPr>
        <w:t xml:space="preserve">.7.1 </w:t>
      </w:r>
      <w:r w:rsidR="003135E2" w:rsidRPr="00B01F9E">
        <w:rPr>
          <w:rFonts w:ascii="Arial" w:hAnsi="Arial" w:cs="Arial"/>
          <w:b/>
          <w:bCs/>
          <w:i/>
          <w:iCs/>
          <w:color w:val="009ABF" w:themeColor="text1"/>
          <w:sz w:val="20"/>
          <w:szCs w:val="20"/>
        </w:rPr>
        <w:t xml:space="preserve">Gaps Related to </w:t>
      </w:r>
      <w:bookmarkEnd w:id="159"/>
      <w:r w:rsidR="003135E2" w:rsidRPr="00B01F9E">
        <w:rPr>
          <w:rFonts w:ascii="Arial" w:hAnsi="Arial" w:cs="Arial"/>
          <w:b/>
          <w:bCs/>
          <w:i/>
          <w:iCs/>
          <w:color w:val="009ABF" w:themeColor="text1"/>
          <w:sz w:val="20"/>
          <w:szCs w:val="20"/>
        </w:rPr>
        <w:t>LIDR</w:t>
      </w:r>
      <w:bookmarkEnd w:id="160"/>
    </w:p>
    <w:p w14:paraId="427F4959" w14:textId="50CAEE7D" w:rsidR="004C1CD3" w:rsidRPr="00B01F9E" w:rsidRDefault="005D3D26" w:rsidP="004F66E2">
      <w:pPr>
        <w:pStyle w:val="Heading4"/>
        <w:spacing w:before="0" w:after="120"/>
        <w:ind w:left="450" w:hanging="450"/>
        <w:rPr>
          <w:rFonts w:ascii="Arial" w:hAnsi="Arial" w:cs="Arial"/>
          <w:color w:val="auto"/>
          <w:sz w:val="20"/>
          <w:szCs w:val="20"/>
        </w:rPr>
      </w:pPr>
      <w:bookmarkStart w:id="161" w:name="_The_LIDR_is"/>
      <w:bookmarkStart w:id="162" w:name="Gap_1_1"/>
      <w:bookmarkEnd w:id="161"/>
      <w:r w:rsidRPr="00B01F9E">
        <w:rPr>
          <w:rStyle w:val="Heading4Char"/>
          <w:rFonts w:ascii="Arial" w:hAnsi="Arial" w:cs="Arial"/>
          <w:b/>
          <w:color w:val="auto"/>
          <w:sz w:val="20"/>
          <w:szCs w:val="20"/>
        </w:rPr>
        <w:t>3</w:t>
      </w:r>
      <w:r w:rsidR="005D3B91" w:rsidRPr="00B01F9E">
        <w:rPr>
          <w:rStyle w:val="Heading4Char"/>
          <w:rFonts w:ascii="Arial" w:hAnsi="Arial" w:cs="Arial"/>
          <w:b/>
          <w:color w:val="auto"/>
          <w:sz w:val="20"/>
          <w:szCs w:val="20"/>
        </w:rPr>
        <w:t>.7.</w:t>
      </w:r>
      <w:r w:rsidR="0044534D" w:rsidRPr="00B01F9E">
        <w:rPr>
          <w:rStyle w:val="Heading4Char"/>
          <w:rFonts w:ascii="Arial" w:hAnsi="Arial" w:cs="Arial"/>
          <w:b/>
          <w:color w:val="auto"/>
          <w:sz w:val="20"/>
          <w:szCs w:val="20"/>
        </w:rPr>
        <w:t>1.1</w:t>
      </w:r>
      <w:hyperlink w:anchor="Gap_1" w:history="1">
        <w:r w:rsidR="004C1CD3" w:rsidRPr="00B01F9E">
          <w:rPr>
            <w:rStyle w:val="Heading4Char"/>
            <w:rFonts w:ascii="Arial" w:hAnsi="Arial" w:cs="Arial"/>
            <w:b/>
            <w:color w:val="auto"/>
            <w:sz w:val="20"/>
            <w:szCs w:val="20"/>
          </w:rPr>
          <w:t xml:space="preserve"> LIDR</w:t>
        </w:r>
        <w:bookmarkStart w:id="163" w:name="_Hlt175765679"/>
        <w:r w:rsidR="004C1CD3" w:rsidRPr="00B01F9E">
          <w:rPr>
            <w:rStyle w:val="Heading4Char"/>
            <w:rFonts w:ascii="Arial" w:hAnsi="Arial" w:cs="Arial"/>
            <w:b/>
            <w:color w:val="auto"/>
            <w:sz w:val="20"/>
            <w:szCs w:val="20"/>
          </w:rPr>
          <w:t xml:space="preserve"> </w:t>
        </w:r>
        <w:bookmarkStart w:id="164" w:name="_Hlt175766674"/>
        <w:bookmarkEnd w:id="163"/>
        <w:r w:rsidR="004C1CD3" w:rsidRPr="00B01F9E">
          <w:rPr>
            <w:rStyle w:val="Heading4Char"/>
            <w:rFonts w:ascii="Arial" w:hAnsi="Arial" w:cs="Arial"/>
            <w:b/>
            <w:color w:val="auto"/>
            <w:sz w:val="20"/>
            <w:szCs w:val="20"/>
          </w:rPr>
          <w:t>i</w:t>
        </w:r>
        <w:bookmarkEnd w:id="164"/>
        <w:r w:rsidR="004C1CD3" w:rsidRPr="00B01F9E">
          <w:rPr>
            <w:rStyle w:val="Heading4Char"/>
            <w:rFonts w:ascii="Arial" w:hAnsi="Arial" w:cs="Arial"/>
            <w:b/>
            <w:color w:val="auto"/>
            <w:sz w:val="20"/>
            <w:szCs w:val="20"/>
          </w:rPr>
          <w:t>s not</w:t>
        </w:r>
        <w:bookmarkStart w:id="165" w:name="_Hlt175768889"/>
        <w:r w:rsidR="004C1CD3" w:rsidRPr="00B01F9E">
          <w:rPr>
            <w:rStyle w:val="Heading4Char"/>
            <w:rFonts w:ascii="Arial" w:hAnsi="Arial" w:cs="Arial"/>
            <w:b/>
            <w:color w:val="auto"/>
            <w:sz w:val="20"/>
            <w:szCs w:val="20"/>
          </w:rPr>
          <w:t xml:space="preserve"> </w:t>
        </w:r>
        <w:bookmarkEnd w:id="165"/>
        <w:r w:rsidR="00D05416" w:rsidRPr="00B01F9E">
          <w:rPr>
            <w:rStyle w:val="Heading4Char"/>
            <w:rFonts w:ascii="Arial" w:hAnsi="Arial" w:cs="Arial"/>
            <w:b/>
            <w:color w:val="auto"/>
            <w:sz w:val="20"/>
            <w:szCs w:val="20"/>
          </w:rPr>
          <w:t>y</w:t>
        </w:r>
        <w:r w:rsidR="004C1CD3" w:rsidRPr="00B01F9E">
          <w:rPr>
            <w:rStyle w:val="Heading4Char"/>
            <w:rFonts w:ascii="Arial" w:hAnsi="Arial" w:cs="Arial"/>
            <w:b/>
            <w:color w:val="auto"/>
            <w:sz w:val="20"/>
            <w:szCs w:val="20"/>
          </w:rPr>
          <w:t>e</w:t>
        </w:r>
        <w:bookmarkStart w:id="166" w:name="_Hlt175769170"/>
        <w:r w:rsidR="004C1CD3" w:rsidRPr="00B01F9E">
          <w:rPr>
            <w:rStyle w:val="Heading4Char"/>
            <w:rFonts w:ascii="Arial" w:hAnsi="Arial" w:cs="Arial"/>
            <w:b/>
            <w:color w:val="auto"/>
            <w:sz w:val="20"/>
            <w:szCs w:val="20"/>
          </w:rPr>
          <w:t>t</w:t>
        </w:r>
        <w:bookmarkEnd w:id="166"/>
        <w:r w:rsidR="004C1CD3" w:rsidRPr="00B01F9E">
          <w:rPr>
            <w:rStyle w:val="Heading4Char"/>
            <w:rFonts w:ascii="Arial" w:hAnsi="Arial" w:cs="Arial"/>
            <w:b/>
            <w:color w:val="auto"/>
            <w:sz w:val="20"/>
            <w:szCs w:val="20"/>
          </w:rPr>
          <w:t xml:space="preserve"> deve</w:t>
        </w:r>
        <w:bookmarkStart w:id="167" w:name="_Hlt175764619"/>
        <w:r w:rsidR="004C1CD3" w:rsidRPr="00B01F9E">
          <w:rPr>
            <w:rStyle w:val="Heading4Char"/>
            <w:rFonts w:ascii="Arial" w:hAnsi="Arial" w:cs="Arial"/>
            <w:b/>
            <w:color w:val="auto"/>
            <w:sz w:val="20"/>
            <w:szCs w:val="20"/>
          </w:rPr>
          <w:t>l</w:t>
        </w:r>
        <w:bookmarkEnd w:id="167"/>
        <w:r w:rsidR="004C1CD3" w:rsidRPr="00B01F9E">
          <w:rPr>
            <w:rStyle w:val="Heading4Char"/>
            <w:rFonts w:ascii="Arial" w:hAnsi="Arial" w:cs="Arial"/>
            <w:b/>
            <w:color w:val="auto"/>
            <w:sz w:val="20"/>
            <w:szCs w:val="20"/>
          </w:rPr>
          <w:t>oped:</w:t>
        </w:r>
      </w:hyperlink>
      <w:bookmarkEnd w:id="162"/>
      <w:r w:rsidR="004C1CD3" w:rsidRPr="00B01F9E" w:rsidDel="00B947E8">
        <w:rPr>
          <w:rFonts w:ascii="Arial" w:hAnsi="Arial" w:cs="Arial"/>
          <w:color w:val="auto"/>
          <w:sz w:val="20"/>
          <w:szCs w:val="20"/>
        </w:rPr>
        <w:t xml:space="preserve"> </w:t>
      </w:r>
      <w:r w:rsidR="004C1CD3" w:rsidRPr="00B01F9E">
        <w:rPr>
          <w:rFonts w:ascii="Arial" w:hAnsi="Arial" w:cs="Arial"/>
          <w:i w:val="0"/>
          <w:color w:val="auto"/>
          <w:sz w:val="20"/>
          <w:szCs w:val="20"/>
        </w:rPr>
        <w:t>LIDR is not currently an established standard with an organization supporting its development. The ability to encode all laboratory tests in a standardized fashion will not occur until LIDR is established.</w:t>
      </w:r>
      <w:r w:rsidR="004C1CD3" w:rsidRPr="00B01F9E">
        <w:rPr>
          <w:rFonts w:ascii="Arial" w:hAnsi="Arial" w:cs="Arial"/>
          <w:color w:val="auto"/>
          <w:sz w:val="20"/>
          <w:szCs w:val="20"/>
        </w:rPr>
        <w:t xml:space="preserve"> </w:t>
      </w:r>
    </w:p>
    <w:p w14:paraId="282DA7B0" w14:textId="77777777" w:rsidR="004C1CD3" w:rsidRPr="00B01F9E" w:rsidRDefault="004C1CD3" w:rsidP="004F66E2">
      <w:pPr>
        <w:spacing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During the POC development, the CAP conducted research and provided a listing of LOINC codes for the test performed LOINC code. Duke provided 47 test build exports from Beaker, which included the LOINC code encoding for the test performed. Six of the exports were missing a LOINC code and 41 were coded with LOINC codes. Research conducted by the CAP included evaluation of the methodology, units of measure, and test name used by Duke to identify the appropriate LOINC code. A discrepancy existed between the LOINC codes used by Duke and the LOINC codes researched by the CAP in 32 of the 41 tests (78%). This observation demonstrated the need for a well-curated LIDR as an authoritative source to help laboratories encode their tests with definitive data elements provided by the test manufacturer.</w:t>
      </w:r>
    </w:p>
    <w:p w14:paraId="7A86C1EE" w14:textId="77777777" w:rsidR="004C1CD3" w:rsidRPr="00B01F9E" w:rsidRDefault="004C1CD3" w:rsidP="004C1CD3">
      <w:pPr>
        <w:spacing w:after="0" w:line="240" w:lineRule="auto"/>
        <w:ind w:left="432"/>
        <w:contextualSpacing/>
        <w:rPr>
          <w:rFonts w:ascii="Arial" w:eastAsia="Calibri" w:hAnsi="Arial" w:cs="Arial"/>
          <w:b/>
          <w:bCs/>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1ECAD41B"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In the POC, a simulated LIDR was created based on the involved tests, the methods utilized, and the availability of LIVD files for the instruments utilized at Duke.</w:t>
      </w:r>
    </w:p>
    <w:p w14:paraId="6637C109"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LIDR must be developed based on input from IVD manufacturers and stored as a resource for laboratories as an authoritative source.</w:t>
      </w:r>
    </w:p>
    <w:p w14:paraId="03F55D13" w14:textId="51EFC9BD" w:rsidR="004C1CD3" w:rsidRPr="00B01F9E" w:rsidRDefault="005D3D26" w:rsidP="004F66E2">
      <w:pPr>
        <w:pStyle w:val="Heading4"/>
        <w:spacing w:before="0"/>
        <w:ind w:left="450" w:hanging="450"/>
        <w:rPr>
          <w:rStyle w:val="Heading4Char"/>
          <w:rFonts w:ascii="Arial" w:hAnsi="Arial" w:cs="Arial"/>
          <w:b/>
          <w:color w:val="auto"/>
          <w:sz w:val="20"/>
          <w:szCs w:val="20"/>
        </w:rPr>
      </w:pPr>
      <w:bookmarkStart w:id="168" w:name="_Lack_of_IVD"/>
      <w:bookmarkStart w:id="169" w:name="Gap_2_2"/>
      <w:bookmarkEnd w:id="168"/>
      <w:r w:rsidRPr="00B01F9E">
        <w:rPr>
          <w:rStyle w:val="Heading4Char"/>
          <w:rFonts w:ascii="Arial" w:hAnsi="Arial" w:cs="Arial"/>
          <w:b/>
          <w:color w:val="auto"/>
          <w:sz w:val="20"/>
          <w:szCs w:val="20"/>
        </w:rPr>
        <w:t>3</w:t>
      </w:r>
      <w:r w:rsidR="005D3B91" w:rsidRPr="00B01F9E">
        <w:rPr>
          <w:rStyle w:val="Heading4Char"/>
          <w:rFonts w:ascii="Arial" w:hAnsi="Arial" w:cs="Arial"/>
          <w:b/>
          <w:color w:val="auto"/>
          <w:sz w:val="20"/>
          <w:szCs w:val="20"/>
        </w:rPr>
        <w:t>.7</w:t>
      </w:r>
      <w:r w:rsidR="0044534D" w:rsidRPr="00B01F9E">
        <w:rPr>
          <w:rStyle w:val="Heading4Char"/>
          <w:rFonts w:ascii="Arial" w:hAnsi="Arial" w:cs="Arial"/>
          <w:b/>
          <w:color w:val="auto"/>
          <w:sz w:val="20"/>
          <w:szCs w:val="20"/>
        </w:rPr>
        <w:t xml:space="preserve">.1.2 </w:t>
      </w:r>
      <w:hyperlink w:anchor="Gap_2" w:history="1">
        <w:r w:rsidR="004C1CD3" w:rsidRPr="00B01F9E">
          <w:rPr>
            <w:rStyle w:val="Heading4Char"/>
            <w:rFonts w:ascii="Arial" w:hAnsi="Arial" w:cs="Arial"/>
            <w:b/>
            <w:color w:val="auto"/>
            <w:sz w:val="20"/>
            <w:szCs w:val="20"/>
          </w:rPr>
          <w:t>Lac</w:t>
        </w:r>
        <w:bookmarkStart w:id="170" w:name="_Hlt175730295"/>
        <w:r w:rsidR="004C1CD3" w:rsidRPr="00B01F9E">
          <w:rPr>
            <w:rStyle w:val="Heading4Char"/>
            <w:rFonts w:ascii="Arial" w:hAnsi="Arial" w:cs="Arial"/>
            <w:b/>
            <w:color w:val="auto"/>
            <w:sz w:val="20"/>
            <w:szCs w:val="20"/>
          </w:rPr>
          <w:t>k</w:t>
        </w:r>
        <w:bookmarkEnd w:id="170"/>
        <w:r w:rsidR="004C1CD3" w:rsidRPr="00B01F9E">
          <w:rPr>
            <w:rStyle w:val="Heading4Char"/>
            <w:rFonts w:ascii="Arial" w:hAnsi="Arial" w:cs="Arial"/>
            <w:b/>
            <w:color w:val="auto"/>
            <w:sz w:val="20"/>
            <w:szCs w:val="20"/>
          </w:rPr>
          <w:t xml:space="preserve"> of </w:t>
        </w:r>
        <w:bookmarkStart w:id="171" w:name="_Hlt175765682"/>
        <w:r w:rsidR="004C1CD3" w:rsidRPr="00B01F9E">
          <w:rPr>
            <w:rStyle w:val="Heading4Char"/>
            <w:rFonts w:ascii="Arial" w:hAnsi="Arial" w:cs="Arial"/>
            <w:b/>
            <w:color w:val="auto"/>
            <w:sz w:val="20"/>
            <w:szCs w:val="20"/>
          </w:rPr>
          <w:t>I</w:t>
        </w:r>
        <w:bookmarkEnd w:id="171"/>
        <w:r w:rsidR="004C1CD3" w:rsidRPr="00B01F9E">
          <w:rPr>
            <w:rStyle w:val="Heading4Char"/>
            <w:rFonts w:ascii="Arial" w:hAnsi="Arial" w:cs="Arial"/>
            <w:b/>
            <w:color w:val="auto"/>
            <w:sz w:val="20"/>
            <w:szCs w:val="20"/>
          </w:rPr>
          <w:t>V</w:t>
        </w:r>
        <w:bookmarkStart w:id="172" w:name="_Hlt175766677"/>
        <w:r w:rsidR="004C1CD3" w:rsidRPr="00B01F9E">
          <w:rPr>
            <w:rStyle w:val="Heading4Char"/>
            <w:rFonts w:ascii="Arial" w:hAnsi="Arial" w:cs="Arial"/>
            <w:b/>
            <w:color w:val="auto"/>
            <w:sz w:val="20"/>
            <w:szCs w:val="20"/>
          </w:rPr>
          <w:t>D</w:t>
        </w:r>
        <w:bookmarkEnd w:id="172"/>
        <w:r w:rsidR="004C1CD3" w:rsidRPr="00B01F9E">
          <w:rPr>
            <w:rStyle w:val="Heading4Char"/>
            <w:rFonts w:ascii="Arial" w:hAnsi="Arial" w:cs="Arial"/>
            <w:b/>
            <w:color w:val="auto"/>
            <w:sz w:val="20"/>
            <w:szCs w:val="20"/>
          </w:rPr>
          <w:t xml:space="preserve"> v</w:t>
        </w:r>
        <w:bookmarkStart w:id="173" w:name="_Hlt175731172"/>
        <w:r w:rsidR="004C1CD3" w:rsidRPr="00B01F9E">
          <w:rPr>
            <w:rStyle w:val="Heading4Char"/>
            <w:rFonts w:ascii="Arial" w:hAnsi="Arial" w:cs="Arial"/>
            <w:b/>
            <w:color w:val="auto"/>
            <w:sz w:val="20"/>
            <w:szCs w:val="20"/>
          </w:rPr>
          <w:t>e</w:t>
        </w:r>
        <w:bookmarkStart w:id="174" w:name="_Hlt175731140"/>
        <w:bookmarkStart w:id="175" w:name="_Hlt175733752"/>
        <w:bookmarkEnd w:id="173"/>
        <w:r w:rsidR="004C1CD3" w:rsidRPr="00B01F9E">
          <w:rPr>
            <w:rStyle w:val="Heading4Char"/>
            <w:rFonts w:ascii="Arial" w:hAnsi="Arial" w:cs="Arial"/>
            <w:b/>
            <w:color w:val="auto"/>
            <w:sz w:val="20"/>
            <w:szCs w:val="20"/>
          </w:rPr>
          <w:t>n</w:t>
        </w:r>
        <w:bookmarkEnd w:id="174"/>
        <w:bookmarkEnd w:id="175"/>
        <w:r w:rsidR="004C1CD3" w:rsidRPr="00B01F9E">
          <w:rPr>
            <w:rStyle w:val="Heading4Char"/>
            <w:rFonts w:ascii="Arial" w:hAnsi="Arial" w:cs="Arial"/>
            <w:b/>
            <w:color w:val="auto"/>
            <w:sz w:val="20"/>
            <w:szCs w:val="20"/>
          </w:rPr>
          <w:t xml:space="preserve">dor </w:t>
        </w:r>
        <w:bookmarkStart w:id="176" w:name="_Hlt175731145"/>
        <w:r w:rsidR="004C1CD3" w:rsidRPr="00B01F9E">
          <w:rPr>
            <w:rStyle w:val="Heading4Char"/>
            <w:rFonts w:ascii="Arial" w:hAnsi="Arial" w:cs="Arial"/>
            <w:b/>
            <w:color w:val="auto"/>
            <w:sz w:val="20"/>
            <w:szCs w:val="20"/>
          </w:rPr>
          <w:t>p</w:t>
        </w:r>
        <w:bookmarkEnd w:id="176"/>
        <w:r w:rsidR="004C1CD3" w:rsidRPr="00B01F9E">
          <w:rPr>
            <w:rStyle w:val="Heading4Char"/>
            <w:rFonts w:ascii="Arial" w:hAnsi="Arial" w:cs="Arial"/>
            <w:b/>
            <w:color w:val="auto"/>
            <w:sz w:val="20"/>
            <w:szCs w:val="20"/>
          </w:rPr>
          <w:t>rovid</w:t>
        </w:r>
        <w:bookmarkStart w:id="177" w:name="_Hlt175731158"/>
        <w:r w:rsidR="004C1CD3" w:rsidRPr="00B01F9E">
          <w:rPr>
            <w:rStyle w:val="Heading4Char"/>
            <w:rFonts w:ascii="Arial" w:hAnsi="Arial" w:cs="Arial"/>
            <w:b/>
            <w:color w:val="auto"/>
            <w:sz w:val="20"/>
            <w:szCs w:val="20"/>
          </w:rPr>
          <w:t>e</w:t>
        </w:r>
        <w:bookmarkEnd w:id="177"/>
        <w:r w:rsidR="004C1CD3" w:rsidRPr="00B01F9E">
          <w:rPr>
            <w:rStyle w:val="Heading4Char"/>
            <w:rFonts w:ascii="Arial" w:hAnsi="Arial" w:cs="Arial"/>
            <w:b/>
            <w:color w:val="auto"/>
            <w:sz w:val="20"/>
            <w:szCs w:val="20"/>
          </w:rPr>
          <w:t>d LIVD files:</w:t>
        </w:r>
      </w:hyperlink>
      <w:bookmarkEnd w:id="169"/>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Several IVD vendors do not participate in providing LIVD files. Three</w:t>
      </w:r>
      <w:r w:rsidR="004C1CD3" w:rsidRPr="00B01F9E" w:rsidDel="00782618">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of the five</w:t>
      </w:r>
      <w:r w:rsidR="004C1CD3" w:rsidRPr="00B01F9E" w:rsidDel="00EE6B58">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analyzers in use at the Duke Raleigh Laboratory were manufactured by an IVD vendor that does not participate in the LIVD program.</w:t>
      </w:r>
      <w:r w:rsidR="004C1CD3" w:rsidRPr="00B01F9E">
        <w:rPr>
          <w:rStyle w:val="Heading4Char"/>
          <w:rFonts w:ascii="Arial" w:hAnsi="Arial" w:cs="Arial"/>
          <w:b/>
          <w:color w:val="auto"/>
          <w:sz w:val="20"/>
          <w:szCs w:val="20"/>
        </w:rPr>
        <w:t xml:space="preserve"> </w:t>
      </w:r>
    </w:p>
    <w:p w14:paraId="77005D78" w14:textId="77777777" w:rsidR="004C1CD3" w:rsidRPr="00B01F9E" w:rsidRDefault="004C1CD3" w:rsidP="004C1CD3">
      <w:pPr>
        <w:spacing w:before="120" w:after="0" w:line="240" w:lineRule="auto"/>
        <w:ind w:left="432"/>
        <w:rPr>
          <w:rFonts w:ascii="Arial" w:eastAsia="Calibri" w:hAnsi="Arial" w:cs="Arial"/>
          <w:b/>
          <w:kern w:val="2"/>
          <w:sz w:val="20"/>
          <w:szCs w:val="20"/>
          <w14:ligatures w14:val="standardContextual"/>
        </w:rPr>
      </w:pPr>
      <w:r w:rsidRPr="00B01F9E">
        <w:rPr>
          <w:rFonts w:ascii="Arial" w:eastAsia="Calibri" w:hAnsi="Arial" w:cs="Arial"/>
          <w:b/>
          <w:kern w:val="2"/>
          <w:sz w:val="20"/>
          <w:szCs w:val="20"/>
          <w14:ligatures w14:val="standardContextual"/>
        </w:rPr>
        <w:t>Resolutions:</w:t>
      </w:r>
    </w:p>
    <w:p w14:paraId="640EADF1" w14:textId="4F1F72E6" w:rsidR="004C1CD3" w:rsidRPr="00B01F9E" w:rsidRDefault="004C1CD3" w:rsidP="00210505">
      <w:pPr>
        <w:numPr>
          <w:ilvl w:val="0"/>
          <w:numId w:val="85"/>
        </w:numPr>
        <w:spacing w:before="240" w:after="120"/>
        <w:ind w:left="1008"/>
        <w:contextualSpacing/>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Without these LIVD files, laboratory resources (e.g., package inserts, device instructions, manufacturer websites) and the LOINC, SNOMED CT, and the GUDID search tools were required to determine the correct codes for encoding the appropriate LIDR elements for each test. </w:t>
      </w:r>
    </w:p>
    <w:p w14:paraId="2233DF61" w14:textId="2E95FECE" w:rsidR="004C1CD3" w:rsidRPr="00B01F9E" w:rsidRDefault="004C1CD3" w:rsidP="00210505">
      <w:pPr>
        <w:numPr>
          <w:ilvl w:val="0"/>
          <w:numId w:val="85"/>
        </w:numPr>
        <w:spacing w:before="24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Long-Term Solution: IVD manufacturers will provide LIVD files for </w:t>
      </w:r>
      <w:proofErr w:type="gramStart"/>
      <w:r w:rsidRPr="00B01F9E">
        <w:rPr>
          <w:rFonts w:ascii="Arial" w:eastAsia="Calibri" w:hAnsi="Arial" w:cs="Arial"/>
          <w:kern w:val="2"/>
          <w:sz w:val="20"/>
          <w:szCs w:val="20"/>
          <w14:ligatures w14:val="standardContextual"/>
        </w:rPr>
        <w:t>all of</w:t>
      </w:r>
      <w:proofErr w:type="gramEnd"/>
      <w:r w:rsidRPr="00B01F9E">
        <w:rPr>
          <w:rFonts w:ascii="Arial" w:eastAsia="Calibri" w:hAnsi="Arial" w:cs="Arial"/>
          <w:kern w:val="2"/>
          <w:sz w:val="20"/>
          <w:szCs w:val="20"/>
          <w14:ligatures w14:val="standardContextual"/>
        </w:rPr>
        <w:t xml:space="preserve"> their tests which will serve as the backbone for LIDR. The LIDR </w:t>
      </w:r>
      <w:r w:rsidR="001301EB" w:rsidRPr="00B01F9E">
        <w:rPr>
          <w:rFonts w:ascii="Arial" w:eastAsia="Calibri" w:hAnsi="Arial" w:cs="Arial"/>
          <w:kern w:val="2"/>
          <w:sz w:val="20"/>
          <w:szCs w:val="20"/>
          <w14:ligatures w14:val="standardContextual"/>
        </w:rPr>
        <w:t>A</w:t>
      </w:r>
      <w:r w:rsidRPr="00B01F9E">
        <w:rPr>
          <w:rFonts w:ascii="Arial" w:eastAsia="Calibri" w:hAnsi="Arial" w:cs="Arial"/>
          <w:kern w:val="2"/>
          <w:sz w:val="20"/>
          <w:szCs w:val="20"/>
          <w14:ligatures w14:val="standardContextual"/>
        </w:rPr>
        <w:t xml:space="preserve">dministrator will build upon the LIVD entries with additional information including order LOINC codes and test reference information. </w:t>
      </w:r>
    </w:p>
    <w:p w14:paraId="3B0D4423" w14:textId="6A29E2F4" w:rsidR="004C1CD3" w:rsidRPr="00B01F9E" w:rsidRDefault="005D3D26" w:rsidP="00464A38">
      <w:pPr>
        <w:pStyle w:val="Heading4"/>
        <w:ind w:left="450" w:hanging="450"/>
        <w:rPr>
          <w:rStyle w:val="Heading4Char"/>
          <w:rFonts w:ascii="Arial" w:hAnsi="Arial" w:cs="Arial"/>
          <w:b/>
          <w:color w:val="auto"/>
          <w:sz w:val="20"/>
          <w:szCs w:val="20"/>
        </w:rPr>
      </w:pPr>
      <w:bookmarkStart w:id="178" w:name="_Differentiating_specimen_source"/>
      <w:bookmarkStart w:id="179" w:name="Gap_3_3"/>
      <w:bookmarkEnd w:id="178"/>
      <w:r w:rsidRPr="00B01F9E">
        <w:rPr>
          <w:rStyle w:val="Heading4Char"/>
          <w:rFonts w:ascii="Arial" w:hAnsi="Arial" w:cs="Arial"/>
          <w:b/>
          <w:color w:val="auto"/>
          <w:sz w:val="20"/>
          <w:szCs w:val="20"/>
        </w:rPr>
        <w:t>3</w:t>
      </w:r>
      <w:r w:rsidR="0044534D" w:rsidRPr="00B01F9E">
        <w:rPr>
          <w:rStyle w:val="Heading4Char"/>
          <w:rFonts w:ascii="Arial" w:hAnsi="Arial" w:cs="Arial"/>
          <w:b/>
          <w:color w:val="auto"/>
          <w:sz w:val="20"/>
          <w:szCs w:val="20"/>
        </w:rPr>
        <w:t xml:space="preserve">.7.1.3 </w:t>
      </w:r>
      <w:hyperlink w:anchor="Gap_3" w:history="1">
        <w:r w:rsidR="004C1CD3" w:rsidRPr="00B01F9E">
          <w:rPr>
            <w:rStyle w:val="Heading4Char"/>
            <w:rFonts w:ascii="Arial" w:hAnsi="Arial" w:cs="Arial"/>
            <w:b/>
            <w:color w:val="auto"/>
            <w:sz w:val="20"/>
            <w:szCs w:val="20"/>
          </w:rPr>
          <w:t>Diffe</w:t>
        </w:r>
        <w:bookmarkStart w:id="180" w:name="_Hlt175730290"/>
        <w:r w:rsidR="004C1CD3" w:rsidRPr="00B01F9E">
          <w:rPr>
            <w:rStyle w:val="Heading4Char"/>
            <w:rFonts w:ascii="Arial" w:hAnsi="Arial" w:cs="Arial"/>
            <w:b/>
            <w:color w:val="auto"/>
            <w:sz w:val="20"/>
            <w:szCs w:val="20"/>
          </w:rPr>
          <w:t>r</w:t>
        </w:r>
        <w:bookmarkStart w:id="181" w:name="_Hlt175766680"/>
        <w:bookmarkEnd w:id="180"/>
        <w:r w:rsidR="004C1CD3" w:rsidRPr="00B01F9E">
          <w:rPr>
            <w:rStyle w:val="Heading4Char"/>
            <w:rFonts w:ascii="Arial" w:hAnsi="Arial" w:cs="Arial"/>
            <w:b/>
            <w:color w:val="auto"/>
            <w:sz w:val="20"/>
            <w:szCs w:val="20"/>
          </w:rPr>
          <w:t>e</w:t>
        </w:r>
        <w:bookmarkStart w:id="182" w:name="_Hlt175765684"/>
        <w:bookmarkEnd w:id="181"/>
        <w:r w:rsidR="004C1CD3" w:rsidRPr="00B01F9E">
          <w:rPr>
            <w:rStyle w:val="Heading4Char"/>
            <w:rFonts w:ascii="Arial" w:hAnsi="Arial" w:cs="Arial"/>
            <w:b/>
            <w:color w:val="auto"/>
            <w:sz w:val="20"/>
            <w:szCs w:val="20"/>
          </w:rPr>
          <w:t>n</w:t>
        </w:r>
        <w:bookmarkEnd w:id="182"/>
        <w:r w:rsidR="004C1CD3" w:rsidRPr="00B01F9E">
          <w:rPr>
            <w:rStyle w:val="Heading4Char"/>
            <w:rFonts w:ascii="Arial" w:hAnsi="Arial" w:cs="Arial"/>
            <w:b/>
            <w:color w:val="auto"/>
            <w:sz w:val="20"/>
            <w:szCs w:val="20"/>
          </w:rPr>
          <w:t>tiating specimen source and type in LIVD files:</w:t>
        </w:r>
      </w:hyperlink>
      <w:r w:rsidR="004C1CD3" w:rsidRPr="00B01F9E">
        <w:rPr>
          <w:rStyle w:val="Heading4Char"/>
          <w:rFonts w:ascii="Arial" w:hAnsi="Arial" w:cs="Arial"/>
          <w:b/>
          <w:color w:val="auto"/>
          <w:sz w:val="20"/>
          <w:szCs w:val="20"/>
        </w:rPr>
        <w:t xml:space="preserve"> </w:t>
      </w:r>
      <w:bookmarkEnd w:id="179"/>
      <w:r w:rsidR="004C1CD3" w:rsidRPr="00B01F9E">
        <w:rPr>
          <w:rStyle w:val="Heading4Char"/>
          <w:rFonts w:ascii="Arial" w:hAnsi="Arial" w:cs="Arial"/>
          <w:color w:val="auto"/>
          <w:sz w:val="20"/>
          <w:szCs w:val="20"/>
        </w:rPr>
        <w:t>Current LIVD files do not clearly distinguish between the specimen source and the specimen type. Consequently, laboratories must determine the difference between these descriptions and what to populate for each.</w:t>
      </w:r>
      <w:r w:rsidR="004C1CD3" w:rsidRPr="00B01F9E">
        <w:rPr>
          <w:rStyle w:val="Heading4Char"/>
          <w:rFonts w:ascii="Arial" w:hAnsi="Arial" w:cs="Arial"/>
          <w:b/>
          <w:color w:val="auto"/>
          <w:sz w:val="20"/>
          <w:szCs w:val="20"/>
        </w:rPr>
        <w:t> </w:t>
      </w:r>
    </w:p>
    <w:p w14:paraId="06FBB987" w14:textId="77777777" w:rsidR="004C1CD3" w:rsidRPr="00B01F9E" w:rsidRDefault="004C1CD3" w:rsidP="004C1CD3">
      <w:pPr>
        <w:spacing w:before="120" w:after="0" w:line="240" w:lineRule="auto"/>
        <w:ind w:left="432"/>
        <w:rPr>
          <w:rFonts w:ascii="Arial" w:eastAsia="Calibri" w:hAnsi="Arial" w:cs="Arial"/>
          <w:b/>
          <w:bCs/>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0209161C"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Without these files, laboratory resources (e.g., package inserts, device instructions, manufacturer websites) and the LOINC, SNOMED CT, and GUDID search tools were required to determine the specimen source and type for encoding the appropriate LIDR elements for each test. </w:t>
      </w:r>
    </w:p>
    <w:p w14:paraId="31A1EE24"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IVD manufacturers must provide LIVD files which uniquely identify specimen source and type until LIDR is fully developed.</w:t>
      </w:r>
    </w:p>
    <w:p w14:paraId="2C3996E0" w14:textId="3970D2FD" w:rsidR="004C1CD3" w:rsidRPr="00B01F9E" w:rsidRDefault="005D3D26" w:rsidP="00464A38">
      <w:pPr>
        <w:pStyle w:val="Heading4"/>
        <w:ind w:left="450" w:hanging="450"/>
        <w:rPr>
          <w:rStyle w:val="Heading4Char"/>
          <w:rFonts w:ascii="Arial" w:hAnsi="Arial" w:cs="Arial"/>
          <w:b/>
          <w:color w:val="auto"/>
          <w:sz w:val="20"/>
          <w:szCs w:val="20"/>
        </w:rPr>
      </w:pPr>
      <w:bookmarkStart w:id="183" w:name="_LOINC_search_tool"/>
      <w:bookmarkStart w:id="184" w:name="Gap_4_4"/>
      <w:bookmarkEnd w:id="183"/>
      <w:r w:rsidRPr="00B01F9E">
        <w:rPr>
          <w:rStyle w:val="Heading4Char"/>
          <w:rFonts w:ascii="Arial" w:hAnsi="Arial" w:cs="Arial"/>
          <w:b/>
          <w:color w:val="auto"/>
          <w:sz w:val="20"/>
          <w:szCs w:val="20"/>
        </w:rPr>
        <w:lastRenderedPageBreak/>
        <w:t>3</w:t>
      </w:r>
      <w:r w:rsidR="009332D8" w:rsidRPr="00B01F9E">
        <w:rPr>
          <w:rStyle w:val="Heading4Char"/>
          <w:rFonts w:ascii="Arial" w:hAnsi="Arial" w:cs="Arial"/>
          <w:b/>
          <w:color w:val="auto"/>
          <w:sz w:val="20"/>
          <w:szCs w:val="20"/>
        </w:rPr>
        <w:t xml:space="preserve">.7.1.4 </w:t>
      </w:r>
      <w:hyperlink w:anchor="Gap_4" w:history="1">
        <w:r w:rsidR="004C1CD3" w:rsidRPr="00B01F9E">
          <w:rPr>
            <w:rStyle w:val="Hyperlink"/>
            <w:rFonts w:ascii="Arial" w:hAnsi="Arial" w:cs="Arial"/>
            <w:b/>
            <w:i w:val="0"/>
            <w:iCs w:val="0"/>
            <w:color w:val="auto"/>
            <w:sz w:val="20"/>
            <w:szCs w:val="20"/>
            <w:u w:val="none"/>
          </w:rPr>
          <w:t>LO</w:t>
        </w:r>
        <w:bookmarkStart w:id="185" w:name="_Hlt175765480"/>
        <w:r w:rsidR="004C1CD3" w:rsidRPr="00B01F9E">
          <w:rPr>
            <w:rStyle w:val="Hyperlink"/>
            <w:rFonts w:ascii="Arial" w:hAnsi="Arial" w:cs="Arial"/>
            <w:b/>
            <w:i w:val="0"/>
            <w:iCs w:val="0"/>
            <w:color w:val="auto"/>
            <w:sz w:val="20"/>
            <w:szCs w:val="20"/>
            <w:u w:val="none"/>
          </w:rPr>
          <w:t>I</w:t>
        </w:r>
        <w:bookmarkStart w:id="186" w:name="_Hlt175766683"/>
        <w:bookmarkEnd w:id="185"/>
        <w:r w:rsidR="004C1CD3" w:rsidRPr="00B01F9E">
          <w:rPr>
            <w:rStyle w:val="Hyperlink"/>
            <w:rFonts w:ascii="Arial" w:hAnsi="Arial" w:cs="Arial"/>
            <w:b/>
            <w:i w:val="0"/>
            <w:iCs w:val="0"/>
            <w:color w:val="auto"/>
            <w:sz w:val="20"/>
            <w:szCs w:val="20"/>
            <w:u w:val="none"/>
          </w:rPr>
          <w:t>N</w:t>
        </w:r>
        <w:bookmarkEnd w:id="186"/>
        <w:r w:rsidR="004C1CD3" w:rsidRPr="00B01F9E">
          <w:rPr>
            <w:rStyle w:val="Hyperlink"/>
            <w:rFonts w:ascii="Arial" w:hAnsi="Arial" w:cs="Arial"/>
            <w:b/>
            <w:i w:val="0"/>
            <w:iCs w:val="0"/>
            <w:color w:val="auto"/>
            <w:sz w:val="20"/>
            <w:szCs w:val="20"/>
            <w:u w:val="none"/>
          </w:rPr>
          <w:t xml:space="preserve">C </w:t>
        </w:r>
        <w:bookmarkStart w:id="187" w:name="_Hlt175730287"/>
        <w:r w:rsidR="004C1CD3" w:rsidRPr="00B01F9E">
          <w:rPr>
            <w:rStyle w:val="Hyperlink"/>
            <w:rFonts w:ascii="Arial" w:hAnsi="Arial" w:cs="Arial"/>
            <w:b/>
            <w:i w:val="0"/>
            <w:iCs w:val="0"/>
            <w:color w:val="auto"/>
            <w:sz w:val="20"/>
            <w:szCs w:val="20"/>
            <w:u w:val="none"/>
          </w:rPr>
          <w:t>c</w:t>
        </w:r>
        <w:bookmarkEnd w:id="187"/>
        <w:r w:rsidR="004C1CD3" w:rsidRPr="00B01F9E">
          <w:rPr>
            <w:rStyle w:val="Hyperlink"/>
            <w:rFonts w:ascii="Arial" w:hAnsi="Arial" w:cs="Arial"/>
            <w:b/>
            <w:i w:val="0"/>
            <w:iCs w:val="0"/>
            <w:color w:val="auto"/>
            <w:sz w:val="20"/>
            <w:szCs w:val="20"/>
            <w:u w:val="none"/>
          </w:rPr>
          <w:t>ode s</w:t>
        </w:r>
        <w:bookmarkStart w:id="188" w:name="_Hlt175765688"/>
        <w:r w:rsidR="004C1CD3" w:rsidRPr="00B01F9E">
          <w:rPr>
            <w:rStyle w:val="Hyperlink"/>
            <w:rFonts w:ascii="Arial" w:hAnsi="Arial" w:cs="Arial"/>
            <w:b/>
            <w:i w:val="0"/>
            <w:iCs w:val="0"/>
            <w:color w:val="auto"/>
            <w:sz w:val="20"/>
            <w:szCs w:val="20"/>
            <w:u w:val="none"/>
          </w:rPr>
          <w:t>e</w:t>
        </w:r>
        <w:bookmarkStart w:id="189" w:name="_Hlt175765830"/>
        <w:bookmarkEnd w:id="188"/>
        <w:r w:rsidR="004C1CD3" w:rsidRPr="00B01F9E">
          <w:rPr>
            <w:rStyle w:val="Hyperlink"/>
            <w:rFonts w:ascii="Arial" w:hAnsi="Arial" w:cs="Arial"/>
            <w:b/>
            <w:i w:val="0"/>
            <w:iCs w:val="0"/>
            <w:color w:val="auto"/>
            <w:sz w:val="20"/>
            <w:szCs w:val="20"/>
            <w:u w:val="none"/>
          </w:rPr>
          <w:t>a</w:t>
        </w:r>
        <w:bookmarkStart w:id="190" w:name="_Hlt175765834"/>
        <w:bookmarkEnd w:id="189"/>
        <w:r w:rsidR="004C1CD3" w:rsidRPr="00B01F9E">
          <w:rPr>
            <w:rStyle w:val="Hyperlink"/>
            <w:rFonts w:ascii="Arial" w:hAnsi="Arial" w:cs="Arial"/>
            <w:b/>
            <w:i w:val="0"/>
            <w:iCs w:val="0"/>
            <w:color w:val="auto"/>
            <w:sz w:val="20"/>
            <w:szCs w:val="20"/>
            <w:u w:val="none"/>
          </w:rPr>
          <w:t>r</w:t>
        </w:r>
        <w:bookmarkEnd w:id="190"/>
        <w:r w:rsidR="004C1CD3" w:rsidRPr="00B01F9E">
          <w:rPr>
            <w:rStyle w:val="Hyperlink"/>
            <w:rFonts w:ascii="Arial" w:hAnsi="Arial" w:cs="Arial"/>
            <w:b/>
            <w:i w:val="0"/>
            <w:iCs w:val="0"/>
            <w:color w:val="auto"/>
            <w:sz w:val="20"/>
            <w:szCs w:val="20"/>
            <w:u w:val="none"/>
          </w:rPr>
          <w:t>ch tool variability:</w:t>
        </w:r>
      </w:hyperlink>
      <w:bookmarkEnd w:id="184"/>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When utilizing the LOINC search tool, one may receive multiple results from a single search. There is currently no guidance for selecting the optimal coding. This lack of uniformity can potentially lead to variability in the LOINC code that is used.</w:t>
      </w:r>
    </w:p>
    <w:p w14:paraId="385DD7E8" w14:textId="069CFED7" w:rsidR="004C1CD3" w:rsidRPr="00B01F9E" w:rsidRDefault="004C1CD3" w:rsidP="004C1CD3">
      <w:pPr>
        <w:spacing w:before="120" w:after="0" w:line="240" w:lineRule="auto"/>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The susceptibility for vancomycin LOINC codes demonstrate an example of a user determining whether to utilize a general LOINC code for the reportable test or one that is more specific based on the methodology (Figure </w:t>
      </w:r>
      <w:r w:rsidR="00103892" w:rsidRPr="00B01F9E">
        <w:rPr>
          <w:rFonts w:ascii="Arial" w:eastAsia="Calibri" w:hAnsi="Arial" w:cs="Arial"/>
          <w:kern w:val="2"/>
          <w:sz w:val="20"/>
          <w:szCs w:val="20"/>
          <w14:ligatures w14:val="standardContextual"/>
        </w:rPr>
        <w:t>20</w:t>
      </w:r>
      <w:r w:rsidR="005D3D26" w:rsidRPr="00B01F9E">
        <w:rPr>
          <w:rFonts w:ascii="Arial" w:eastAsia="Calibri" w:hAnsi="Arial" w:cs="Arial"/>
          <w:kern w:val="2"/>
          <w:sz w:val="20"/>
          <w:szCs w:val="20"/>
          <w14:ligatures w14:val="standardContextual"/>
        </w:rPr>
        <w:t>)</w:t>
      </w:r>
      <w:r w:rsidRPr="00B01F9E">
        <w:rPr>
          <w:rFonts w:ascii="Arial" w:eastAsia="Calibri" w:hAnsi="Arial" w:cs="Arial"/>
          <w:kern w:val="2"/>
          <w:sz w:val="20"/>
          <w:szCs w:val="20"/>
          <w14:ligatures w14:val="standardContextual"/>
        </w:rPr>
        <w:t xml:space="preserve">. In some cases, a more specific code was released </w:t>
      </w:r>
      <w:proofErr w:type="gramStart"/>
      <w:r w:rsidRPr="00B01F9E">
        <w:rPr>
          <w:rFonts w:ascii="Arial" w:eastAsia="Calibri" w:hAnsi="Arial" w:cs="Arial"/>
          <w:kern w:val="2"/>
          <w:sz w:val="20"/>
          <w:szCs w:val="20"/>
          <w14:ligatures w14:val="standardContextual"/>
        </w:rPr>
        <w:t>at a later date</w:t>
      </w:r>
      <w:proofErr w:type="gramEnd"/>
      <w:r w:rsidRPr="00B01F9E">
        <w:rPr>
          <w:rFonts w:ascii="Arial" w:eastAsia="Calibri" w:hAnsi="Arial" w:cs="Arial"/>
          <w:kern w:val="2"/>
          <w:sz w:val="20"/>
          <w:szCs w:val="20"/>
          <w14:ligatures w14:val="standardContextual"/>
        </w:rPr>
        <w:t xml:space="preserve"> than the general code. </w:t>
      </w:r>
    </w:p>
    <w:p w14:paraId="0330B288" w14:textId="5DB6E473" w:rsidR="004C1CD3" w:rsidRPr="00B01F9E" w:rsidRDefault="004C1CD3" w:rsidP="00103892">
      <w:pPr>
        <w:spacing w:before="120" w:after="0"/>
        <w:ind w:left="-1152"/>
        <w:rPr>
          <w:rFonts w:ascii="Arial" w:eastAsia="Calibri" w:hAnsi="Arial" w:cs="Arial"/>
          <w:b/>
          <w:bCs/>
          <w:color w:val="009BBF"/>
          <w:kern w:val="2"/>
          <w:sz w:val="20"/>
          <w:szCs w:val="20"/>
          <w14:ligatures w14:val="standardContextual"/>
        </w:rPr>
      </w:pPr>
      <w:r w:rsidRPr="00B01F9E">
        <w:rPr>
          <w:rFonts w:ascii="Arial" w:eastAsia="Calibri" w:hAnsi="Arial" w:cs="Arial"/>
          <w:b/>
          <w:bCs/>
          <w:color w:val="009BBF"/>
          <w:kern w:val="2"/>
          <w:sz w:val="20"/>
          <w:szCs w:val="20"/>
          <w14:ligatures w14:val="standardContextual"/>
        </w:rPr>
        <w:t xml:space="preserve">Figure </w:t>
      </w:r>
      <w:r w:rsidR="00103892" w:rsidRPr="00B01F9E">
        <w:rPr>
          <w:rFonts w:ascii="Arial" w:eastAsia="Calibri" w:hAnsi="Arial" w:cs="Arial"/>
          <w:b/>
          <w:bCs/>
          <w:color w:val="009BBF"/>
          <w:kern w:val="2"/>
          <w:sz w:val="20"/>
          <w:szCs w:val="20"/>
          <w14:ligatures w14:val="standardContextual"/>
        </w:rPr>
        <w:t>20</w:t>
      </w:r>
      <w:r w:rsidRPr="00B01F9E">
        <w:rPr>
          <w:rFonts w:ascii="Arial" w:eastAsia="Calibri" w:hAnsi="Arial" w:cs="Arial"/>
          <w:b/>
          <w:bCs/>
          <w:color w:val="009BBF"/>
          <w:kern w:val="2"/>
          <w:sz w:val="20"/>
          <w:szCs w:val="20"/>
          <w14:ligatures w14:val="standardContextual"/>
        </w:rPr>
        <w:t xml:space="preserve">: Example of Selecting General </w:t>
      </w:r>
      <w:r w:rsidR="00AE333D" w:rsidRPr="00B01F9E">
        <w:rPr>
          <w:rFonts w:ascii="Arial" w:eastAsia="Calibri" w:hAnsi="Arial" w:cs="Arial"/>
          <w:b/>
          <w:bCs/>
          <w:color w:val="009BBF"/>
          <w:kern w:val="2"/>
          <w:sz w:val="20"/>
          <w:szCs w:val="20"/>
          <w14:ligatures w14:val="standardContextual"/>
        </w:rPr>
        <w:t>V</w:t>
      </w:r>
      <w:r w:rsidRPr="00B01F9E">
        <w:rPr>
          <w:rFonts w:ascii="Arial" w:eastAsia="Calibri" w:hAnsi="Arial" w:cs="Arial"/>
          <w:b/>
          <w:bCs/>
          <w:color w:val="009BBF"/>
          <w:kern w:val="2"/>
          <w:sz w:val="20"/>
          <w:szCs w:val="20"/>
          <w14:ligatures w14:val="standardContextual"/>
        </w:rPr>
        <w:t xml:space="preserve">ersus Specific LOINC </w:t>
      </w:r>
      <w:r w:rsidRPr="00B01F9E">
        <w:rPr>
          <w:rFonts w:ascii="Arial" w:eastAsia="Calibri" w:hAnsi="Arial" w:cs="Arial"/>
          <w:b/>
          <w:color w:val="009BBF"/>
          <w:kern w:val="2"/>
          <w:sz w:val="20"/>
          <w:szCs w:val="20"/>
          <w14:ligatures w14:val="standardContextual"/>
        </w:rPr>
        <w:t xml:space="preserve">Code </w:t>
      </w:r>
      <w:r w:rsidRPr="00B01F9E">
        <w:rPr>
          <w:rFonts w:ascii="Arial" w:eastAsia="Calibri" w:hAnsi="Arial" w:cs="Arial"/>
          <w:b/>
          <w:bCs/>
          <w:color w:val="009BBF"/>
          <w:kern w:val="2"/>
          <w:sz w:val="20"/>
          <w:szCs w:val="20"/>
          <w14:ligatures w14:val="standardContextual"/>
        </w:rPr>
        <w:t xml:space="preserve">in Search Tool </w:t>
      </w:r>
    </w:p>
    <w:p w14:paraId="4D7E4F82" w14:textId="4E8A77B0" w:rsidR="0062500E" w:rsidRPr="00B01F9E" w:rsidRDefault="0062500E" w:rsidP="0062500E">
      <w:pPr>
        <w:spacing w:after="0"/>
        <w:ind w:left="-1152"/>
        <w:rPr>
          <w:rFonts w:ascii="Arial" w:eastAsia="Calibri" w:hAnsi="Arial" w:cs="Arial"/>
          <w:b/>
          <w:bCs/>
          <w:color w:val="009BBF"/>
          <w:kern w:val="2"/>
          <w:sz w:val="20"/>
          <w:szCs w:val="20"/>
          <w14:ligatures w14:val="standardContextual"/>
        </w:rPr>
      </w:pPr>
      <w:r w:rsidRPr="00B01F9E">
        <w:rPr>
          <w:rFonts w:ascii="Arial" w:eastAsia="Calibri" w:hAnsi="Arial" w:cs="Arial"/>
          <w:b/>
          <w:bCs/>
          <w:noProof/>
          <w:color w:val="009BBF"/>
          <w:kern w:val="2"/>
          <w:sz w:val="20"/>
          <w:szCs w:val="20"/>
        </w:rPr>
        <w:drawing>
          <wp:inline distT="0" distB="0" distL="0" distR="0" wp14:anchorId="311E74A1" wp14:editId="4E54AE90">
            <wp:extent cx="7419975" cy="2543878"/>
            <wp:effectExtent l="0" t="0" r="0" b="8890"/>
            <wp:docPr id="947335043"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35043" name="Graphic 947335043"/>
                    <pic:cNvPicPr/>
                  </pic:nvPicPr>
                  <pic:blipFill>
                    <a:blip r:embed="rId63">
                      <a:extLst>
                        <a:ext uri="{96DAC541-7B7A-43D3-8B79-37D633B846F1}">
                          <asvg:svgBlip xmlns:asvg="http://schemas.microsoft.com/office/drawing/2016/SVG/main" r:embed="rId64"/>
                        </a:ext>
                      </a:extLst>
                    </a:blip>
                    <a:stretch>
                      <a:fillRect/>
                    </a:stretch>
                  </pic:blipFill>
                  <pic:spPr>
                    <a:xfrm>
                      <a:off x="0" y="0"/>
                      <a:ext cx="7456687" cy="2556464"/>
                    </a:xfrm>
                    <a:prstGeom prst="rect">
                      <a:avLst/>
                    </a:prstGeom>
                  </pic:spPr>
                </pic:pic>
              </a:graphicData>
            </a:graphic>
          </wp:inline>
        </w:drawing>
      </w:r>
    </w:p>
    <w:p w14:paraId="20AE62D7" w14:textId="77777777" w:rsidR="004C1CD3" w:rsidRPr="00B01F9E" w:rsidRDefault="004C1CD3" w:rsidP="004C1CD3">
      <w:pPr>
        <w:spacing w:before="120" w:after="0" w:line="240" w:lineRule="auto"/>
        <w:ind w:left="432"/>
        <w:rPr>
          <w:rFonts w:ascii="Arial" w:eastAsia="Calibri" w:hAnsi="Arial" w:cs="Arial"/>
          <w:b/>
          <w:kern w:val="2"/>
          <w:sz w:val="20"/>
          <w:szCs w:val="20"/>
          <w14:ligatures w14:val="standardContextual"/>
        </w:rPr>
      </w:pPr>
      <w:r w:rsidRPr="00B01F9E">
        <w:rPr>
          <w:rFonts w:ascii="Arial" w:eastAsia="Calibri" w:hAnsi="Arial" w:cs="Arial"/>
          <w:b/>
          <w:kern w:val="2"/>
          <w:sz w:val="20"/>
          <w:szCs w:val="20"/>
          <w14:ligatures w14:val="standardContextual"/>
        </w:rPr>
        <w:t>Resolutions:</w:t>
      </w:r>
    </w:p>
    <w:p w14:paraId="5D12965D" w14:textId="77777777" w:rsidR="004C1CD3" w:rsidRPr="00B01F9E" w:rsidRDefault="004C1CD3" w:rsidP="00210505">
      <w:pPr>
        <w:numPr>
          <w:ilvl w:val="0"/>
          <w:numId w:val="85"/>
        </w:numPr>
        <w:spacing w:before="240" w:after="120"/>
        <w:ind w:left="1008"/>
        <w:contextualSpacing/>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In the case of the simulated LIDR, the CAP selected the more specific LOINC code, 524-9, which Duke utilized to code their tests.</w:t>
      </w:r>
    </w:p>
    <w:p w14:paraId="2D1F59D5" w14:textId="77777777" w:rsidR="004C1CD3" w:rsidRPr="00B01F9E" w:rsidRDefault="004C1CD3" w:rsidP="00210505">
      <w:pPr>
        <w:numPr>
          <w:ilvl w:val="0"/>
          <w:numId w:val="85"/>
        </w:numPr>
        <w:spacing w:before="24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The example demonstrates the need for a curated LIDR, which would eliminate the decision point for individual laboratories and minimize variability.</w:t>
      </w:r>
    </w:p>
    <w:p w14:paraId="26C6175F" w14:textId="1F3B0152" w:rsidR="004C1CD3" w:rsidRPr="00B01F9E" w:rsidRDefault="005D3D26" w:rsidP="00464A38">
      <w:pPr>
        <w:pStyle w:val="Heading4"/>
        <w:ind w:left="450" w:hanging="450"/>
        <w:rPr>
          <w:rStyle w:val="Heading4Char"/>
          <w:rFonts w:ascii="Arial" w:hAnsi="Arial" w:cs="Arial"/>
          <w:b/>
          <w:color w:val="auto"/>
          <w:sz w:val="20"/>
          <w:szCs w:val="20"/>
        </w:rPr>
      </w:pPr>
      <w:bookmarkStart w:id="191" w:name="_Unavailable_SNOMED_CT"/>
      <w:bookmarkEnd w:id="191"/>
      <w:r w:rsidRPr="00B01F9E">
        <w:rPr>
          <w:rStyle w:val="Heading4Char"/>
          <w:rFonts w:ascii="Arial" w:hAnsi="Arial" w:cs="Arial"/>
          <w:b/>
          <w:color w:val="auto"/>
          <w:sz w:val="20"/>
          <w:szCs w:val="20"/>
        </w:rPr>
        <w:t>3</w:t>
      </w:r>
      <w:r w:rsidR="009332D8" w:rsidRPr="00B01F9E">
        <w:rPr>
          <w:rStyle w:val="Heading4Char"/>
          <w:rFonts w:ascii="Arial" w:hAnsi="Arial" w:cs="Arial"/>
          <w:b/>
          <w:color w:val="auto"/>
          <w:sz w:val="20"/>
          <w:szCs w:val="20"/>
        </w:rPr>
        <w:t xml:space="preserve">.7.1.5 </w:t>
      </w:r>
      <w:hyperlink w:anchor="Gap_5" w:history="1">
        <w:bookmarkStart w:id="192" w:name="Gap_5_5"/>
        <w:r w:rsidR="004C1CD3" w:rsidRPr="00B01F9E">
          <w:rPr>
            <w:rStyle w:val="Hyperlink"/>
            <w:rFonts w:ascii="Arial" w:hAnsi="Arial" w:cs="Arial"/>
            <w:b/>
            <w:i w:val="0"/>
            <w:iCs w:val="0"/>
            <w:color w:val="auto"/>
            <w:sz w:val="20"/>
            <w:szCs w:val="20"/>
            <w:u w:val="none"/>
          </w:rPr>
          <w:t>Una</w:t>
        </w:r>
        <w:bookmarkStart w:id="193" w:name="_Hlt175766685"/>
        <w:r w:rsidR="004C1CD3" w:rsidRPr="00B01F9E">
          <w:rPr>
            <w:rStyle w:val="Hyperlink"/>
            <w:rFonts w:ascii="Arial" w:hAnsi="Arial" w:cs="Arial"/>
            <w:b/>
            <w:i w:val="0"/>
            <w:iCs w:val="0"/>
            <w:color w:val="auto"/>
            <w:sz w:val="20"/>
            <w:szCs w:val="20"/>
            <w:u w:val="none"/>
          </w:rPr>
          <w:t>v</w:t>
        </w:r>
        <w:bookmarkEnd w:id="193"/>
        <w:r w:rsidR="004C1CD3" w:rsidRPr="00B01F9E">
          <w:rPr>
            <w:rStyle w:val="Hyperlink"/>
            <w:rFonts w:ascii="Arial" w:hAnsi="Arial" w:cs="Arial"/>
            <w:b/>
            <w:i w:val="0"/>
            <w:iCs w:val="0"/>
            <w:color w:val="auto"/>
            <w:sz w:val="20"/>
            <w:szCs w:val="20"/>
            <w:u w:val="none"/>
          </w:rPr>
          <w:t>ail</w:t>
        </w:r>
        <w:bookmarkStart w:id="194" w:name="_Hlt175730285"/>
        <w:r w:rsidR="004C1CD3" w:rsidRPr="00B01F9E">
          <w:rPr>
            <w:rStyle w:val="Hyperlink"/>
            <w:rFonts w:ascii="Arial" w:hAnsi="Arial" w:cs="Arial"/>
            <w:b/>
            <w:i w:val="0"/>
            <w:iCs w:val="0"/>
            <w:color w:val="auto"/>
            <w:sz w:val="20"/>
            <w:szCs w:val="20"/>
            <w:u w:val="none"/>
          </w:rPr>
          <w:t>a</w:t>
        </w:r>
        <w:bookmarkEnd w:id="194"/>
        <w:r w:rsidR="004C1CD3" w:rsidRPr="00B01F9E">
          <w:rPr>
            <w:rStyle w:val="Hyperlink"/>
            <w:rFonts w:ascii="Arial" w:hAnsi="Arial" w:cs="Arial"/>
            <w:b/>
            <w:i w:val="0"/>
            <w:iCs w:val="0"/>
            <w:color w:val="auto"/>
            <w:sz w:val="20"/>
            <w:szCs w:val="20"/>
            <w:u w:val="none"/>
          </w:rPr>
          <w:t>b</w:t>
        </w:r>
        <w:bookmarkStart w:id="195" w:name="_Hlt175769275"/>
        <w:r w:rsidR="004C1CD3" w:rsidRPr="00B01F9E">
          <w:rPr>
            <w:rStyle w:val="Hyperlink"/>
            <w:rFonts w:ascii="Arial" w:hAnsi="Arial" w:cs="Arial"/>
            <w:b/>
            <w:i w:val="0"/>
            <w:iCs w:val="0"/>
            <w:color w:val="auto"/>
            <w:sz w:val="20"/>
            <w:szCs w:val="20"/>
            <w:u w:val="none"/>
          </w:rPr>
          <w:t>l</w:t>
        </w:r>
        <w:bookmarkStart w:id="196" w:name="_Hlt175765694"/>
        <w:bookmarkEnd w:id="195"/>
        <w:r w:rsidR="004C1CD3" w:rsidRPr="00B01F9E">
          <w:rPr>
            <w:rStyle w:val="Hyperlink"/>
            <w:rFonts w:ascii="Arial" w:hAnsi="Arial" w:cs="Arial"/>
            <w:b/>
            <w:i w:val="0"/>
            <w:iCs w:val="0"/>
            <w:color w:val="auto"/>
            <w:sz w:val="20"/>
            <w:szCs w:val="20"/>
            <w:u w:val="none"/>
          </w:rPr>
          <w:t>e</w:t>
        </w:r>
        <w:bookmarkEnd w:id="196"/>
        <w:r w:rsidR="004C1CD3" w:rsidRPr="00B01F9E">
          <w:rPr>
            <w:rStyle w:val="Hyperlink"/>
            <w:rFonts w:ascii="Arial" w:hAnsi="Arial" w:cs="Arial"/>
            <w:b/>
            <w:i w:val="0"/>
            <w:iCs w:val="0"/>
            <w:color w:val="auto"/>
            <w:sz w:val="20"/>
            <w:szCs w:val="20"/>
            <w:u w:val="none"/>
          </w:rPr>
          <w:t xml:space="preserve"> </w:t>
        </w:r>
        <w:bookmarkStart w:id="197" w:name="_Hlt175769165"/>
        <w:r w:rsidR="004C1CD3" w:rsidRPr="00B01F9E">
          <w:rPr>
            <w:rStyle w:val="Hyperlink"/>
            <w:rFonts w:ascii="Arial" w:hAnsi="Arial" w:cs="Arial"/>
            <w:b/>
            <w:i w:val="0"/>
            <w:iCs w:val="0"/>
            <w:color w:val="auto"/>
            <w:sz w:val="20"/>
            <w:szCs w:val="20"/>
            <w:u w:val="none"/>
          </w:rPr>
          <w:t>S</w:t>
        </w:r>
        <w:bookmarkEnd w:id="197"/>
        <w:r w:rsidR="004C1CD3" w:rsidRPr="00B01F9E">
          <w:rPr>
            <w:rStyle w:val="Hyperlink"/>
            <w:rFonts w:ascii="Arial" w:hAnsi="Arial" w:cs="Arial"/>
            <w:b/>
            <w:i w:val="0"/>
            <w:iCs w:val="0"/>
            <w:color w:val="auto"/>
            <w:sz w:val="20"/>
            <w:szCs w:val="20"/>
            <w:u w:val="none"/>
          </w:rPr>
          <w:t>N</w:t>
        </w:r>
        <w:bookmarkStart w:id="198" w:name="_Hlt175765837"/>
        <w:r w:rsidR="004C1CD3" w:rsidRPr="00B01F9E">
          <w:rPr>
            <w:rStyle w:val="Hyperlink"/>
            <w:rFonts w:ascii="Arial" w:hAnsi="Arial" w:cs="Arial"/>
            <w:b/>
            <w:i w:val="0"/>
            <w:iCs w:val="0"/>
            <w:color w:val="auto"/>
            <w:sz w:val="20"/>
            <w:szCs w:val="20"/>
            <w:u w:val="none"/>
          </w:rPr>
          <w:t>O</w:t>
        </w:r>
        <w:bookmarkEnd w:id="198"/>
        <w:r w:rsidR="004C1CD3" w:rsidRPr="00B01F9E">
          <w:rPr>
            <w:rStyle w:val="Hyperlink"/>
            <w:rFonts w:ascii="Arial" w:hAnsi="Arial" w:cs="Arial"/>
            <w:b/>
            <w:i w:val="0"/>
            <w:iCs w:val="0"/>
            <w:color w:val="auto"/>
            <w:sz w:val="20"/>
            <w:szCs w:val="20"/>
            <w:u w:val="none"/>
          </w:rPr>
          <w:t>MED CT codes</w:t>
        </w:r>
        <w:bookmarkEnd w:id="192"/>
        <w:r w:rsidR="004C1CD3" w:rsidRPr="00B01F9E">
          <w:rPr>
            <w:rStyle w:val="Hyperlink"/>
            <w:rFonts w:ascii="Arial" w:hAnsi="Arial" w:cs="Arial"/>
            <w:b/>
            <w:i w:val="0"/>
            <w:iCs w:val="0"/>
            <w:color w:val="auto"/>
            <w:sz w:val="20"/>
            <w:szCs w:val="20"/>
            <w:u w:val="none"/>
          </w:rPr>
          <w:t>:</w:t>
        </w:r>
      </w:hyperlink>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 xml:space="preserve">The chemistry portion of the urinalysis results can be resulted semi-quantitatively for which some tests may not have available SNOMED CT codes.  </w:t>
      </w:r>
    </w:p>
    <w:p w14:paraId="187B6CEF"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For example, Duke reports the bilirubin and leukocyte esterase results from the urinalysis using graded values (trace, 1+, 2+, etc.). For each chemical analysis on the urinalysis, Duke may report color interference. SNOMED CT does not have available codes for these results. This affects the completeness of both the simulated LIDR and its integration into the LIS. </w:t>
      </w:r>
    </w:p>
    <w:p w14:paraId="520EC2FF" w14:textId="77777777" w:rsidR="004C1CD3" w:rsidRPr="00B01F9E" w:rsidRDefault="004C1CD3" w:rsidP="004C1CD3">
      <w:pPr>
        <w:spacing w:before="120" w:after="120"/>
        <w:ind w:left="432"/>
        <w:contextualSpacing/>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r w:rsidRPr="00B01F9E">
        <w:rPr>
          <w:rFonts w:ascii="Arial" w:eastAsia="Calibri" w:hAnsi="Arial" w:cs="Arial"/>
          <w:kern w:val="2"/>
          <w:sz w:val="20"/>
          <w:szCs w:val="20"/>
          <w14:ligatures w14:val="standardContextual"/>
        </w:rPr>
        <w:t xml:space="preserve">: </w:t>
      </w:r>
    </w:p>
    <w:p w14:paraId="1B5B96FE"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Trace and all graded results for bilirubin and leukocyte esterase were mapped to the SNOMED CT code for positive. Color interference was not reported in the resulting of POC tests. This result can be added via a comment and is considered a specimen disposition data element, which is not included in the scope of the POC but could be sent in an NTE segment of the HL7 message.</w:t>
      </w:r>
    </w:p>
    <w:p w14:paraId="23BC4666"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lastRenderedPageBreak/>
        <w:t xml:space="preserve">Long-term solution: Request additional SNOMED CT codes for missing values from the SDO. </w:t>
      </w:r>
    </w:p>
    <w:p w14:paraId="08E56C68" w14:textId="002CD839" w:rsidR="004C1CD3" w:rsidRPr="00B01F9E" w:rsidRDefault="005D3D26" w:rsidP="00464A38">
      <w:pPr>
        <w:pStyle w:val="Heading4"/>
        <w:ind w:left="450" w:hanging="450"/>
        <w:rPr>
          <w:rStyle w:val="Heading4Char"/>
          <w:rFonts w:ascii="Arial" w:hAnsi="Arial" w:cs="Arial"/>
          <w:b/>
          <w:color w:val="auto"/>
          <w:sz w:val="20"/>
          <w:szCs w:val="20"/>
        </w:rPr>
      </w:pPr>
      <w:bookmarkStart w:id="199" w:name="_Identifying_UDIs_requires"/>
      <w:bookmarkStart w:id="200" w:name="Gap_6_6"/>
      <w:bookmarkEnd w:id="199"/>
      <w:r w:rsidRPr="00B01F9E">
        <w:rPr>
          <w:rStyle w:val="Heading4Char"/>
          <w:rFonts w:ascii="Arial" w:hAnsi="Arial" w:cs="Arial"/>
          <w:b/>
          <w:color w:val="auto"/>
          <w:sz w:val="20"/>
          <w:szCs w:val="20"/>
        </w:rPr>
        <w:t>3</w:t>
      </w:r>
      <w:r w:rsidR="009332D8" w:rsidRPr="00B01F9E">
        <w:rPr>
          <w:rStyle w:val="Heading4Char"/>
          <w:rFonts w:ascii="Arial" w:hAnsi="Arial" w:cs="Arial"/>
          <w:b/>
          <w:color w:val="auto"/>
          <w:sz w:val="20"/>
          <w:szCs w:val="20"/>
        </w:rPr>
        <w:t xml:space="preserve">.7.1.6 </w:t>
      </w:r>
      <w:hyperlink w:anchor="Gap_6" w:history="1">
        <w:r w:rsidR="004C1CD3" w:rsidRPr="00B01F9E">
          <w:rPr>
            <w:rStyle w:val="Heading4Char"/>
            <w:rFonts w:ascii="Arial" w:hAnsi="Arial" w:cs="Arial"/>
            <w:b/>
            <w:color w:val="auto"/>
            <w:sz w:val="20"/>
            <w:szCs w:val="20"/>
          </w:rPr>
          <w:t>Ident</w:t>
        </w:r>
        <w:bookmarkStart w:id="201" w:name="_Hlt175766688"/>
        <w:r w:rsidR="004C1CD3" w:rsidRPr="00B01F9E">
          <w:rPr>
            <w:rStyle w:val="Heading4Char"/>
            <w:rFonts w:ascii="Arial" w:hAnsi="Arial" w:cs="Arial"/>
            <w:b/>
            <w:color w:val="auto"/>
            <w:sz w:val="20"/>
            <w:szCs w:val="20"/>
          </w:rPr>
          <w:t>i</w:t>
        </w:r>
        <w:bookmarkStart w:id="202" w:name="_Hlt175730281"/>
        <w:bookmarkEnd w:id="201"/>
        <w:r w:rsidR="004C1CD3" w:rsidRPr="00B01F9E">
          <w:rPr>
            <w:rStyle w:val="Heading4Char"/>
            <w:rFonts w:ascii="Arial" w:hAnsi="Arial" w:cs="Arial"/>
            <w:b/>
            <w:color w:val="auto"/>
            <w:sz w:val="20"/>
            <w:szCs w:val="20"/>
          </w:rPr>
          <w:t>f</w:t>
        </w:r>
        <w:bookmarkEnd w:id="202"/>
        <w:r w:rsidR="004C1CD3" w:rsidRPr="00B01F9E">
          <w:rPr>
            <w:rStyle w:val="Heading4Char"/>
            <w:rFonts w:ascii="Arial" w:hAnsi="Arial" w:cs="Arial"/>
            <w:b/>
            <w:color w:val="auto"/>
            <w:sz w:val="20"/>
            <w:szCs w:val="20"/>
          </w:rPr>
          <w:t>y</w:t>
        </w:r>
        <w:bookmarkStart w:id="203" w:name="_Hlt175765697"/>
        <w:r w:rsidR="004C1CD3" w:rsidRPr="00B01F9E">
          <w:rPr>
            <w:rStyle w:val="Heading4Char"/>
            <w:rFonts w:ascii="Arial" w:hAnsi="Arial" w:cs="Arial"/>
            <w:b/>
            <w:color w:val="auto"/>
            <w:sz w:val="20"/>
            <w:szCs w:val="20"/>
          </w:rPr>
          <w:t>i</w:t>
        </w:r>
        <w:bookmarkEnd w:id="203"/>
        <w:r w:rsidR="004C1CD3" w:rsidRPr="00B01F9E">
          <w:rPr>
            <w:rStyle w:val="Heading4Char"/>
            <w:rFonts w:ascii="Arial" w:hAnsi="Arial" w:cs="Arial"/>
            <w:b/>
            <w:color w:val="auto"/>
            <w:sz w:val="20"/>
            <w:szCs w:val="20"/>
          </w:rPr>
          <w:t>ng UDIs requires research:</w:t>
        </w:r>
      </w:hyperlink>
      <w:bookmarkEnd w:id="200"/>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In the CAP’s development of LIDR, determining the UDIs involved the utilization of AccessGUDID</w:t>
      </w:r>
      <w:r w:rsidR="00977F80" w:rsidRPr="00B01F9E">
        <w:rPr>
          <w:rStyle w:val="Heading4Char"/>
          <w:rFonts w:ascii="Arial" w:hAnsi="Arial" w:cs="Arial"/>
          <w:color w:val="auto"/>
          <w:sz w:val="20"/>
          <w:szCs w:val="20"/>
          <w:vertAlign w:val="superscript"/>
        </w:rPr>
        <w:t>4</w:t>
      </w:r>
      <w:r w:rsidR="004C1CD3" w:rsidRPr="00B01F9E">
        <w:rPr>
          <w:rStyle w:val="Heading4Char"/>
          <w:rFonts w:ascii="Arial" w:hAnsi="Arial" w:cs="Arial"/>
          <w:color w:val="auto"/>
          <w:sz w:val="20"/>
          <w:szCs w:val="20"/>
        </w:rPr>
        <w:t>. The GUDID, established by the FDA, is a resource for storing the UDIs of medical devices submitted to the FDA and sold in the US. The UDI is composed of the Device Identifier (DI), a unique numeric or alphanumeric code specific to a device version or model, and a Production Identifier (PI). The PI is a numeric or alphanumeric code that identifies the production information for a device such as the lot number, serial number, expiration date, or manufactured date.</w:t>
      </w:r>
      <w:r w:rsidR="004C1CD3" w:rsidRPr="00B01F9E">
        <w:rPr>
          <w:rStyle w:val="Heading4Char"/>
          <w:rFonts w:ascii="Arial" w:hAnsi="Arial" w:cs="Arial"/>
          <w:b/>
          <w:color w:val="auto"/>
          <w:sz w:val="20"/>
          <w:szCs w:val="20"/>
        </w:rPr>
        <w:t xml:space="preserve"> </w:t>
      </w:r>
    </w:p>
    <w:p w14:paraId="647C91D8" w14:textId="77777777" w:rsidR="004C1CD3" w:rsidRPr="00B01F9E" w:rsidRDefault="004C1CD3" w:rsidP="004C1CD3">
      <w:pPr>
        <w:spacing w:before="120" w:after="0" w:line="240" w:lineRule="auto"/>
        <w:ind w:left="432"/>
        <w:rPr>
          <w:rFonts w:ascii="Arial" w:eastAsia="Calibri" w:hAnsi="Arial" w:cs="Arial"/>
          <w:b/>
          <w:bCs/>
          <w:kern w:val="2"/>
          <w:sz w:val="20"/>
          <w:szCs w:val="20"/>
          <w14:ligatures w14:val="standardContextual"/>
        </w:rPr>
      </w:pPr>
      <w:r w:rsidRPr="00B01F9E">
        <w:rPr>
          <w:rFonts w:ascii="Arial" w:eastAsia="Times New Roman" w:hAnsi="Arial" w:cs="Arial"/>
          <w:kern w:val="2"/>
          <w:sz w:val="20"/>
          <w:szCs w:val="20"/>
          <w14:ligatures w14:val="standardContextual"/>
        </w:rPr>
        <w:t xml:space="preserve">In the case of human cell, tissue or cellular, or tissue-based product (HCT/P), the distinct identification code that allows the manufacturer to associate the HCT/P to the donor is included. Some devices may have the UDI on a label attached to the analyzer or kit. </w:t>
      </w:r>
    </w:p>
    <w:p w14:paraId="19F3F0ED"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r w:rsidRPr="00B01F9E">
        <w:rPr>
          <w:rFonts w:ascii="Arial" w:eastAsia="Calibri" w:hAnsi="Arial" w:cs="Arial"/>
          <w:kern w:val="2"/>
          <w:sz w:val="20"/>
          <w:szCs w:val="20"/>
          <w14:ligatures w14:val="standardContextual"/>
        </w:rPr>
        <w:t xml:space="preserve">: </w:t>
      </w:r>
    </w:p>
    <w:p w14:paraId="3E6E6553"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The CAP was able to locate information on some of the instrument labeling which enabled the identification of a specific analyzer or kit in </w:t>
      </w:r>
      <w:proofErr w:type="spellStart"/>
      <w:r w:rsidRPr="00B01F9E">
        <w:rPr>
          <w:rFonts w:ascii="Arial" w:eastAsia="Calibri" w:hAnsi="Arial" w:cs="Arial"/>
          <w:kern w:val="2"/>
          <w:sz w:val="20"/>
          <w:szCs w:val="20"/>
          <w14:ligatures w14:val="standardContextual"/>
        </w:rPr>
        <w:t>AccessGUDID</w:t>
      </w:r>
      <w:proofErr w:type="spellEnd"/>
      <w:r w:rsidRPr="00B01F9E">
        <w:rPr>
          <w:rFonts w:ascii="Arial" w:eastAsia="Calibri" w:hAnsi="Arial" w:cs="Arial"/>
          <w:kern w:val="2"/>
          <w:sz w:val="20"/>
          <w:szCs w:val="20"/>
          <w14:ligatures w14:val="standardContextual"/>
        </w:rPr>
        <w:t>. Additionally, reaching out to the manufacturer to obtain the UDI had</w:t>
      </w:r>
      <w:r w:rsidRPr="00B01F9E" w:rsidDel="0043557B">
        <w:rPr>
          <w:rFonts w:ascii="Arial" w:eastAsia="Calibri" w:hAnsi="Arial" w:cs="Arial"/>
          <w:kern w:val="2"/>
          <w:sz w:val="20"/>
          <w:szCs w:val="20"/>
          <w14:ligatures w14:val="standardContextual"/>
        </w:rPr>
        <w:t xml:space="preserve"> </w:t>
      </w:r>
      <w:r w:rsidRPr="00B01F9E">
        <w:rPr>
          <w:rFonts w:ascii="Arial" w:eastAsia="Calibri" w:hAnsi="Arial" w:cs="Arial"/>
          <w:kern w:val="2"/>
          <w:sz w:val="20"/>
          <w:szCs w:val="20"/>
          <w14:ligatures w14:val="standardContextual"/>
        </w:rPr>
        <w:t xml:space="preserve">limited success. Leveraging the reagent package inserts was valuable for the kit UDIs as they pointed to a reference that mapped to an entry in the </w:t>
      </w:r>
      <w:proofErr w:type="spellStart"/>
      <w:r w:rsidRPr="00B01F9E">
        <w:rPr>
          <w:rFonts w:ascii="Arial" w:eastAsia="Calibri" w:hAnsi="Arial" w:cs="Arial"/>
          <w:kern w:val="2"/>
          <w:sz w:val="20"/>
          <w:szCs w:val="20"/>
          <w14:ligatures w14:val="standardContextual"/>
        </w:rPr>
        <w:t>AccessGUDID</w:t>
      </w:r>
      <w:proofErr w:type="spellEnd"/>
      <w:r w:rsidRPr="00B01F9E">
        <w:rPr>
          <w:rFonts w:ascii="Arial" w:eastAsia="Calibri" w:hAnsi="Arial" w:cs="Arial"/>
          <w:kern w:val="2"/>
          <w:sz w:val="20"/>
          <w:szCs w:val="20"/>
          <w14:ligatures w14:val="standardContextual"/>
        </w:rPr>
        <w:t>.</w:t>
      </w:r>
    </w:p>
    <w:p w14:paraId="2C3207F5"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Long-term solution: The developed LIDR would store and maintain the IVD manufacturer provided UDIs for both the kit and the device. </w:t>
      </w:r>
    </w:p>
    <w:p w14:paraId="1667FD93" w14:textId="13B5831C" w:rsidR="004C1CD3" w:rsidRPr="00B01F9E" w:rsidRDefault="005D3D26" w:rsidP="00F27873">
      <w:pPr>
        <w:pStyle w:val="Heading4"/>
        <w:spacing w:before="0"/>
        <w:ind w:left="450" w:hanging="450"/>
        <w:rPr>
          <w:rStyle w:val="Heading4Char"/>
          <w:rFonts w:ascii="Arial" w:hAnsi="Arial" w:cs="Arial"/>
          <w:b/>
          <w:color w:val="auto"/>
          <w:sz w:val="20"/>
          <w:szCs w:val="20"/>
        </w:rPr>
      </w:pPr>
      <w:bookmarkStart w:id="204" w:name="_Maintainingenance_and_updating"/>
      <w:bookmarkStart w:id="205" w:name="Gap_7_7"/>
      <w:bookmarkEnd w:id="204"/>
      <w:r w:rsidRPr="00B01F9E">
        <w:rPr>
          <w:rStyle w:val="Heading4Char"/>
          <w:rFonts w:ascii="Arial" w:hAnsi="Arial" w:cs="Arial"/>
          <w:b/>
          <w:color w:val="auto"/>
          <w:sz w:val="20"/>
          <w:szCs w:val="20"/>
        </w:rPr>
        <w:t>3</w:t>
      </w:r>
      <w:r w:rsidR="009332D8" w:rsidRPr="00B01F9E">
        <w:rPr>
          <w:rStyle w:val="Heading4Char"/>
          <w:rFonts w:ascii="Arial" w:hAnsi="Arial" w:cs="Arial"/>
          <w:b/>
          <w:color w:val="auto"/>
          <w:sz w:val="20"/>
          <w:szCs w:val="20"/>
        </w:rPr>
        <w:t xml:space="preserve">.7.1.7 </w:t>
      </w:r>
      <w:hyperlink w:anchor="Gap_7" w:history="1">
        <w:r w:rsidR="004C1CD3" w:rsidRPr="00B01F9E">
          <w:rPr>
            <w:rStyle w:val="Hyperlink"/>
            <w:rFonts w:ascii="Arial" w:hAnsi="Arial" w:cs="Arial"/>
            <w:b/>
            <w:i w:val="0"/>
            <w:iCs w:val="0"/>
            <w:color w:val="auto"/>
            <w:sz w:val="20"/>
            <w:szCs w:val="20"/>
            <w:u w:val="none"/>
          </w:rPr>
          <w:t>Ma</w:t>
        </w:r>
        <w:bookmarkStart w:id="206" w:name="_Hlt175766690"/>
        <w:r w:rsidR="004C1CD3" w:rsidRPr="00B01F9E">
          <w:rPr>
            <w:rStyle w:val="Hyperlink"/>
            <w:rFonts w:ascii="Arial" w:hAnsi="Arial" w:cs="Arial"/>
            <w:b/>
            <w:i w:val="0"/>
            <w:iCs w:val="0"/>
            <w:color w:val="auto"/>
            <w:sz w:val="20"/>
            <w:szCs w:val="20"/>
            <w:u w:val="none"/>
          </w:rPr>
          <w:t>i</w:t>
        </w:r>
        <w:bookmarkEnd w:id="206"/>
        <w:r w:rsidR="004C1CD3" w:rsidRPr="00B01F9E">
          <w:rPr>
            <w:rStyle w:val="Hyperlink"/>
            <w:rFonts w:ascii="Arial" w:hAnsi="Arial" w:cs="Arial"/>
            <w:b/>
            <w:i w:val="0"/>
            <w:iCs w:val="0"/>
            <w:color w:val="auto"/>
            <w:sz w:val="20"/>
            <w:szCs w:val="20"/>
            <w:u w:val="none"/>
          </w:rPr>
          <w:t>nt</w:t>
        </w:r>
        <w:bookmarkStart w:id="207" w:name="_Hlt175765703"/>
        <w:r w:rsidR="004C1CD3" w:rsidRPr="00B01F9E">
          <w:rPr>
            <w:rStyle w:val="Hyperlink"/>
            <w:rFonts w:ascii="Arial" w:hAnsi="Arial" w:cs="Arial"/>
            <w:b/>
            <w:i w:val="0"/>
            <w:iCs w:val="0"/>
            <w:color w:val="auto"/>
            <w:sz w:val="20"/>
            <w:szCs w:val="20"/>
            <w:u w:val="none"/>
          </w:rPr>
          <w:t>a</w:t>
        </w:r>
        <w:bookmarkEnd w:id="207"/>
        <w:r w:rsidR="004C1CD3" w:rsidRPr="00B01F9E">
          <w:rPr>
            <w:rStyle w:val="Hyperlink"/>
            <w:rFonts w:ascii="Arial" w:hAnsi="Arial" w:cs="Arial"/>
            <w:b/>
            <w:i w:val="0"/>
            <w:iCs w:val="0"/>
            <w:color w:val="auto"/>
            <w:sz w:val="20"/>
            <w:szCs w:val="20"/>
            <w:u w:val="none"/>
          </w:rPr>
          <w:t>in</w:t>
        </w:r>
        <w:bookmarkStart w:id="208" w:name="_Hlt175730278"/>
        <w:r w:rsidR="004C1CD3" w:rsidRPr="00B01F9E">
          <w:rPr>
            <w:rStyle w:val="Hyperlink"/>
            <w:rFonts w:ascii="Arial" w:hAnsi="Arial" w:cs="Arial"/>
            <w:b/>
            <w:i w:val="0"/>
            <w:iCs w:val="0"/>
            <w:color w:val="auto"/>
            <w:sz w:val="20"/>
            <w:szCs w:val="20"/>
            <w:u w:val="none"/>
          </w:rPr>
          <w:t>i</w:t>
        </w:r>
        <w:bookmarkStart w:id="209" w:name="_Hlt175308651"/>
        <w:bookmarkEnd w:id="208"/>
        <w:r w:rsidR="004C1CD3" w:rsidRPr="00B01F9E">
          <w:rPr>
            <w:rStyle w:val="Hyperlink"/>
            <w:rFonts w:ascii="Arial" w:hAnsi="Arial" w:cs="Arial"/>
            <w:b/>
            <w:i w:val="0"/>
            <w:iCs w:val="0"/>
            <w:color w:val="auto"/>
            <w:sz w:val="20"/>
            <w:szCs w:val="20"/>
            <w:u w:val="none"/>
          </w:rPr>
          <w:t>n</w:t>
        </w:r>
        <w:bookmarkEnd w:id="209"/>
        <w:r w:rsidR="004C1CD3" w:rsidRPr="00B01F9E">
          <w:rPr>
            <w:rStyle w:val="Hyperlink"/>
            <w:rFonts w:ascii="Arial" w:hAnsi="Arial" w:cs="Arial"/>
            <w:b/>
            <w:i w:val="0"/>
            <w:iCs w:val="0"/>
            <w:color w:val="auto"/>
            <w:sz w:val="20"/>
            <w:szCs w:val="20"/>
            <w:u w:val="none"/>
          </w:rPr>
          <w:t>g and updating LOINC codes:</w:t>
        </w:r>
      </w:hyperlink>
      <w:bookmarkEnd w:id="205"/>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Many laboratories applied LOINC to their tests following the implementation of Meaningful Use</w:t>
      </w:r>
      <w:r w:rsidR="004C1CD3" w:rsidRPr="00B01F9E" w:rsidDel="00021218">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incentives, which required the use of structured data to be incorporated in the EHR to identify the test data. Typically, laboratories applied LOINC codes once to a portion of their test menu to meet these requirements and achieve repayment incentive targets. However, they were often not updated after the initial entry because this process requires expertise and coordination with laboratory leadership.</w:t>
      </w:r>
      <w:r w:rsidR="004C1CD3" w:rsidRPr="00B01F9E">
        <w:rPr>
          <w:rStyle w:val="Heading4Char"/>
          <w:rFonts w:ascii="Arial" w:hAnsi="Arial" w:cs="Arial"/>
          <w:b/>
          <w:color w:val="auto"/>
          <w:sz w:val="20"/>
          <w:szCs w:val="20"/>
        </w:rPr>
        <w:t xml:space="preserve"> </w:t>
      </w:r>
    </w:p>
    <w:p w14:paraId="2E77B364" w14:textId="77777777" w:rsidR="004C1CD3" w:rsidRPr="00B01F9E" w:rsidRDefault="004C1CD3" w:rsidP="004C1CD3">
      <w:pPr>
        <w:spacing w:before="120" w:after="0" w:line="240" w:lineRule="auto"/>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There are frequent updates to the LOINC codes maintained by </w:t>
      </w:r>
      <w:proofErr w:type="spellStart"/>
      <w:r w:rsidRPr="00B01F9E">
        <w:rPr>
          <w:rFonts w:ascii="Arial" w:eastAsia="Calibri" w:hAnsi="Arial" w:cs="Arial"/>
          <w:kern w:val="2"/>
          <w:sz w:val="20"/>
          <w:szCs w:val="20"/>
          <w14:ligatures w14:val="standardContextual"/>
        </w:rPr>
        <w:t>Regenstrief</w:t>
      </w:r>
      <w:proofErr w:type="spellEnd"/>
      <w:r w:rsidRPr="00B01F9E">
        <w:rPr>
          <w:rFonts w:ascii="Arial" w:eastAsia="Calibri" w:hAnsi="Arial" w:cs="Arial"/>
          <w:kern w:val="2"/>
          <w:sz w:val="20"/>
          <w:szCs w:val="20"/>
          <w14:ligatures w14:val="standardContextual"/>
        </w:rPr>
        <w:t>. However, without explicit prompts for changes to existing LOINC codes associated with their clinical tests, laboratories typically fall behind on version updates. Implementing a QA program to monitor coding to ensure it is up to date is necessary to improve overall interoperability of laboratory test results.</w:t>
      </w:r>
    </w:p>
    <w:p w14:paraId="4129C5A4"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r w:rsidRPr="00B01F9E">
        <w:rPr>
          <w:rFonts w:ascii="Arial" w:eastAsia="Calibri" w:hAnsi="Arial" w:cs="Arial"/>
          <w:kern w:val="2"/>
          <w:sz w:val="20"/>
          <w:szCs w:val="20"/>
          <w14:ligatures w14:val="standardContextual"/>
        </w:rPr>
        <w:t xml:space="preserve">: </w:t>
      </w:r>
    </w:p>
    <w:p w14:paraId="7A8FF4E6"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The simulated LIDR was developed utilizing the most current resources for identifying LOINC codes appropriate for the </w:t>
      </w:r>
      <w:proofErr w:type="gramStart"/>
      <w:r w:rsidRPr="00B01F9E">
        <w:rPr>
          <w:rFonts w:ascii="Arial" w:eastAsia="Calibri" w:hAnsi="Arial" w:cs="Arial"/>
          <w:kern w:val="2"/>
          <w:sz w:val="20"/>
          <w:szCs w:val="20"/>
          <w14:ligatures w14:val="standardContextual"/>
        </w:rPr>
        <w:t>Duke</w:t>
      </w:r>
      <w:proofErr w:type="gramEnd"/>
      <w:r w:rsidRPr="00B01F9E">
        <w:rPr>
          <w:rFonts w:ascii="Arial" w:eastAsia="Calibri" w:hAnsi="Arial" w:cs="Arial"/>
          <w:kern w:val="2"/>
          <w:sz w:val="20"/>
          <w:szCs w:val="20"/>
          <w14:ligatures w14:val="standardContextual"/>
        </w:rPr>
        <w:t xml:space="preserve"> laboratory testing methods.</w:t>
      </w:r>
    </w:p>
    <w:p w14:paraId="7FB310F7"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The developed LIDR would store and maintain the IVD manufacturer provided LOINC codes and other data elements. Implementing the QA Program for monitoring LIDR codes would keep the laboratory test database current and up to date.</w:t>
      </w:r>
    </w:p>
    <w:p w14:paraId="139EC5D9" w14:textId="4124612E" w:rsidR="004C1CD3" w:rsidRPr="00B01F9E" w:rsidRDefault="005D3D26" w:rsidP="00FB088B">
      <w:pPr>
        <w:pStyle w:val="Heading3"/>
        <w:spacing w:before="0" w:after="120"/>
        <w:rPr>
          <w:rFonts w:ascii="Arial" w:hAnsi="Arial" w:cs="Arial"/>
          <w:b/>
          <w:i/>
          <w:iCs/>
          <w:color w:val="009ABF" w:themeColor="text1"/>
          <w:sz w:val="20"/>
          <w:szCs w:val="20"/>
        </w:rPr>
      </w:pPr>
      <w:bookmarkStart w:id="210" w:name="_GAPS_RELATED_TO"/>
      <w:bookmarkStart w:id="211" w:name="_Ref173854237"/>
      <w:bookmarkStart w:id="212" w:name="_Toc177136994"/>
      <w:bookmarkEnd w:id="210"/>
      <w:r w:rsidRPr="00B01F9E">
        <w:rPr>
          <w:rFonts w:ascii="Arial" w:hAnsi="Arial" w:cs="Arial"/>
          <w:b/>
          <w:bCs/>
          <w:i/>
          <w:iCs/>
          <w:color w:val="009ABF" w:themeColor="text1"/>
          <w:sz w:val="20"/>
          <w:szCs w:val="20"/>
        </w:rPr>
        <w:lastRenderedPageBreak/>
        <w:t>3</w:t>
      </w:r>
      <w:r w:rsidR="00A72136" w:rsidRPr="00B01F9E">
        <w:rPr>
          <w:rFonts w:ascii="Arial" w:hAnsi="Arial" w:cs="Arial"/>
          <w:b/>
          <w:bCs/>
          <w:i/>
          <w:iCs/>
          <w:color w:val="009ABF" w:themeColor="text1"/>
          <w:sz w:val="20"/>
          <w:szCs w:val="20"/>
        </w:rPr>
        <w:t xml:space="preserve">.7.2 </w:t>
      </w:r>
      <w:r w:rsidR="00E30060" w:rsidRPr="00B01F9E">
        <w:rPr>
          <w:rFonts w:ascii="Arial" w:hAnsi="Arial" w:cs="Arial"/>
          <w:b/>
          <w:i/>
          <w:iCs/>
          <w:color w:val="009ABF" w:themeColor="text1"/>
          <w:sz w:val="20"/>
          <w:szCs w:val="20"/>
        </w:rPr>
        <w:t xml:space="preserve">Gaps Related to </w:t>
      </w:r>
      <w:r w:rsidR="004C1CD3" w:rsidRPr="00B01F9E">
        <w:rPr>
          <w:rFonts w:ascii="Arial" w:hAnsi="Arial" w:cs="Arial"/>
          <w:b/>
          <w:i/>
          <w:iCs/>
          <w:color w:val="009ABF" w:themeColor="text1"/>
          <w:sz w:val="20"/>
          <w:szCs w:val="20"/>
        </w:rPr>
        <w:t xml:space="preserve">LIS </w:t>
      </w:r>
      <w:bookmarkEnd w:id="211"/>
      <w:r w:rsidR="00E30060" w:rsidRPr="00B01F9E">
        <w:rPr>
          <w:rFonts w:ascii="Arial" w:hAnsi="Arial" w:cs="Arial"/>
          <w:b/>
          <w:i/>
          <w:iCs/>
          <w:color w:val="009ABF" w:themeColor="text1"/>
          <w:sz w:val="20"/>
          <w:szCs w:val="20"/>
        </w:rPr>
        <w:t>Build</w:t>
      </w:r>
      <w:bookmarkEnd w:id="212"/>
    </w:p>
    <w:p w14:paraId="4D18E1E2" w14:textId="4585B424" w:rsidR="004C1CD3" w:rsidRPr="00B01F9E" w:rsidRDefault="009F1F82" w:rsidP="0089193F">
      <w:pPr>
        <w:pStyle w:val="Heading4"/>
        <w:ind w:left="450" w:hanging="450"/>
        <w:rPr>
          <w:rStyle w:val="Heading4Char"/>
          <w:rFonts w:ascii="Arial" w:hAnsi="Arial" w:cs="Arial"/>
          <w:b/>
          <w:color w:val="auto"/>
          <w:sz w:val="20"/>
          <w:szCs w:val="20"/>
        </w:rPr>
      </w:pPr>
      <w:bookmarkStart w:id="213" w:name="_Inability_to_accurately"/>
      <w:bookmarkStart w:id="214" w:name="Gap_8_8"/>
      <w:bookmarkEnd w:id="213"/>
      <w:r w:rsidRPr="00B01F9E">
        <w:rPr>
          <w:rStyle w:val="Heading4Char"/>
          <w:rFonts w:ascii="Arial" w:hAnsi="Arial" w:cs="Arial"/>
          <w:b/>
          <w:color w:val="auto"/>
          <w:sz w:val="20"/>
          <w:szCs w:val="20"/>
        </w:rPr>
        <w:t>3</w:t>
      </w:r>
      <w:r w:rsidR="00EB5FA7" w:rsidRPr="00B01F9E">
        <w:rPr>
          <w:rStyle w:val="Heading4Char"/>
          <w:rFonts w:ascii="Arial" w:hAnsi="Arial" w:cs="Arial"/>
          <w:b/>
          <w:color w:val="auto"/>
          <w:sz w:val="20"/>
          <w:szCs w:val="20"/>
        </w:rPr>
        <w:t xml:space="preserve">.7.2.1 </w:t>
      </w:r>
      <w:hyperlink w:anchor="Gap_8" w:history="1">
        <w:r w:rsidR="004C1CD3" w:rsidRPr="00B01F9E">
          <w:rPr>
            <w:rStyle w:val="Hyperlink"/>
            <w:rFonts w:ascii="Arial" w:eastAsia="Yu Gothic Light" w:hAnsi="Arial" w:cs="Arial"/>
            <w:b/>
            <w:bCs/>
            <w:i w:val="0"/>
            <w:iCs w:val="0"/>
            <w:color w:val="auto"/>
            <w:kern w:val="2"/>
            <w:sz w:val="20"/>
            <w:szCs w:val="20"/>
            <w:u w:val="none"/>
            <w14:ligatures w14:val="standardContextual"/>
          </w:rPr>
          <w:t>Inabilit</w:t>
        </w:r>
        <w:bookmarkStart w:id="215" w:name="_Hlt175769176"/>
        <w:r w:rsidR="004C1CD3" w:rsidRPr="00B01F9E">
          <w:rPr>
            <w:rStyle w:val="Hyperlink"/>
            <w:rFonts w:ascii="Arial" w:eastAsia="Yu Gothic Light" w:hAnsi="Arial" w:cs="Arial"/>
            <w:b/>
            <w:bCs/>
            <w:i w:val="0"/>
            <w:iCs w:val="0"/>
            <w:color w:val="auto"/>
            <w:kern w:val="2"/>
            <w:sz w:val="20"/>
            <w:szCs w:val="20"/>
            <w:u w:val="none"/>
            <w14:ligatures w14:val="standardContextual"/>
          </w:rPr>
          <w:t>y</w:t>
        </w:r>
        <w:bookmarkEnd w:id="215"/>
        <w:r w:rsidR="004C1CD3" w:rsidRPr="00B01F9E">
          <w:rPr>
            <w:rStyle w:val="Hyperlink"/>
            <w:rFonts w:ascii="Arial" w:eastAsia="Yu Gothic Light" w:hAnsi="Arial" w:cs="Arial"/>
            <w:b/>
            <w:bCs/>
            <w:i w:val="0"/>
            <w:iCs w:val="0"/>
            <w:color w:val="auto"/>
            <w:kern w:val="2"/>
            <w:sz w:val="20"/>
            <w:szCs w:val="20"/>
            <w:u w:val="none"/>
            <w14:ligatures w14:val="standardContextual"/>
          </w:rPr>
          <w:t xml:space="preserve"> t</w:t>
        </w:r>
        <w:bookmarkStart w:id="216" w:name="_Hlt175731277"/>
        <w:r w:rsidR="004C1CD3" w:rsidRPr="00B01F9E">
          <w:rPr>
            <w:rStyle w:val="Hyperlink"/>
            <w:rFonts w:ascii="Arial" w:eastAsia="Yu Gothic Light" w:hAnsi="Arial" w:cs="Arial"/>
            <w:b/>
            <w:bCs/>
            <w:i w:val="0"/>
            <w:iCs w:val="0"/>
            <w:color w:val="auto"/>
            <w:kern w:val="2"/>
            <w:sz w:val="20"/>
            <w:szCs w:val="20"/>
            <w:u w:val="none"/>
            <w14:ligatures w14:val="standardContextual"/>
          </w:rPr>
          <w:t>o</w:t>
        </w:r>
        <w:bookmarkEnd w:id="216"/>
        <w:r w:rsidR="004C1CD3" w:rsidRPr="00B01F9E">
          <w:rPr>
            <w:rStyle w:val="Hyperlink"/>
            <w:rFonts w:ascii="Arial" w:eastAsia="Yu Gothic Light" w:hAnsi="Arial" w:cs="Arial"/>
            <w:b/>
            <w:bCs/>
            <w:i w:val="0"/>
            <w:iCs w:val="0"/>
            <w:color w:val="auto"/>
            <w:kern w:val="2"/>
            <w:sz w:val="20"/>
            <w:szCs w:val="20"/>
            <w:u w:val="none"/>
            <w14:ligatures w14:val="standardContextual"/>
          </w:rPr>
          <w:t xml:space="preserve"> a</w:t>
        </w:r>
        <w:bookmarkStart w:id="217" w:name="_Hlt175765706"/>
        <w:r w:rsidR="004C1CD3" w:rsidRPr="00B01F9E">
          <w:rPr>
            <w:rStyle w:val="Hyperlink"/>
            <w:rFonts w:ascii="Arial" w:eastAsia="Yu Gothic Light" w:hAnsi="Arial" w:cs="Arial"/>
            <w:b/>
            <w:bCs/>
            <w:i w:val="0"/>
            <w:iCs w:val="0"/>
            <w:color w:val="auto"/>
            <w:kern w:val="2"/>
            <w:sz w:val="20"/>
            <w:szCs w:val="20"/>
            <w:u w:val="none"/>
            <w14:ligatures w14:val="standardContextual"/>
          </w:rPr>
          <w:t>c</w:t>
        </w:r>
        <w:bookmarkEnd w:id="217"/>
        <w:r w:rsidR="004C1CD3" w:rsidRPr="00B01F9E">
          <w:rPr>
            <w:rStyle w:val="Hyperlink"/>
            <w:rFonts w:ascii="Arial" w:eastAsia="Yu Gothic Light" w:hAnsi="Arial" w:cs="Arial"/>
            <w:b/>
            <w:bCs/>
            <w:i w:val="0"/>
            <w:iCs w:val="0"/>
            <w:color w:val="auto"/>
            <w:kern w:val="2"/>
            <w:sz w:val="20"/>
            <w:szCs w:val="20"/>
            <w:u w:val="none"/>
            <w14:ligatures w14:val="standardContextual"/>
          </w:rPr>
          <w:t>c</w:t>
        </w:r>
        <w:bookmarkStart w:id="218" w:name="_Hlt175769185"/>
        <w:r w:rsidR="004C1CD3" w:rsidRPr="00B01F9E">
          <w:rPr>
            <w:rStyle w:val="Hyperlink"/>
            <w:rFonts w:ascii="Arial" w:eastAsia="Yu Gothic Light" w:hAnsi="Arial" w:cs="Arial"/>
            <w:b/>
            <w:bCs/>
            <w:i w:val="0"/>
            <w:iCs w:val="0"/>
            <w:color w:val="auto"/>
            <w:kern w:val="2"/>
            <w:sz w:val="20"/>
            <w:szCs w:val="20"/>
            <w:u w:val="none"/>
            <w14:ligatures w14:val="standardContextual"/>
          </w:rPr>
          <w:t>u</w:t>
        </w:r>
        <w:bookmarkEnd w:id="218"/>
        <w:r w:rsidR="004C1CD3" w:rsidRPr="00B01F9E">
          <w:rPr>
            <w:rStyle w:val="Hyperlink"/>
            <w:rFonts w:ascii="Arial" w:eastAsia="Yu Gothic Light" w:hAnsi="Arial" w:cs="Arial"/>
            <w:b/>
            <w:bCs/>
            <w:i w:val="0"/>
            <w:iCs w:val="0"/>
            <w:color w:val="auto"/>
            <w:kern w:val="2"/>
            <w:sz w:val="20"/>
            <w:szCs w:val="20"/>
            <w:u w:val="none"/>
            <w14:ligatures w14:val="standardContextual"/>
          </w:rPr>
          <w:t>rate</w:t>
        </w:r>
        <w:bookmarkStart w:id="219" w:name="_Hlt175730275"/>
        <w:r w:rsidR="004C1CD3" w:rsidRPr="00B01F9E">
          <w:rPr>
            <w:rStyle w:val="Hyperlink"/>
            <w:rFonts w:ascii="Arial" w:eastAsia="Yu Gothic Light" w:hAnsi="Arial" w:cs="Arial"/>
            <w:b/>
            <w:bCs/>
            <w:i w:val="0"/>
            <w:iCs w:val="0"/>
            <w:color w:val="auto"/>
            <w:kern w:val="2"/>
            <w:sz w:val="20"/>
            <w:szCs w:val="20"/>
            <w:u w:val="none"/>
            <w14:ligatures w14:val="standardContextual"/>
          </w:rPr>
          <w:t>l</w:t>
        </w:r>
        <w:bookmarkEnd w:id="219"/>
        <w:r w:rsidR="004C1CD3" w:rsidRPr="00B01F9E">
          <w:rPr>
            <w:rStyle w:val="Hyperlink"/>
            <w:rFonts w:ascii="Arial" w:eastAsia="Yu Gothic Light" w:hAnsi="Arial" w:cs="Arial"/>
            <w:b/>
            <w:bCs/>
            <w:i w:val="0"/>
            <w:iCs w:val="0"/>
            <w:color w:val="auto"/>
            <w:kern w:val="2"/>
            <w:sz w:val="20"/>
            <w:szCs w:val="20"/>
            <w:u w:val="none"/>
            <w14:ligatures w14:val="standardContextual"/>
          </w:rPr>
          <w:t>y map SNOMED CT codes for specimen descriptions</w:t>
        </w:r>
        <w:r w:rsidR="004C1CD3" w:rsidRPr="00B01F9E">
          <w:rPr>
            <w:rStyle w:val="Hyperlink"/>
            <w:rFonts w:ascii="Arial" w:eastAsia="Yu Gothic Light" w:hAnsi="Arial" w:cs="Arial"/>
            <w:b/>
            <w:i w:val="0"/>
            <w:iCs w:val="0"/>
            <w:color w:val="auto"/>
            <w:kern w:val="2"/>
            <w:sz w:val="20"/>
            <w:szCs w:val="20"/>
            <w:u w:val="none"/>
            <w14:ligatures w14:val="standardContextual"/>
          </w:rPr>
          <w:t>:</w:t>
        </w:r>
      </w:hyperlink>
      <w:bookmarkEnd w:id="214"/>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 xml:space="preserve">The specimen type, source, and collection data elements are not mapped directly in Beaker because the category lists in which they reside are shared by other applications (e.g., ambulatory and surgical providers) within the Epic System structure. These lists cannot be duplicated or edited by modifying the nomenclature or adding to them without obtaining approval from the individual healthcare organization. This includes adding SNOMED CT mappings. Because of this, the SNOMED CT codes are mapped to the descriptors in an interface translation table but did not necessarily match the actual local description of the specimen. </w:t>
      </w:r>
    </w:p>
    <w:p w14:paraId="4E9E82F4" w14:textId="51F56259" w:rsidR="004C1CD3" w:rsidRPr="00B01F9E" w:rsidRDefault="004C1CD3" w:rsidP="004C1CD3">
      <w:pPr>
        <w:spacing w:before="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For instance, the</w:t>
      </w:r>
      <w:r w:rsidRPr="00B01F9E" w:rsidDel="006524FB">
        <w:rPr>
          <w:rFonts w:ascii="Arial" w:eastAsia="Calibri" w:hAnsi="Arial" w:cs="Arial"/>
          <w:kern w:val="2"/>
          <w:sz w:val="20"/>
          <w:szCs w:val="20"/>
          <w14:ligatures w14:val="standardContextual"/>
        </w:rPr>
        <w:t xml:space="preserve"> </w:t>
      </w:r>
      <w:r w:rsidRPr="00B01F9E">
        <w:rPr>
          <w:rFonts w:ascii="Arial" w:eastAsia="Calibri" w:hAnsi="Arial" w:cs="Arial"/>
          <w:kern w:val="2"/>
          <w:sz w:val="20"/>
          <w:szCs w:val="20"/>
          <w14:ligatures w14:val="standardContextual"/>
        </w:rPr>
        <w:t xml:space="preserve">correct SNOMED CT code for the specimen type tested in the basic metabolic panel (BMP) is “119361006 – plasma specimen (specimen)” because plasma is the component of blood physically tested. However, the test is defined as a blood specimen type within the </w:t>
      </w:r>
      <w:proofErr w:type="gramStart"/>
      <w:r w:rsidRPr="00B01F9E">
        <w:rPr>
          <w:rFonts w:ascii="Arial" w:eastAsia="Calibri" w:hAnsi="Arial" w:cs="Arial"/>
          <w:kern w:val="2"/>
          <w:sz w:val="20"/>
          <w:szCs w:val="20"/>
          <w14:ligatures w14:val="standardContextual"/>
        </w:rPr>
        <w:t>Duke</w:t>
      </w:r>
      <w:proofErr w:type="gramEnd"/>
      <w:r w:rsidRPr="00B01F9E">
        <w:rPr>
          <w:rFonts w:ascii="Arial" w:eastAsia="Calibri" w:hAnsi="Arial" w:cs="Arial"/>
          <w:kern w:val="2"/>
          <w:sz w:val="20"/>
          <w:szCs w:val="20"/>
          <w14:ligatures w14:val="standardContextual"/>
        </w:rPr>
        <w:t xml:space="preserve"> system. Duke does not have plasma defined as an allowed specimen type and it cannot be added to their category list. To resolve this, the blood specimen type was mapped to the plasma SNOMED CT code in the interface table. The use of the interface table impacts the ability to fully utilize Epic report features (Refer to </w:t>
      </w:r>
      <w:hyperlink w:anchor="Gap_17_17" w:history="1">
        <w:r w:rsidR="00B62EFC" w:rsidRPr="00B01F9E">
          <w:rPr>
            <w:rStyle w:val="Hyperlink"/>
            <w:rFonts w:ascii="Arial" w:eastAsia="Calibri" w:hAnsi="Arial" w:cs="Arial"/>
            <w:kern w:val="2"/>
            <w:sz w:val="20"/>
            <w:szCs w:val="20"/>
            <w14:ligatures w14:val="standardContextual"/>
          </w:rPr>
          <w:t xml:space="preserve">Gap </w:t>
        </w:r>
        <w:r w:rsidR="009F1F82" w:rsidRPr="00B01F9E">
          <w:rPr>
            <w:rStyle w:val="Hyperlink"/>
            <w:rFonts w:ascii="Arial" w:eastAsia="Calibri" w:hAnsi="Arial" w:cs="Arial"/>
            <w:kern w:val="2"/>
            <w:sz w:val="20"/>
            <w:szCs w:val="20"/>
            <w14:ligatures w14:val="standardContextual"/>
          </w:rPr>
          <w:t>3</w:t>
        </w:r>
        <w:r w:rsidR="00B62EFC" w:rsidRPr="00B01F9E">
          <w:rPr>
            <w:rStyle w:val="Hyperlink"/>
            <w:rFonts w:ascii="Arial" w:eastAsia="Calibri" w:hAnsi="Arial" w:cs="Arial"/>
            <w:kern w:val="2"/>
            <w:sz w:val="20"/>
            <w:szCs w:val="20"/>
            <w14:ligatures w14:val="standardContextual"/>
          </w:rPr>
          <w:t>.7</w:t>
        </w:r>
        <w:bookmarkStart w:id="220" w:name="_Hlt175769304"/>
        <w:r w:rsidR="00B62EFC" w:rsidRPr="00B01F9E">
          <w:rPr>
            <w:rStyle w:val="Hyperlink"/>
            <w:rFonts w:ascii="Arial" w:eastAsia="Calibri" w:hAnsi="Arial" w:cs="Arial"/>
            <w:kern w:val="2"/>
            <w:sz w:val="20"/>
            <w:szCs w:val="20"/>
            <w14:ligatures w14:val="standardContextual"/>
          </w:rPr>
          <w:t>.</w:t>
        </w:r>
        <w:bookmarkEnd w:id="220"/>
        <w:r w:rsidR="00B62EFC" w:rsidRPr="00B01F9E">
          <w:rPr>
            <w:rStyle w:val="Hyperlink"/>
            <w:rFonts w:ascii="Arial" w:eastAsia="Calibri" w:hAnsi="Arial" w:cs="Arial"/>
            <w:kern w:val="2"/>
            <w:sz w:val="20"/>
            <w:szCs w:val="20"/>
            <w14:ligatures w14:val="standardContextual"/>
          </w:rPr>
          <w:t>5.1</w:t>
        </w:r>
      </w:hyperlink>
      <w:r w:rsidRPr="00B01F9E">
        <w:rPr>
          <w:rFonts w:ascii="Arial" w:eastAsia="Calibri" w:hAnsi="Arial" w:cs="Arial"/>
          <w:kern w:val="2"/>
          <w:sz w:val="20"/>
          <w:szCs w:val="20"/>
          <w14:ligatures w14:val="standardContextual"/>
        </w:rPr>
        <w:t>).</w:t>
      </w:r>
    </w:p>
    <w:p w14:paraId="32129B0A" w14:textId="77777777" w:rsidR="004C1CD3" w:rsidRPr="00B01F9E" w:rsidRDefault="004C1CD3" w:rsidP="004C1CD3">
      <w:pPr>
        <w:spacing w:after="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0ED2A4A7"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The local descriptions were mapped to the correct SNOMED CT code where possible in the interface table. While the local description did not match the SNOMED CT description, it accurately reflected what was physically tested and matched the simulated LIDR.</w:t>
      </w:r>
    </w:p>
    <w:p w14:paraId="4203623A" w14:textId="2045865C"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Long-term solution: During the SHIELD LIDR committee discussions, the committee determined that specimen source, specimen type, and specimen collection should be based on the SNOMED CT concepts associated with the substance that is physically tested. The committee suggested that the specimen type must be a “specimen” concept, the specimen source must be a “substance” or “body structure” concept, and the specimen collection must be a “procedure” concept. While Epic has category lists for each, they are not based on SNOMED CT, leaving the terms for specimen type and specimen source to end user interpretation. </w:t>
      </w:r>
    </w:p>
    <w:p w14:paraId="16DC1075" w14:textId="77777777" w:rsidR="004C1CD3" w:rsidRPr="00B01F9E" w:rsidRDefault="004C1CD3" w:rsidP="004C1CD3">
      <w:pPr>
        <w:spacing w:before="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Reaching agreement on these terms poses a challenge and most organizations have not considered using SNOMED CT as the basis for this decision when developing these locally defined lists. Multiple disciplines, such as laboratory, surgery, and ambulatory procedural areas utilize these category lists and customize them to their own needs and agreements with other users. Most organizations’ locally defined lists were decided upon during their initial Epic implementation and so it is difficult to make further changes to these lists after the system has gone live. </w:t>
      </w:r>
    </w:p>
    <w:p w14:paraId="137013A0" w14:textId="77777777" w:rsidR="004C1CD3" w:rsidRPr="00B01F9E" w:rsidRDefault="004C1CD3" w:rsidP="004C1CD3">
      <w:pPr>
        <w:spacing w:before="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shd w:val="clear" w:color="auto" w:fill="FFFFFF"/>
          <w14:ligatures w14:val="standardContextual"/>
        </w:rPr>
        <w:t>It is recommended that the LIS/EHR vendor prepopulates and maintains these lists with appropriate SNOMED CT codes,</w:t>
      </w:r>
      <w:r w:rsidRPr="00B01F9E" w:rsidDel="001A3A0C">
        <w:rPr>
          <w:rFonts w:ascii="Arial" w:eastAsia="Calibri" w:hAnsi="Arial" w:cs="Arial"/>
          <w:kern w:val="2"/>
          <w:sz w:val="20"/>
          <w:szCs w:val="20"/>
          <w:shd w:val="clear" w:color="auto" w:fill="FFFFFF"/>
          <w14:ligatures w14:val="standardContextual"/>
        </w:rPr>
        <w:t xml:space="preserve"> </w:t>
      </w:r>
      <w:r w:rsidRPr="00B01F9E">
        <w:rPr>
          <w:rFonts w:ascii="Arial" w:eastAsia="Calibri" w:hAnsi="Arial" w:cs="Arial"/>
          <w:kern w:val="2"/>
          <w:sz w:val="20"/>
          <w:szCs w:val="20"/>
          <w:shd w:val="clear" w:color="auto" w:fill="FFFFFF"/>
          <w14:ligatures w14:val="standardContextual"/>
        </w:rPr>
        <w:t xml:space="preserve">establishing them as the only available choices in the procedure definitions. This approach would standardize the interpretation of these categories. For example, the category list for specimen type would only include the descriptions from SNOMED CT codes that are specimen concepts. Specimen source category lists would only </w:t>
      </w:r>
      <w:r w:rsidRPr="00B01F9E">
        <w:rPr>
          <w:rFonts w:ascii="Arial" w:eastAsia="Calibri" w:hAnsi="Arial" w:cs="Arial"/>
          <w:kern w:val="2"/>
          <w:sz w:val="20"/>
          <w:szCs w:val="20"/>
          <w:shd w:val="clear" w:color="auto" w:fill="FFFFFF"/>
          <w14:ligatures w14:val="standardContextual"/>
        </w:rPr>
        <w:lastRenderedPageBreak/>
        <w:t>include the descriptions from SNOMED CT codes that are substance or body structure concepts, and specimen collection category lists would only include the descriptions from SNOMED CT codes that are procedure concepts. As organizations adopt this approach from the LIS vendor and identify necessary additions, SNOMED CT balloting could occur to address missing concepts. </w:t>
      </w:r>
      <w:bookmarkStart w:id="221" w:name="_Int_G8IzoMgc"/>
      <w:r w:rsidRPr="00B01F9E">
        <w:rPr>
          <w:rFonts w:ascii="Arial" w:eastAsia="Calibri" w:hAnsi="Arial" w:cs="Arial"/>
          <w:kern w:val="2"/>
          <w:sz w:val="20"/>
          <w:szCs w:val="20"/>
          <w:shd w:val="clear" w:color="auto" w:fill="FFFFFF"/>
          <w14:ligatures w14:val="standardContextual"/>
        </w:rPr>
        <w:t xml:space="preserve">Local lists could still be used to select the necessary specimen requirements for testing </w:t>
      </w:r>
      <w:proofErr w:type="gramStart"/>
      <w:r w:rsidRPr="00B01F9E">
        <w:rPr>
          <w:rFonts w:ascii="Arial" w:eastAsia="Calibri" w:hAnsi="Arial" w:cs="Arial"/>
          <w:kern w:val="2"/>
          <w:sz w:val="20"/>
          <w:szCs w:val="20"/>
          <w:shd w:val="clear" w:color="auto" w:fill="FFFFFF"/>
          <w14:ligatures w14:val="standardContextual"/>
        </w:rPr>
        <w:t>as long as</w:t>
      </w:r>
      <w:proofErr w:type="gramEnd"/>
      <w:r w:rsidRPr="00B01F9E">
        <w:rPr>
          <w:rFonts w:ascii="Arial" w:eastAsia="Calibri" w:hAnsi="Arial" w:cs="Arial"/>
          <w:kern w:val="2"/>
          <w:sz w:val="20"/>
          <w:szCs w:val="20"/>
          <w:shd w:val="clear" w:color="auto" w:fill="FFFFFF"/>
          <w14:ligatures w14:val="standardContextual"/>
        </w:rPr>
        <w:t xml:space="preserve"> the SNOMED CT concepts can be applied to each term when defining the tests in the LIS/EHR.</w:t>
      </w:r>
      <w:bookmarkEnd w:id="221"/>
    </w:p>
    <w:p w14:paraId="4DADA0AA" w14:textId="57282AB1" w:rsidR="004C1CD3" w:rsidRPr="00B01F9E" w:rsidRDefault="009F1F82" w:rsidP="00A72136">
      <w:pPr>
        <w:pStyle w:val="Heading4"/>
        <w:ind w:left="450" w:hanging="450"/>
        <w:rPr>
          <w:rFonts w:ascii="Arial" w:eastAsia="Yu Gothic Light" w:hAnsi="Arial" w:cs="Arial"/>
          <w:b/>
          <w:color w:val="4BACC6"/>
          <w:kern w:val="2"/>
          <w:sz w:val="20"/>
          <w:szCs w:val="20"/>
          <w14:ligatures w14:val="standardContextual"/>
        </w:rPr>
      </w:pPr>
      <w:bookmarkStart w:id="222" w:name="_Device_and_kit"/>
      <w:bookmarkStart w:id="223" w:name="Gap_9_9"/>
      <w:bookmarkEnd w:id="222"/>
      <w:r w:rsidRPr="00B01F9E">
        <w:rPr>
          <w:rStyle w:val="Heading4Char"/>
          <w:rFonts w:ascii="Arial" w:hAnsi="Arial" w:cs="Arial"/>
          <w:b/>
          <w:bCs/>
          <w:color w:val="auto"/>
          <w:sz w:val="20"/>
          <w:szCs w:val="20"/>
        </w:rPr>
        <w:t>3</w:t>
      </w:r>
      <w:r w:rsidR="00A72136" w:rsidRPr="00B01F9E">
        <w:rPr>
          <w:rStyle w:val="Heading4Char"/>
          <w:rFonts w:ascii="Arial" w:hAnsi="Arial" w:cs="Arial"/>
          <w:b/>
          <w:bCs/>
          <w:color w:val="auto"/>
          <w:sz w:val="20"/>
          <w:szCs w:val="20"/>
        </w:rPr>
        <w:t xml:space="preserve">.7.2.2 </w:t>
      </w:r>
      <w:hyperlink w:anchor="Gap_9" w:history="1">
        <w:r w:rsidR="004C1CD3" w:rsidRPr="00B01F9E">
          <w:rPr>
            <w:rStyle w:val="Hyperlink"/>
            <w:rFonts w:ascii="Arial" w:eastAsia="Yu Gothic Light" w:hAnsi="Arial" w:cs="Arial"/>
            <w:b/>
            <w:i w:val="0"/>
            <w:iCs w:val="0"/>
            <w:color w:val="auto"/>
            <w:kern w:val="2"/>
            <w:sz w:val="20"/>
            <w:szCs w:val="20"/>
            <w:u w:val="none"/>
            <w14:ligatures w14:val="standardContextual"/>
          </w:rPr>
          <w:t>Devic</w:t>
        </w:r>
        <w:bookmarkStart w:id="224" w:name="_Hlt175730271"/>
        <w:r w:rsidR="004C1CD3" w:rsidRPr="00B01F9E">
          <w:rPr>
            <w:rStyle w:val="Hyperlink"/>
            <w:rFonts w:ascii="Arial" w:eastAsia="Yu Gothic Light" w:hAnsi="Arial" w:cs="Arial"/>
            <w:b/>
            <w:i w:val="0"/>
            <w:iCs w:val="0"/>
            <w:color w:val="auto"/>
            <w:kern w:val="2"/>
            <w:sz w:val="20"/>
            <w:szCs w:val="20"/>
            <w:u w:val="none"/>
            <w14:ligatures w14:val="standardContextual"/>
          </w:rPr>
          <w:t>e</w:t>
        </w:r>
        <w:bookmarkEnd w:id="224"/>
        <w:r w:rsidR="004C1CD3" w:rsidRPr="00B01F9E">
          <w:rPr>
            <w:rStyle w:val="Hyperlink"/>
            <w:rFonts w:ascii="Arial" w:eastAsia="Yu Gothic Light" w:hAnsi="Arial" w:cs="Arial"/>
            <w:b/>
            <w:i w:val="0"/>
            <w:iCs w:val="0"/>
            <w:color w:val="auto"/>
            <w:kern w:val="2"/>
            <w:sz w:val="20"/>
            <w:szCs w:val="20"/>
            <w:u w:val="none"/>
            <w14:ligatures w14:val="standardContextual"/>
          </w:rPr>
          <w:t xml:space="preserve"> a</w:t>
        </w:r>
        <w:bookmarkStart w:id="225" w:name="_Hlt175765709"/>
        <w:r w:rsidR="004C1CD3" w:rsidRPr="00B01F9E">
          <w:rPr>
            <w:rStyle w:val="Hyperlink"/>
            <w:rFonts w:ascii="Arial" w:eastAsia="Yu Gothic Light" w:hAnsi="Arial" w:cs="Arial"/>
            <w:b/>
            <w:i w:val="0"/>
            <w:iCs w:val="0"/>
            <w:color w:val="auto"/>
            <w:kern w:val="2"/>
            <w:sz w:val="20"/>
            <w:szCs w:val="20"/>
            <w:u w:val="none"/>
            <w14:ligatures w14:val="standardContextual"/>
          </w:rPr>
          <w:t>n</w:t>
        </w:r>
        <w:bookmarkEnd w:id="225"/>
        <w:r w:rsidR="004C1CD3" w:rsidRPr="00B01F9E">
          <w:rPr>
            <w:rStyle w:val="Hyperlink"/>
            <w:rFonts w:ascii="Arial" w:eastAsia="Yu Gothic Light" w:hAnsi="Arial" w:cs="Arial"/>
            <w:b/>
            <w:i w:val="0"/>
            <w:iCs w:val="0"/>
            <w:color w:val="auto"/>
            <w:kern w:val="2"/>
            <w:sz w:val="20"/>
            <w:szCs w:val="20"/>
            <w:u w:val="none"/>
            <w14:ligatures w14:val="standardContextual"/>
          </w:rPr>
          <w:t>d kit UDIs could not be encoded in standardized formats:</w:t>
        </w:r>
      </w:hyperlink>
      <w:bookmarkEnd w:id="223"/>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 xml:space="preserve">The standardized </w:t>
      </w:r>
      <w:r w:rsidR="004C1CD3" w:rsidRPr="00B01F9E" w:rsidDel="003C16C8">
        <w:rPr>
          <w:rStyle w:val="Heading4Char"/>
          <w:rFonts w:ascii="Arial" w:hAnsi="Arial" w:cs="Arial"/>
          <w:color w:val="auto"/>
          <w:sz w:val="20"/>
          <w:szCs w:val="20"/>
        </w:rPr>
        <w:t xml:space="preserve">UDI </w:t>
      </w:r>
      <w:r w:rsidR="004C1CD3" w:rsidRPr="00B01F9E">
        <w:rPr>
          <w:rStyle w:val="Heading4Char"/>
          <w:rFonts w:ascii="Arial" w:hAnsi="Arial" w:cs="Arial"/>
          <w:color w:val="auto"/>
          <w:sz w:val="20"/>
          <w:szCs w:val="20"/>
        </w:rPr>
        <w:t>format consists of two components. The DI is the first component which indicates the manufacturer and the model/version of a device. It is a required component and is considered the static portion of the UDI, meaning it is the same for all instances of the product model/version. The second component is the PI which identifies one or more variable characteristics. The PI is considered the dynamic portion of the UDI</w:t>
      </w:r>
      <w:bookmarkStart w:id="226" w:name="_Ref175732582"/>
      <w:r w:rsidR="00921E92" w:rsidRPr="00B01F9E">
        <w:rPr>
          <w:rStyle w:val="Heading4Char"/>
          <w:rFonts w:ascii="Arial" w:hAnsi="Arial" w:cs="Arial"/>
          <w:color w:val="auto"/>
          <w:sz w:val="20"/>
          <w:szCs w:val="20"/>
          <w:vertAlign w:val="superscript"/>
        </w:rPr>
        <w:t>5</w:t>
      </w:r>
      <w:bookmarkEnd w:id="226"/>
      <w:r w:rsidR="004C1CD3" w:rsidRPr="00B01F9E">
        <w:rPr>
          <w:rStyle w:val="Heading4Char"/>
          <w:rFonts w:ascii="Arial" w:hAnsi="Arial" w:cs="Arial"/>
          <w:color w:val="auto"/>
          <w:sz w:val="20"/>
          <w:szCs w:val="20"/>
        </w:rPr>
        <w:t xml:space="preserve">. When combined, the two components form the UDI. The DI always comes first, followed by the PI (Figure </w:t>
      </w:r>
      <w:r w:rsidR="00F71485" w:rsidRPr="00B01F9E">
        <w:rPr>
          <w:rStyle w:val="Heading4Char"/>
          <w:rFonts w:ascii="Arial" w:hAnsi="Arial" w:cs="Arial"/>
          <w:color w:val="auto"/>
          <w:sz w:val="20"/>
          <w:szCs w:val="20"/>
        </w:rPr>
        <w:t>2</w:t>
      </w:r>
      <w:r w:rsidR="00103892" w:rsidRPr="00B01F9E">
        <w:rPr>
          <w:rStyle w:val="Heading4Char"/>
          <w:rFonts w:ascii="Arial" w:hAnsi="Arial" w:cs="Arial"/>
          <w:color w:val="auto"/>
          <w:sz w:val="20"/>
          <w:szCs w:val="20"/>
        </w:rPr>
        <w:t>1</w:t>
      </w:r>
      <w:r w:rsidR="004C1CD3" w:rsidRPr="00B01F9E">
        <w:rPr>
          <w:rStyle w:val="Heading4Char"/>
          <w:rFonts w:ascii="Arial" w:hAnsi="Arial" w:cs="Arial"/>
          <w:color w:val="auto"/>
          <w:sz w:val="20"/>
          <w:szCs w:val="20"/>
        </w:rPr>
        <w:t xml:space="preserve">). </w:t>
      </w:r>
    </w:p>
    <w:p w14:paraId="18F974CC" w14:textId="4A42ABC4" w:rsidR="004C1CD3" w:rsidRPr="00B01F9E" w:rsidRDefault="004C1CD3" w:rsidP="0062500E">
      <w:pPr>
        <w:spacing w:before="120" w:after="0"/>
        <w:ind w:left="432"/>
        <w:rPr>
          <w:rFonts w:ascii="Arial" w:eastAsia="Calibri" w:hAnsi="Arial" w:cs="Arial"/>
          <w:b/>
          <w:bCs/>
          <w:color w:val="009BBF"/>
          <w:kern w:val="2"/>
          <w:sz w:val="20"/>
          <w:szCs w:val="20"/>
          <w14:ligatures w14:val="standardContextual"/>
        </w:rPr>
      </w:pPr>
      <w:r w:rsidRPr="00B01F9E">
        <w:rPr>
          <w:rFonts w:ascii="Arial" w:eastAsia="Calibri" w:hAnsi="Arial" w:cs="Arial"/>
          <w:b/>
          <w:bCs/>
          <w:color w:val="009BBF"/>
          <w:kern w:val="2"/>
          <w:sz w:val="20"/>
          <w:szCs w:val="20"/>
          <w14:ligatures w14:val="standardContextual"/>
        </w:rPr>
        <w:t xml:space="preserve">Figure </w:t>
      </w:r>
      <w:r w:rsidR="00F71485" w:rsidRPr="00B01F9E">
        <w:rPr>
          <w:rFonts w:ascii="Arial" w:eastAsia="Calibri" w:hAnsi="Arial" w:cs="Arial"/>
          <w:b/>
          <w:bCs/>
          <w:color w:val="009BBF"/>
          <w:kern w:val="2"/>
          <w:sz w:val="20"/>
          <w:szCs w:val="20"/>
          <w14:ligatures w14:val="standardContextual"/>
        </w:rPr>
        <w:t>2</w:t>
      </w:r>
      <w:r w:rsidR="00103892" w:rsidRPr="00B01F9E">
        <w:rPr>
          <w:rFonts w:ascii="Arial" w:eastAsia="Calibri" w:hAnsi="Arial" w:cs="Arial"/>
          <w:b/>
          <w:bCs/>
          <w:color w:val="009BBF"/>
          <w:kern w:val="2"/>
          <w:sz w:val="20"/>
          <w:szCs w:val="20"/>
          <w14:ligatures w14:val="standardContextual"/>
        </w:rPr>
        <w:t>1</w:t>
      </w:r>
      <w:r w:rsidRPr="00B01F9E">
        <w:rPr>
          <w:rFonts w:ascii="Arial" w:eastAsia="Calibri" w:hAnsi="Arial" w:cs="Arial"/>
          <w:b/>
          <w:bCs/>
          <w:color w:val="009BBF"/>
          <w:kern w:val="2"/>
          <w:sz w:val="20"/>
          <w:szCs w:val="20"/>
          <w14:ligatures w14:val="standardContextual"/>
        </w:rPr>
        <w:t>: UDI Description and Example</w:t>
      </w:r>
    </w:p>
    <w:p w14:paraId="35028430" w14:textId="668AB4D7" w:rsidR="004C1CD3" w:rsidRPr="00B01F9E" w:rsidRDefault="0062500E" w:rsidP="0062500E">
      <w:pPr>
        <w:spacing w:after="120"/>
        <w:ind w:left="432"/>
        <w:rPr>
          <w:rFonts w:ascii="Arial" w:eastAsia="Calibri" w:hAnsi="Arial" w:cs="Arial"/>
          <w:b/>
          <w:bCs/>
          <w:color w:val="009BBF"/>
          <w:kern w:val="2"/>
          <w:sz w:val="20"/>
          <w:szCs w:val="20"/>
          <w14:ligatures w14:val="standardContextual"/>
        </w:rPr>
      </w:pPr>
      <w:r w:rsidRPr="00B01F9E">
        <w:rPr>
          <w:rFonts w:ascii="Arial" w:eastAsia="Calibri" w:hAnsi="Arial" w:cs="Arial"/>
          <w:b/>
          <w:bCs/>
          <w:noProof/>
          <w:color w:val="009BBF"/>
          <w:kern w:val="2"/>
          <w:sz w:val="20"/>
          <w:szCs w:val="20"/>
        </w:rPr>
        <w:drawing>
          <wp:inline distT="0" distB="0" distL="0" distR="0" wp14:anchorId="264019BF" wp14:editId="46254249">
            <wp:extent cx="5153025" cy="3086100"/>
            <wp:effectExtent l="0" t="0" r="9525" b="0"/>
            <wp:docPr id="1220162464"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62464" name="Graphic 1220162464"/>
                    <pic:cNvPicPr/>
                  </pic:nvPicPr>
                  <pic:blipFill>
                    <a:blip r:embed="rId65">
                      <a:extLst>
                        <a:ext uri="{96DAC541-7B7A-43D3-8B79-37D633B846F1}">
                          <asvg:svgBlip xmlns:asvg="http://schemas.microsoft.com/office/drawing/2016/SVG/main" r:embed="rId66"/>
                        </a:ext>
                      </a:extLst>
                    </a:blip>
                    <a:stretch>
                      <a:fillRect/>
                    </a:stretch>
                  </pic:blipFill>
                  <pic:spPr>
                    <a:xfrm>
                      <a:off x="0" y="0"/>
                      <a:ext cx="5153025" cy="3086100"/>
                    </a:xfrm>
                    <a:prstGeom prst="rect">
                      <a:avLst/>
                    </a:prstGeom>
                  </pic:spPr>
                </pic:pic>
              </a:graphicData>
            </a:graphic>
          </wp:inline>
        </w:drawing>
      </w:r>
      <w:r w:rsidR="00921E92" w:rsidRPr="00B01F9E">
        <w:rPr>
          <w:rFonts w:ascii="Arial" w:eastAsia="Calibri" w:hAnsi="Arial" w:cs="Arial"/>
          <w:kern w:val="2"/>
          <w:sz w:val="20"/>
          <w:szCs w:val="20"/>
          <w:vertAlign w:val="superscript"/>
          <w14:ligatures w14:val="standardContextual"/>
        </w:rPr>
        <w:t>5</w:t>
      </w:r>
    </w:p>
    <w:p w14:paraId="735DC949" w14:textId="77777777" w:rsidR="00546376" w:rsidRPr="00B01F9E" w:rsidRDefault="004C1CD3" w:rsidP="004C1CD3">
      <w:pPr>
        <w:spacing w:before="120" w:after="120"/>
        <w:ind w:left="432"/>
        <w:rPr>
          <w:rFonts w:ascii="Arial" w:eastAsia="Calibri" w:hAnsi="Arial" w:cs="Arial"/>
          <w:kern w:val="2"/>
          <w:sz w:val="20"/>
          <w:szCs w:val="20"/>
          <w14:ligatures w14:val="standardContextual"/>
        </w:rPr>
        <w:sectPr w:rsidR="00546376" w:rsidRPr="00B01F9E" w:rsidSect="00C5319E">
          <w:pgSz w:w="12240" w:h="15840"/>
          <w:pgMar w:top="1440" w:right="1440" w:bottom="1440" w:left="1440" w:header="0" w:footer="720" w:gutter="0"/>
          <w:cols w:space="720"/>
          <w:docGrid w:linePitch="360"/>
        </w:sectPr>
      </w:pPr>
      <w:r w:rsidRPr="00B01F9E">
        <w:rPr>
          <w:rFonts w:ascii="Arial" w:eastAsia="Calibri" w:hAnsi="Arial" w:cs="Arial"/>
          <w:kern w:val="2"/>
          <w:sz w:val="20"/>
          <w:szCs w:val="20"/>
          <w14:ligatures w14:val="standardContextual"/>
        </w:rPr>
        <w:t xml:space="preserve">Producing and defining the UDI presented various challenges in the POC. Access to serial number or production information for some methods was prohibitive. Consequently, it was decided to not utilize the production information for the kit UDIs. Another challenge was a character limit of 50 spaces and limitations on using certain alphanumeric characters when entering the UDIs in the LIS. If formatted according to standard guidelines, many of the UDIs used in the simulated LIDR would exceed 50 characters. </w:t>
      </w:r>
    </w:p>
    <w:p w14:paraId="632BB383" w14:textId="77777777" w:rsidR="004C1CD3" w:rsidRPr="00B01F9E" w:rsidRDefault="004C1CD3" w:rsidP="004C1CD3">
      <w:pPr>
        <w:spacing w:before="120" w:after="120"/>
        <w:ind w:left="432"/>
        <w:rPr>
          <w:rFonts w:ascii="Arial" w:eastAsia="Calibri" w:hAnsi="Arial" w:cs="Arial"/>
          <w:b/>
          <w:kern w:val="2"/>
          <w:sz w:val="20"/>
          <w:szCs w:val="20"/>
          <w14:ligatures w14:val="standardContextual"/>
        </w:rPr>
      </w:pPr>
      <w:r w:rsidRPr="00B01F9E">
        <w:rPr>
          <w:rFonts w:ascii="Arial" w:eastAsia="Calibri" w:hAnsi="Arial" w:cs="Arial"/>
          <w:b/>
          <w:bCs/>
          <w:kern w:val="2"/>
          <w:sz w:val="20"/>
          <w:szCs w:val="20"/>
          <w14:ligatures w14:val="standardContextual"/>
        </w:rPr>
        <w:lastRenderedPageBreak/>
        <w:t>Resolutions:</w:t>
      </w:r>
    </w:p>
    <w:p w14:paraId="1E928428"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Nonstandard formatting of UDIs was utilized when the character limits or alphanumeric restrictions could not be accommodated in the LIS.</w:t>
      </w:r>
    </w:p>
    <w:p w14:paraId="75E4A4A8"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LIS vendors should provide a solution for capturing device and kit UDIs in standardized format and applying them to the result message when sent through an interface.</w:t>
      </w:r>
    </w:p>
    <w:p w14:paraId="5F8DAEBA" w14:textId="5CD6C1CB" w:rsidR="004C1CD3" w:rsidRPr="00B01F9E" w:rsidRDefault="009F1F82" w:rsidP="0089193F">
      <w:pPr>
        <w:pStyle w:val="Heading4"/>
        <w:ind w:left="450" w:hanging="450"/>
        <w:rPr>
          <w:rStyle w:val="Heading4Char"/>
          <w:rFonts w:ascii="Arial" w:hAnsi="Arial" w:cs="Arial"/>
          <w:b/>
          <w:color w:val="auto"/>
          <w:sz w:val="20"/>
          <w:szCs w:val="20"/>
        </w:rPr>
      </w:pPr>
      <w:bookmarkStart w:id="227" w:name="_UDIs_for_devices"/>
      <w:bookmarkStart w:id="228" w:name="Gap_10_10"/>
      <w:bookmarkEnd w:id="227"/>
      <w:r w:rsidRPr="00B01F9E">
        <w:rPr>
          <w:rStyle w:val="Heading4Char"/>
          <w:rFonts w:ascii="Arial" w:hAnsi="Arial" w:cs="Arial"/>
          <w:b/>
          <w:bCs/>
          <w:color w:val="auto"/>
          <w:sz w:val="20"/>
          <w:szCs w:val="20"/>
        </w:rPr>
        <w:t>3</w:t>
      </w:r>
      <w:r w:rsidR="0089193F" w:rsidRPr="00B01F9E">
        <w:rPr>
          <w:rStyle w:val="Heading4Char"/>
          <w:rFonts w:ascii="Arial" w:hAnsi="Arial" w:cs="Arial"/>
          <w:b/>
          <w:bCs/>
          <w:color w:val="auto"/>
          <w:sz w:val="20"/>
          <w:szCs w:val="20"/>
        </w:rPr>
        <w:t>.7.2.3</w:t>
      </w:r>
      <w:r w:rsidR="0089193F" w:rsidRPr="00B01F9E">
        <w:rPr>
          <w:rStyle w:val="Heading4Char"/>
          <w:rFonts w:ascii="Arial" w:hAnsi="Arial" w:cs="Arial"/>
          <w:b/>
          <w:color w:val="auto"/>
          <w:sz w:val="20"/>
          <w:szCs w:val="20"/>
        </w:rPr>
        <w:t xml:space="preserve"> </w:t>
      </w:r>
      <w:hyperlink w:anchor="Gap_10" w:history="1">
        <w:r w:rsidR="004C1CD3" w:rsidRPr="00B01F9E">
          <w:rPr>
            <w:rStyle w:val="Hyperlink"/>
            <w:rFonts w:ascii="Arial" w:eastAsia="Yu Gothic Light" w:hAnsi="Arial" w:cs="Arial"/>
            <w:b/>
            <w:i w:val="0"/>
            <w:iCs w:val="0"/>
            <w:color w:val="auto"/>
            <w:kern w:val="2"/>
            <w:sz w:val="20"/>
            <w:szCs w:val="20"/>
            <w:u w:val="none"/>
            <w14:ligatures w14:val="standardContextual"/>
          </w:rPr>
          <w:t>Challe</w:t>
        </w:r>
        <w:bookmarkStart w:id="229" w:name="_Hlt175730268"/>
        <w:r w:rsidR="004C1CD3" w:rsidRPr="00B01F9E">
          <w:rPr>
            <w:rStyle w:val="Hyperlink"/>
            <w:rFonts w:ascii="Arial" w:eastAsia="Yu Gothic Light" w:hAnsi="Arial" w:cs="Arial"/>
            <w:b/>
            <w:i w:val="0"/>
            <w:iCs w:val="0"/>
            <w:color w:val="auto"/>
            <w:kern w:val="2"/>
            <w:sz w:val="20"/>
            <w:szCs w:val="20"/>
            <w:u w:val="none"/>
            <w14:ligatures w14:val="standardContextual"/>
          </w:rPr>
          <w:t>n</w:t>
        </w:r>
        <w:bookmarkEnd w:id="229"/>
        <w:r w:rsidR="004C1CD3" w:rsidRPr="00B01F9E">
          <w:rPr>
            <w:rStyle w:val="Hyperlink"/>
            <w:rFonts w:ascii="Arial" w:eastAsia="Yu Gothic Light" w:hAnsi="Arial" w:cs="Arial"/>
            <w:b/>
            <w:i w:val="0"/>
            <w:iCs w:val="0"/>
            <w:color w:val="auto"/>
            <w:kern w:val="2"/>
            <w:sz w:val="20"/>
            <w:szCs w:val="20"/>
            <w:u w:val="none"/>
            <w14:ligatures w14:val="standardContextual"/>
          </w:rPr>
          <w:t>ge</w:t>
        </w:r>
        <w:bookmarkStart w:id="230" w:name="_Hlt175765713"/>
        <w:r w:rsidR="004C1CD3" w:rsidRPr="00B01F9E">
          <w:rPr>
            <w:rStyle w:val="Hyperlink"/>
            <w:rFonts w:ascii="Arial" w:eastAsia="Yu Gothic Light" w:hAnsi="Arial" w:cs="Arial"/>
            <w:b/>
            <w:i w:val="0"/>
            <w:iCs w:val="0"/>
            <w:color w:val="auto"/>
            <w:kern w:val="2"/>
            <w:sz w:val="20"/>
            <w:szCs w:val="20"/>
            <w:u w:val="none"/>
            <w14:ligatures w14:val="standardContextual"/>
          </w:rPr>
          <w:t xml:space="preserve"> </w:t>
        </w:r>
        <w:bookmarkEnd w:id="230"/>
        <w:r w:rsidR="004C1CD3" w:rsidRPr="00B01F9E">
          <w:rPr>
            <w:rStyle w:val="Hyperlink"/>
            <w:rFonts w:ascii="Arial" w:eastAsia="Yu Gothic Light" w:hAnsi="Arial" w:cs="Arial"/>
            <w:b/>
            <w:i w:val="0"/>
            <w:iCs w:val="0"/>
            <w:color w:val="auto"/>
            <w:kern w:val="2"/>
            <w:sz w:val="20"/>
            <w:szCs w:val="20"/>
            <w:u w:val="none"/>
            <w14:ligatures w14:val="standardContextual"/>
          </w:rPr>
          <w:t>with UDIs for devices with multiple components:</w:t>
        </w:r>
      </w:hyperlink>
      <w:bookmarkEnd w:id="228"/>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As previously mentioned, the character limit and use of alphanumeric characters impacts the encoding of devices with multiple components, as it is possible for an instrument to contain multiple analytic modules or make use of different kits, each with their own UDI</w:t>
      </w:r>
      <w:r w:rsidR="00AB70A5" w:rsidRPr="00B01F9E">
        <w:rPr>
          <w:rStyle w:val="Heading4Char"/>
          <w:rFonts w:ascii="Arial" w:hAnsi="Arial" w:cs="Arial"/>
          <w:color w:val="auto"/>
          <w:sz w:val="20"/>
          <w:szCs w:val="20"/>
        </w:rPr>
        <w:t>.</w:t>
      </w:r>
    </w:p>
    <w:p w14:paraId="5974EC69" w14:textId="77777777" w:rsidR="004C1CD3" w:rsidRPr="00B01F9E" w:rsidRDefault="004C1CD3" w:rsidP="004C1CD3">
      <w:pPr>
        <w:spacing w:before="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The method to encode the UDI for the device and the kit in Beaker is not recommended by Epic, but it functions when sending the UDI via an HL7 message. Epic is aware of this workaround, as it was used during the COVID-19 pandemic for reporting test results to state public health departments. Epic does not endorse this workaround as they agree that it is not scalable and recognize the need for a long-term solution. While the POC team was able to create a workaround for transmitting UDIs, a truly comprehensive solution will require technical development from Epic and other LIS vendors.</w:t>
      </w:r>
    </w:p>
    <w:p w14:paraId="759E65FD" w14:textId="2602E909" w:rsidR="004C1CD3" w:rsidRPr="00B01F9E" w:rsidRDefault="004C1CD3" w:rsidP="004C1CD3">
      <w:pPr>
        <w:spacing w:before="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The interim solution (Figure </w:t>
      </w:r>
      <w:r w:rsidR="00F71485" w:rsidRPr="00B01F9E">
        <w:rPr>
          <w:rFonts w:ascii="Arial" w:eastAsia="Calibri" w:hAnsi="Arial" w:cs="Arial"/>
          <w:kern w:val="2"/>
          <w:sz w:val="20"/>
          <w:szCs w:val="20"/>
          <w14:ligatures w14:val="standardContextual"/>
        </w:rPr>
        <w:t>2</w:t>
      </w:r>
      <w:r w:rsidR="00103892" w:rsidRPr="00B01F9E">
        <w:rPr>
          <w:rFonts w:ascii="Arial" w:eastAsia="Calibri" w:hAnsi="Arial" w:cs="Arial"/>
          <w:kern w:val="2"/>
          <w:sz w:val="20"/>
          <w:szCs w:val="20"/>
          <w14:ligatures w14:val="standardContextual"/>
        </w:rPr>
        <w:t>2</w:t>
      </w:r>
      <w:r w:rsidRPr="00B01F9E">
        <w:rPr>
          <w:rFonts w:ascii="Arial" w:eastAsia="Calibri" w:hAnsi="Arial" w:cs="Arial"/>
          <w:kern w:val="2"/>
          <w:sz w:val="20"/>
          <w:szCs w:val="20"/>
          <w14:ligatures w14:val="standardContextual"/>
        </w:rPr>
        <w:t xml:space="preserve">) for the POC links the single method to device and test kit identity types. Identity types are records within Epic used for mapping identifiers (such as UDIs) that may be used by an external system and that link the identifier to the interface for transmission. The UDIs are stored as Master Patient Index identifiers (MPI IDs) for the Epic method record. </w:t>
      </w:r>
    </w:p>
    <w:p w14:paraId="58BB7FB0" w14:textId="77777777" w:rsidR="004C1CD3" w:rsidRPr="00B01F9E" w:rsidRDefault="004C1CD3" w:rsidP="004C1CD3">
      <w:pPr>
        <w:spacing w:before="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This interim solution is limited because the UDI mappings are associated with the system method definition, which is often a simplified or overarching method, rather than the more granular methods used to produce individual reportable tests. In Beaker, a single method is defined for each analytical system, which includes the analyzer (sometimes composed of multiple analytic modules) and its associated reagent systems. </w:t>
      </w:r>
    </w:p>
    <w:p w14:paraId="74B60295" w14:textId="77777777" w:rsidR="00871B29" w:rsidRPr="00B01F9E" w:rsidRDefault="00871B29">
      <w:pPr>
        <w:rPr>
          <w:rFonts w:ascii="Arial" w:eastAsia="Calibri" w:hAnsi="Arial" w:cs="Arial"/>
          <w:b/>
          <w:bCs/>
          <w:color w:val="009BBF"/>
          <w:kern w:val="2"/>
          <w:sz w:val="20"/>
          <w:szCs w:val="20"/>
          <w14:ligatures w14:val="standardContextual"/>
        </w:rPr>
      </w:pPr>
      <w:r w:rsidRPr="00B01F9E">
        <w:rPr>
          <w:rFonts w:ascii="Arial" w:eastAsia="Calibri" w:hAnsi="Arial" w:cs="Arial"/>
          <w:b/>
          <w:bCs/>
          <w:color w:val="009BBF"/>
          <w:kern w:val="2"/>
          <w:sz w:val="20"/>
          <w:szCs w:val="20"/>
          <w14:ligatures w14:val="standardContextual"/>
        </w:rPr>
        <w:br w:type="page"/>
      </w:r>
    </w:p>
    <w:p w14:paraId="2C1E689E" w14:textId="018C8FE8" w:rsidR="004C1CD3" w:rsidRPr="00B01F9E" w:rsidRDefault="004C1CD3" w:rsidP="006E661C">
      <w:pPr>
        <w:spacing w:before="120" w:after="0"/>
        <w:ind w:left="432"/>
        <w:rPr>
          <w:rFonts w:ascii="Arial" w:eastAsia="Calibri" w:hAnsi="Arial" w:cs="Arial"/>
          <w:b/>
          <w:color w:val="009BBF"/>
          <w:kern w:val="2"/>
          <w:sz w:val="20"/>
          <w:szCs w:val="20"/>
          <w14:ligatures w14:val="standardContextual"/>
        </w:rPr>
      </w:pPr>
      <w:r w:rsidRPr="00B01F9E">
        <w:rPr>
          <w:rFonts w:ascii="Arial" w:eastAsia="Calibri" w:hAnsi="Arial" w:cs="Arial"/>
          <w:b/>
          <w:bCs/>
          <w:color w:val="009BBF"/>
          <w:kern w:val="2"/>
          <w:sz w:val="20"/>
          <w:szCs w:val="20"/>
          <w14:ligatures w14:val="standardContextual"/>
        </w:rPr>
        <w:lastRenderedPageBreak/>
        <w:t xml:space="preserve">Figure </w:t>
      </w:r>
      <w:r w:rsidR="00F71485" w:rsidRPr="00B01F9E">
        <w:rPr>
          <w:rFonts w:ascii="Arial" w:eastAsia="Calibri" w:hAnsi="Arial" w:cs="Arial"/>
          <w:b/>
          <w:bCs/>
          <w:color w:val="009BBF"/>
          <w:kern w:val="2"/>
          <w:sz w:val="20"/>
          <w:szCs w:val="20"/>
          <w14:ligatures w14:val="standardContextual"/>
        </w:rPr>
        <w:t>2</w:t>
      </w:r>
      <w:r w:rsidR="00103892" w:rsidRPr="00B01F9E">
        <w:rPr>
          <w:rFonts w:ascii="Arial" w:eastAsia="Calibri" w:hAnsi="Arial" w:cs="Arial"/>
          <w:b/>
          <w:bCs/>
          <w:color w:val="009BBF"/>
          <w:kern w:val="2"/>
          <w:sz w:val="20"/>
          <w:szCs w:val="20"/>
          <w14:ligatures w14:val="standardContextual"/>
        </w:rPr>
        <w:t>2</w:t>
      </w:r>
      <w:r w:rsidRPr="00B01F9E">
        <w:rPr>
          <w:rFonts w:ascii="Arial" w:eastAsia="Calibri" w:hAnsi="Arial" w:cs="Arial"/>
          <w:b/>
          <w:bCs/>
          <w:color w:val="009BBF"/>
          <w:kern w:val="2"/>
          <w:sz w:val="20"/>
          <w:szCs w:val="20"/>
          <w14:ligatures w14:val="standardContextual"/>
        </w:rPr>
        <w:t xml:space="preserve">: Mapping and </w:t>
      </w:r>
      <w:proofErr w:type="gramStart"/>
      <w:r w:rsidR="00792B40" w:rsidRPr="00B01F9E">
        <w:rPr>
          <w:rFonts w:ascii="Arial" w:eastAsia="Calibri" w:hAnsi="Arial" w:cs="Arial"/>
          <w:b/>
          <w:bCs/>
          <w:color w:val="009BBF"/>
          <w:kern w:val="2"/>
          <w:sz w:val="20"/>
          <w:szCs w:val="20"/>
          <w14:ligatures w14:val="standardContextual"/>
        </w:rPr>
        <w:t>T</w:t>
      </w:r>
      <w:r w:rsidRPr="00B01F9E">
        <w:rPr>
          <w:rFonts w:ascii="Arial" w:eastAsia="Calibri" w:hAnsi="Arial" w:cs="Arial"/>
          <w:b/>
          <w:bCs/>
          <w:color w:val="009BBF"/>
          <w:kern w:val="2"/>
          <w:sz w:val="20"/>
          <w:szCs w:val="20"/>
          <w14:ligatures w14:val="standardContextual"/>
        </w:rPr>
        <w:t>ransmitting</w:t>
      </w:r>
      <w:proofErr w:type="gramEnd"/>
      <w:r w:rsidRPr="00B01F9E">
        <w:rPr>
          <w:rFonts w:ascii="Arial" w:eastAsia="Calibri" w:hAnsi="Arial" w:cs="Arial"/>
          <w:b/>
          <w:bCs/>
          <w:color w:val="009BBF"/>
          <w:kern w:val="2"/>
          <w:sz w:val="20"/>
          <w:szCs w:val="20"/>
          <w14:ligatures w14:val="standardContextual"/>
        </w:rPr>
        <w:t xml:space="preserve"> the UDI in Beaker</w:t>
      </w:r>
    </w:p>
    <w:p w14:paraId="25A03B89" w14:textId="77777777" w:rsidR="004C1CD3" w:rsidRPr="00B01F9E" w:rsidRDefault="004C1CD3" w:rsidP="006E661C">
      <w:pPr>
        <w:spacing w:after="120"/>
        <w:ind w:left="432"/>
        <w:rPr>
          <w:rFonts w:ascii="Arial" w:eastAsia="Calibri" w:hAnsi="Arial" w:cs="Arial"/>
          <w:b/>
          <w:bCs/>
          <w:kern w:val="2"/>
          <w:sz w:val="20"/>
          <w:szCs w:val="20"/>
          <w14:ligatures w14:val="standardContextual"/>
        </w:rPr>
      </w:pPr>
      <w:r w:rsidRPr="00B01F9E">
        <w:rPr>
          <w:rFonts w:ascii="Arial" w:eastAsia="Calibri" w:hAnsi="Arial" w:cs="Arial"/>
          <w:b/>
          <w:bCs/>
          <w:noProof/>
          <w:kern w:val="2"/>
          <w:sz w:val="20"/>
          <w:szCs w:val="20"/>
          <w14:ligatures w14:val="standardContextual"/>
        </w:rPr>
        <w:drawing>
          <wp:inline distT="0" distB="0" distL="0" distR="0" wp14:anchorId="1724B09F" wp14:editId="75987F07">
            <wp:extent cx="5667590" cy="2784143"/>
            <wp:effectExtent l="0" t="0" r="0" b="0"/>
            <wp:docPr id="854900273"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00273" name="Graphic 854900273"/>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5684048" cy="2792228"/>
                    </a:xfrm>
                    <a:prstGeom prst="rect">
                      <a:avLst/>
                    </a:prstGeom>
                  </pic:spPr>
                </pic:pic>
              </a:graphicData>
            </a:graphic>
          </wp:inline>
        </w:drawing>
      </w:r>
    </w:p>
    <w:p w14:paraId="0F18AAD9"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For example</w:t>
      </w:r>
      <w:r w:rsidRPr="00B01F9E" w:rsidDel="0018659F">
        <w:rPr>
          <w:rFonts w:ascii="Arial" w:eastAsia="Calibri" w:hAnsi="Arial" w:cs="Arial"/>
          <w:kern w:val="2"/>
          <w:sz w:val="20"/>
          <w:szCs w:val="20"/>
          <w14:ligatures w14:val="standardContextual"/>
        </w:rPr>
        <w:t xml:space="preserve">, </w:t>
      </w:r>
      <w:r w:rsidRPr="00B01F9E">
        <w:rPr>
          <w:rFonts w:ascii="Arial" w:eastAsia="Calibri" w:hAnsi="Arial" w:cs="Arial"/>
          <w:kern w:val="2"/>
          <w:sz w:val="20"/>
          <w:szCs w:val="20"/>
          <w14:ligatures w14:val="standardContextual"/>
        </w:rPr>
        <w:t xml:space="preserve">the Beckman Coulter Iris™ is used for performing the comprehensive urinalysis at Duke. It has two analytic modules: the </w:t>
      </w:r>
      <w:proofErr w:type="spellStart"/>
      <w:r w:rsidRPr="00B01F9E">
        <w:rPr>
          <w:rFonts w:ascii="Arial" w:eastAsia="Calibri" w:hAnsi="Arial" w:cs="Arial"/>
          <w:kern w:val="2"/>
          <w:sz w:val="20"/>
          <w:szCs w:val="20"/>
          <w14:ligatures w14:val="standardContextual"/>
        </w:rPr>
        <w:t>DxU</w:t>
      </w:r>
      <w:proofErr w:type="spellEnd"/>
      <w:r w:rsidRPr="00B01F9E">
        <w:rPr>
          <w:rFonts w:ascii="Arial" w:eastAsia="Calibri" w:hAnsi="Arial" w:cs="Arial"/>
          <w:kern w:val="2"/>
          <w:sz w:val="20"/>
          <w:szCs w:val="20"/>
          <w14:ligatures w14:val="standardContextual"/>
        </w:rPr>
        <w:t xml:space="preserve"> </w:t>
      </w:r>
      <w:bookmarkStart w:id="231" w:name="_Int_nJZDY4an"/>
      <w:r w:rsidRPr="00B01F9E">
        <w:rPr>
          <w:rFonts w:ascii="Arial" w:eastAsia="Calibri" w:hAnsi="Arial" w:cs="Arial"/>
          <w:kern w:val="2"/>
          <w:sz w:val="20"/>
          <w:szCs w:val="20"/>
          <w14:ligatures w14:val="standardContextual"/>
        </w:rPr>
        <w:t>840m</w:t>
      </w:r>
      <w:bookmarkEnd w:id="231"/>
      <w:r w:rsidRPr="00B01F9E">
        <w:rPr>
          <w:rFonts w:ascii="Arial" w:eastAsia="Calibri" w:hAnsi="Arial" w:cs="Arial"/>
          <w:kern w:val="2"/>
          <w:sz w:val="20"/>
          <w:szCs w:val="20"/>
          <w14:ligatures w14:val="standardContextual"/>
        </w:rPr>
        <w:t xml:space="preserve"> Iris™ (chemistry analysis) and the </w:t>
      </w:r>
      <w:proofErr w:type="spellStart"/>
      <w:r w:rsidRPr="00B01F9E">
        <w:rPr>
          <w:rFonts w:ascii="Arial" w:eastAsia="Calibri" w:hAnsi="Arial" w:cs="Arial"/>
          <w:kern w:val="2"/>
          <w:sz w:val="20"/>
          <w:szCs w:val="20"/>
          <w14:ligatures w14:val="standardContextual"/>
        </w:rPr>
        <w:t>Aution</w:t>
      </w:r>
      <w:proofErr w:type="spellEnd"/>
      <w:r w:rsidRPr="00B01F9E">
        <w:rPr>
          <w:rFonts w:ascii="Arial" w:eastAsia="Calibri" w:hAnsi="Arial" w:cs="Arial"/>
          <w:kern w:val="2"/>
          <w:sz w:val="20"/>
          <w:szCs w:val="20"/>
          <w14:ligatures w14:val="standardContextual"/>
        </w:rPr>
        <w:t xml:space="preserve"> Max AX4030™ (microscopic analysis). Each analytic module has its own method, each also has a distinct UDI registered with the GUDID. However, the method recorded in the LIS for performing the urinalysis is a single method, the Beckman Coulter Iris™. The LIS system currently lacks functionality to accommodate more than one method for a singular panel. </w:t>
      </w:r>
    </w:p>
    <w:p w14:paraId="405F0386"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To address this in the POC, a method was defined for each analytic module and mapped to the individual device UDI. The challenge was to ensure that the correct method is selected when entering the results in the LIS. Because the test in this case was a singular panel, which is a procedure that can be ordered and encompasses multiple reportable tests and results, it typically requires one session for result entry by a laboratory technologist. Introducing a secondary method necessitated an additional result entry session specifically for the microscopic aspect of the test, requiring selection of its distinct method. Using an automated result entry method such as an instrument interface middleware may help to address this challenge in the future.</w:t>
      </w:r>
    </w:p>
    <w:p w14:paraId="18170A77"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Another short-term</w:t>
      </w:r>
      <w:r w:rsidRPr="00B01F9E" w:rsidDel="00CE0721">
        <w:rPr>
          <w:rFonts w:ascii="Arial" w:eastAsia="Calibri" w:hAnsi="Arial" w:cs="Arial"/>
          <w:kern w:val="2"/>
          <w:sz w:val="20"/>
          <w:szCs w:val="20"/>
          <w14:ligatures w14:val="standardContextual"/>
        </w:rPr>
        <w:t xml:space="preserve"> </w:t>
      </w:r>
      <w:r w:rsidRPr="00B01F9E">
        <w:rPr>
          <w:rFonts w:ascii="Arial" w:eastAsia="Calibri" w:hAnsi="Arial" w:cs="Arial"/>
          <w:kern w:val="2"/>
          <w:sz w:val="20"/>
          <w:szCs w:val="20"/>
          <w14:ligatures w14:val="standardContextual"/>
        </w:rPr>
        <w:t xml:space="preserve">workaround that was considered was to combine the two UDIs into a single string, but this would not have conformed to the standard UDI format. To follow the UDI guidelines for this use case, the team selected the first option for the POC. A long-term solution would be for the instrument vendor to provide a single UDI for the entire system. </w:t>
      </w:r>
    </w:p>
    <w:p w14:paraId="46F94874"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 the case of multiple reagent components constituting a single method within Beaker, the team modified the kit UDIs to accommodate character limits by abbreviating some of the UDIs. For example, the BMP ran on a multichannel analyzer that could perform each of the test components but utilized unique kits to acquire each test result. There were four reagent kits utilized: a glucose reagent, an ion selective electrode (ISE) electrolyte reference, a creatinine reagent, and a BUN reagent. </w:t>
      </w:r>
    </w:p>
    <w:p w14:paraId="645D6015"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lastRenderedPageBreak/>
        <w:t>A challenge arose because the kit UDI was linked to the method record rather than to the individual result components within the LIS. Consequently, with only one method record available, it was not possible to associate each individual kit with the specific analyte to which it pertained.</w:t>
      </w:r>
    </w:p>
    <w:p w14:paraId="6D3BEC94" w14:textId="12B4EDEC"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To capture the UDIs of all the reagent kits for the BMP, the team would need to string together each of the kit DI segments. This would result in a UDI of 15099590202491/15099590233501/15099590233525/15099590233082. However, slashes were not permitted and in this case the character length exceeded 50. The chosen solution was to concatenate this string of information as the first nine characters were the same for each kit. The resultant UDI used was (150995902)-02491-33501-33525-33082. While this is not standard format, the goal was to ensure that a kit UDI could be transmitted electronically in the design developed for this use case. This is an issue that will need to be addressed for future usability as it impacts both the LIDR encoding and the integration of this content into the LIS.</w:t>
      </w:r>
    </w:p>
    <w:p w14:paraId="2EEFD9A3"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427CFD09"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Utilize a workaround in which two unique identity types are developed for mapping the device UDI and the kit UDI. This approach requires modifications to </w:t>
      </w:r>
      <w:bookmarkStart w:id="232" w:name="_Int_mEgdoP07"/>
      <w:r w:rsidRPr="00B01F9E">
        <w:rPr>
          <w:rFonts w:ascii="Arial" w:eastAsia="Calibri" w:hAnsi="Arial" w:cs="Arial"/>
          <w:kern w:val="2"/>
          <w:sz w:val="20"/>
          <w:szCs w:val="20"/>
          <w14:ligatures w14:val="standardContextual"/>
        </w:rPr>
        <w:t>result</w:t>
      </w:r>
      <w:bookmarkEnd w:id="232"/>
      <w:r w:rsidRPr="00B01F9E">
        <w:rPr>
          <w:rFonts w:ascii="Arial" w:eastAsia="Calibri" w:hAnsi="Arial" w:cs="Arial"/>
          <w:kern w:val="2"/>
          <w:sz w:val="20"/>
          <w:szCs w:val="20"/>
          <w14:ligatures w14:val="standardContextual"/>
        </w:rPr>
        <w:t xml:space="preserve"> entry functionality and the use of nonstandard UDIs.</w:t>
      </w:r>
    </w:p>
    <w:p w14:paraId="50040C4C"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Long-term solution: IVD vendors could develop single UDIs for devices and kits with multiple components while retaining the ability to select the more granular UDIs for specific components, as needed. Additionally, the LIS and instrument middleware vendors could improve or define a means to capture the UDIs at the component and system levels. </w:t>
      </w:r>
    </w:p>
    <w:p w14:paraId="4658AB22" w14:textId="355E61AC" w:rsidR="004C1CD3" w:rsidRPr="00B01F9E" w:rsidRDefault="009F1F82" w:rsidP="0089193F">
      <w:pPr>
        <w:pStyle w:val="Heading4"/>
        <w:ind w:left="450" w:hanging="450"/>
        <w:rPr>
          <w:rStyle w:val="Heading4Char"/>
          <w:rFonts w:ascii="Arial" w:hAnsi="Arial" w:cs="Arial"/>
          <w:color w:val="auto"/>
          <w:sz w:val="20"/>
          <w:szCs w:val="20"/>
        </w:rPr>
      </w:pPr>
      <w:bookmarkStart w:id="233" w:name="_Data_from_custom"/>
      <w:bookmarkStart w:id="234" w:name="Gap_11_11"/>
      <w:bookmarkEnd w:id="233"/>
      <w:r w:rsidRPr="00B01F9E">
        <w:rPr>
          <w:rStyle w:val="Heading4Char"/>
          <w:rFonts w:ascii="Arial" w:hAnsi="Arial" w:cs="Arial"/>
          <w:b/>
          <w:color w:val="auto"/>
          <w:sz w:val="20"/>
          <w:szCs w:val="20"/>
        </w:rPr>
        <w:t>3</w:t>
      </w:r>
      <w:r w:rsidR="0089193F" w:rsidRPr="00B01F9E">
        <w:rPr>
          <w:rStyle w:val="Heading4Char"/>
          <w:rFonts w:ascii="Arial" w:hAnsi="Arial" w:cs="Arial"/>
          <w:b/>
          <w:color w:val="auto"/>
          <w:sz w:val="20"/>
          <w:szCs w:val="20"/>
        </w:rPr>
        <w:t xml:space="preserve">.7.2.4 </w:t>
      </w:r>
      <w:hyperlink w:anchor="Gap_11" w:history="1">
        <w:r w:rsidR="004C1CD3" w:rsidRPr="00B01F9E">
          <w:rPr>
            <w:rStyle w:val="Hyperlink"/>
            <w:rFonts w:ascii="Arial" w:eastAsia="Yu Gothic Light" w:hAnsi="Arial" w:cs="Arial"/>
            <w:b/>
            <w:i w:val="0"/>
            <w:iCs w:val="0"/>
            <w:color w:val="auto"/>
            <w:kern w:val="2"/>
            <w:sz w:val="20"/>
            <w:szCs w:val="20"/>
            <w:u w:val="none"/>
            <w14:ligatures w14:val="standardContextual"/>
          </w:rPr>
          <w:t>Data for cus</w:t>
        </w:r>
        <w:bookmarkStart w:id="235" w:name="_Hlt175765717"/>
        <w:r w:rsidR="004C1CD3" w:rsidRPr="00B01F9E">
          <w:rPr>
            <w:rStyle w:val="Hyperlink"/>
            <w:rFonts w:ascii="Arial" w:eastAsia="Yu Gothic Light" w:hAnsi="Arial" w:cs="Arial"/>
            <w:b/>
            <w:i w:val="0"/>
            <w:iCs w:val="0"/>
            <w:color w:val="auto"/>
            <w:kern w:val="2"/>
            <w:sz w:val="20"/>
            <w:szCs w:val="20"/>
            <w:u w:val="none"/>
            <w14:ligatures w14:val="standardContextual"/>
          </w:rPr>
          <w:t>t</w:t>
        </w:r>
        <w:bookmarkEnd w:id="235"/>
        <w:r w:rsidR="004C1CD3" w:rsidRPr="00B01F9E">
          <w:rPr>
            <w:rStyle w:val="Hyperlink"/>
            <w:rFonts w:ascii="Arial" w:eastAsia="Yu Gothic Light" w:hAnsi="Arial" w:cs="Arial"/>
            <w:b/>
            <w:i w:val="0"/>
            <w:iCs w:val="0"/>
            <w:color w:val="auto"/>
            <w:kern w:val="2"/>
            <w:sz w:val="20"/>
            <w:szCs w:val="20"/>
            <w:u w:val="none"/>
            <w14:ligatures w14:val="standardContextual"/>
          </w:rPr>
          <w:t>om fi</w:t>
        </w:r>
        <w:bookmarkStart w:id="236" w:name="_Hlt175730265"/>
        <w:r w:rsidR="004C1CD3" w:rsidRPr="00B01F9E">
          <w:rPr>
            <w:rStyle w:val="Hyperlink"/>
            <w:rFonts w:ascii="Arial" w:eastAsia="Yu Gothic Light" w:hAnsi="Arial" w:cs="Arial"/>
            <w:b/>
            <w:i w:val="0"/>
            <w:iCs w:val="0"/>
            <w:color w:val="auto"/>
            <w:kern w:val="2"/>
            <w:sz w:val="20"/>
            <w:szCs w:val="20"/>
            <w:u w:val="none"/>
            <w14:ligatures w14:val="standardContextual"/>
          </w:rPr>
          <w:t>e</w:t>
        </w:r>
        <w:bookmarkEnd w:id="236"/>
        <w:r w:rsidR="004C1CD3" w:rsidRPr="00B01F9E">
          <w:rPr>
            <w:rStyle w:val="Hyperlink"/>
            <w:rFonts w:ascii="Arial" w:eastAsia="Yu Gothic Light" w:hAnsi="Arial" w:cs="Arial"/>
            <w:b/>
            <w:i w:val="0"/>
            <w:iCs w:val="0"/>
            <w:color w:val="auto"/>
            <w:kern w:val="2"/>
            <w:sz w:val="20"/>
            <w:szCs w:val="20"/>
            <w:u w:val="none"/>
            <w14:ligatures w14:val="standardContextual"/>
          </w:rPr>
          <w:t>lds was stored in fields intended for other use cases:</w:t>
        </w:r>
      </w:hyperlink>
      <w:r w:rsidR="004C1CD3" w:rsidRPr="00B01F9E">
        <w:rPr>
          <w:rStyle w:val="Heading4Char"/>
          <w:rFonts w:ascii="Arial" w:hAnsi="Arial" w:cs="Arial"/>
          <w:b/>
          <w:color w:val="auto"/>
          <w:sz w:val="20"/>
          <w:szCs w:val="20"/>
        </w:rPr>
        <w:t xml:space="preserve"> </w:t>
      </w:r>
      <w:bookmarkEnd w:id="234"/>
      <w:r w:rsidR="004C1CD3" w:rsidRPr="00B01F9E">
        <w:rPr>
          <w:rStyle w:val="Heading4Char"/>
          <w:rFonts w:ascii="Arial" w:hAnsi="Arial" w:cs="Arial"/>
          <w:color w:val="auto"/>
          <w:sz w:val="20"/>
          <w:szCs w:val="20"/>
        </w:rPr>
        <w:t xml:space="preserve">When creating a submitter record for a quality organization, certain custom fields are required. The CAP required the following custom fields - CAP Number, Specimen ID, Kit ID. </w:t>
      </w:r>
    </w:p>
    <w:p w14:paraId="52AA03ED" w14:textId="77777777" w:rsidR="004C1CD3" w:rsidRPr="00B01F9E" w:rsidRDefault="004C1CD3" w:rsidP="004C1CD3">
      <w:pPr>
        <w:spacing w:before="120" w:after="120"/>
        <w:ind w:left="432"/>
        <w:rPr>
          <w:rFonts w:ascii="Arial" w:eastAsia="Yu Gothic Light" w:hAnsi="Arial" w:cs="Arial"/>
          <w:kern w:val="2"/>
          <w:sz w:val="20"/>
          <w:szCs w:val="20"/>
          <w14:ligatures w14:val="standardContextual"/>
        </w:rPr>
      </w:pPr>
      <w:r w:rsidRPr="00B01F9E">
        <w:rPr>
          <w:rFonts w:ascii="Arial" w:eastAsia="Yu Gothic Light" w:hAnsi="Arial" w:cs="Arial"/>
          <w:kern w:val="2"/>
          <w:sz w:val="20"/>
          <w:szCs w:val="20"/>
          <w14:ligatures w14:val="standardContextual"/>
        </w:rPr>
        <w:t>However, when these custom fields were implemented in Epic, they did not have a one-to-one match. As a result, analysts were forced to repurpose existing database fields that were originally intended for other uses.</w:t>
      </w:r>
    </w:p>
    <w:p w14:paraId="5F658D5D" w14:textId="77777777" w:rsidR="004C1CD3" w:rsidRPr="00B01F9E" w:rsidRDefault="004C1CD3" w:rsidP="004C1CD3">
      <w:pPr>
        <w:spacing w:before="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For the implementation at Duke, the fields selected to contain the CAP custom fields were as follows:</w:t>
      </w:r>
    </w:p>
    <w:p w14:paraId="55ED02B3" w14:textId="77777777" w:rsidR="004C1CD3" w:rsidRPr="00B01F9E" w:rsidRDefault="004C1CD3" w:rsidP="00210505">
      <w:pPr>
        <w:numPr>
          <w:ilvl w:val="0"/>
          <w:numId w:val="87"/>
        </w:numPr>
        <w:spacing w:before="120"/>
        <w:ind w:left="1008"/>
        <w:contextualSpacing/>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CAP Number – utilized “Purchase Order Number”</w:t>
      </w:r>
    </w:p>
    <w:p w14:paraId="008D65AC" w14:textId="77777777" w:rsidR="004C1CD3" w:rsidRPr="00B01F9E" w:rsidRDefault="004C1CD3" w:rsidP="00210505">
      <w:pPr>
        <w:numPr>
          <w:ilvl w:val="0"/>
          <w:numId w:val="87"/>
        </w:numPr>
        <w:spacing w:before="120"/>
        <w:ind w:left="1008"/>
        <w:contextualSpacing/>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CAP Specimen ID – utilized “Interval Number”</w:t>
      </w:r>
    </w:p>
    <w:p w14:paraId="4B822664" w14:textId="77777777" w:rsidR="004C1CD3" w:rsidRPr="00B01F9E" w:rsidRDefault="004C1CD3" w:rsidP="00210505">
      <w:pPr>
        <w:numPr>
          <w:ilvl w:val="0"/>
          <w:numId w:val="87"/>
        </w:numPr>
        <w:spacing w:before="120"/>
        <w:ind w:left="1008"/>
        <w:contextualSpacing/>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CAP Kit ID – utilized “Study Number – Free Text”</w:t>
      </w:r>
    </w:p>
    <w:p w14:paraId="5B0798EE" w14:textId="7A981142" w:rsidR="004C1CD3" w:rsidRPr="00B01F9E" w:rsidRDefault="004C1CD3" w:rsidP="004C1CD3">
      <w:pPr>
        <w:spacing w:before="120"/>
        <w:ind w:left="432"/>
        <w:rPr>
          <w:rFonts w:ascii="Arial" w:eastAsia="Yu Gothic Light" w:hAnsi="Arial" w:cs="Arial"/>
          <w:bCs/>
          <w:kern w:val="2"/>
          <w:sz w:val="20"/>
          <w:szCs w:val="20"/>
          <w14:ligatures w14:val="standardContextual"/>
        </w:rPr>
      </w:pPr>
      <w:r w:rsidRPr="00B01F9E">
        <w:rPr>
          <w:rFonts w:ascii="Arial" w:eastAsia="Yu Gothic Light" w:hAnsi="Arial" w:cs="Arial"/>
          <w:bCs/>
          <w:kern w:val="2"/>
          <w:sz w:val="20"/>
          <w:szCs w:val="20"/>
          <w14:ligatures w14:val="standardContextual"/>
        </w:rPr>
        <w:t>The system allowed for the modification of how the field name was displayed at the data entry point, however, the data w</w:t>
      </w:r>
      <w:r w:rsidR="00862CFF" w:rsidRPr="00B01F9E">
        <w:rPr>
          <w:rFonts w:ascii="Arial" w:eastAsia="Yu Gothic Light" w:hAnsi="Arial" w:cs="Arial"/>
          <w:bCs/>
          <w:kern w:val="2"/>
          <w:sz w:val="20"/>
          <w:szCs w:val="20"/>
          <w14:ligatures w14:val="standardContextual"/>
        </w:rPr>
        <w:t>ere</w:t>
      </w:r>
      <w:r w:rsidRPr="00B01F9E">
        <w:rPr>
          <w:rFonts w:ascii="Arial" w:eastAsia="Yu Gothic Light" w:hAnsi="Arial" w:cs="Arial"/>
          <w:bCs/>
          <w:kern w:val="2"/>
          <w:sz w:val="20"/>
          <w:szCs w:val="20"/>
          <w14:ligatures w14:val="standardContextual"/>
        </w:rPr>
        <w:t xml:space="preserve"> still in a misnamed field. This discrepancy could have downstream impacts, particularly if Epic were to create and distribute a standard LIDR Test Compendium Report. The custom fields of each organization may lead to different database fields, resulting in inconsistencies and potential errors in the report. </w:t>
      </w:r>
    </w:p>
    <w:p w14:paraId="4D82B628"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kern w:val="2"/>
          <w:sz w:val="20"/>
          <w:szCs w:val="20"/>
          <w14:ligatures w14:val="standardContextual"/>
        </w:rPr>
        <w:t>Resolutions:</w:t>
      </w:r>
    </w:p>
    <w:p w14:paraId="2A92F240"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No interim solution was able to be identified or implemented. </w:t>
      </w:r>
    </w:p>
    <w:p w14:paraId="6264534B"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lastRenderedPageBreak/>
        <w:t>Long-term solution: Epic would need to create and modify the hard coded lists that are utilized for creating custom fields to include Quality Organization Number, Specimen ID, and Kit ID. Epic would provide a standard LIDR Test Compendium Report pointing to the fields above.</w:t>
      </w:r>
    </w:p>
    <w:p w14:paraId="3DDC607A" w14:textId="5A7E0D28" w:rsidR="004C1CD3" w:rsidRPr="00B01F9E" w:rsidRDefault="009F1F82" w:rsidP="00FB088B">
      <w:pPr>
        <w:pStyle w:val="Heading3"/>
        <w:spacing w:before="0" w:after="120"/>
        <w:rPr>
          <w:rFonts w:ascii="Arial" w:eastAsia="Yu Gothic Light" w:hAnsi="Arial" w:cs="Arial"/>
          <w:b/>
          <w:bCs/>
          <w:i/>
          <w:iCs/>
          <w:color w:val="009BBF"/>
          <w:kern w:val="2"/>
          <w:sz w:val="20"/>
          <w:szCs w:val="20"/>
          <w14:ligatures w14:val="standardContextual"/>
        </w:rPr>
      </w:pPr>
      <w:bookmarkStart w:id="237" w:name="_Ref174620432"/>
      <w:bookmarkStart w:id="238" w:name="_Toc177136995"/>
      <w:r w:rsidRPr="00B01F9E">
        <w:rPr>
          <w:rFonts w:ascii="Arial" w:eastAsia="Yu Gothic Light" w:hAnsi="Arial" w:cs="Arial"/>
          <w:b/>
          <w:i/>
          <w:iCs/>
          <w:color w:val="009BBF"/>
          <w:kern w:val="2"/>
          <w:sz w:val="20"/>
          <w:szCs w:val="20"/>
          <w14:ligatures w14:val="standardContextual"/>
        </w:rPr>
        <w:t xml:space="preserve">3.7.3 </w:t>
      </w:r>
      <w:r w:rsidR="00E30060" w:rsidRPr="00B01F9E">
        <w:rPr>
          <w:rFonts w:ascii="Arial" w:eastAsia="Yu Gothic Light" w:hAnsi="Arial" w:cs="Arial"/>
          <w:b/>
          <w:i/>
          <w:iCs/>
          <w:color w:val="009BBF"/>
          <w:kern w:val="2"/>
          <w:sz w:val="20"/>
          <w:szCs w:val="20"/>
          <w14:ligatures w14:val="standardContextual"/>
        </w:rPr>
        <w:t>Gaps Related to Entering Results</w:t>
      </w:r>
      <w:r w:rsidR="00E30060" w:rsidRPr="00B01F9E" w:rsidDel="00747EA6">
        <w:rPr>
          <w:rFonts w:ascii="Arial" w:eastAsia="Yu Gothic Light" w:hAnsi="Arial" w:cs="Arial"/>
          <w:b/>
          <w:bCs/>
          <w:i/>
          <w:iCs/>
          <w:color w:val="009BBF"/>
          <w:kern w:val="2"/>
          <w:sz w:val="20"/>
          <w:szCs w:val="20"/>
          <w14:ligatures w14:val="standardContextual"/>
        </w:rPr>
        <w:t xml:space="preserve"> </w:t>
      </w:r>
      <w:r w:rsidR="00E30060" w:rsidRPr="00B01F9E">
        <w:rPr>
          <w:rFonts w:ascii="Arial" w:eastAsia="Yu Gothic Light" w:hAnsi="Arial" w:cs="Arial"/>
          <w:b/>
          <w:bCs/>
          <w:i/>
          <w:iCs/>
          <w:color w:val="009BBF"/>
          <w:kern w:val="2"/>
          <w:sz w:val="20"/>
          <w:szCs w:val="20"/>
          <w14:ligatures w14:val="standardContextual"/>
        </w:rPr>
        <w:t>in Epic Beaker</w:t>
      </w:r>
      <w:bookmarkEnd w:id="237"/>
      <w:bookmarkEnd w:id="238"/>
    </w:p>
    <w:p w14:paraId="4A6E084E" w14:textId="51B3B80C" w:rsidR="004C1CD3" w:rsidRPr="00B01F9E" w:rsidRDefault="009F1F82" w:rsidP="00FB088B">
      <w:pPr>
        <w:pStyle w:val="Heading4"/>
        <w:spacing w:before="0"/>
        <w:ind w:left="450" w:hanging="450"/>
        <w:rPr>
          <w:rStyle w:val="Heading4Char"/>
          <w:rFonts w:ascii="Arial" w:hAnsi="Arial" w:cs="Arial"/>
          <w:b/>
          <w:color w:val="auto"/>
          <w:sz w:val="20"/>
          <w:szCs w:val="20"/>
        </w:rPr>
      </w:pPr>
      <w:bookmarkStart w:id="239" w:name="_Gram_stain_method"/>
      <w:bookmarkStart w:id="240" w:name="_Specimen_descriptor_challenge"/>
      <w:bookmarkStart w:id="241" w:name="Gap_12_12"/>
      <w:bookmarkEnd w:id="239"/>
      <w:bookmarkEnd w:id="240"/>
      <w:r w:rsidRPr="00B01F9E">
        <w:rPr>
          <w:rStyle w:val="Heading4Char"/>
          <w:rFonts w:ascii="Arial" w:hAnsi="Arial" w:cs="Arial"/>
          <w:b/>
          <w:bCs/>
          <w:color w:val="auto"/>
          <w:sz w:val="20"/>
          <w:szCs w:val="20"/>
        </w:rPr>
        <w:t>3</w:t>
      </w:r>
      <w:r w:rsidR="0037301B" w:rsidRPr="00B01F9E">
        <w:rPr>
          <w:rStyle w:val="Heading4Char"/>
          <w:rFonts w:ascii="Arial" w:hAnsi="Arial" w:cs="Arial"/>
          <w:b/>
          <w:bCs/>
          <w:color w:val="auto"/>
          <w:sz w:val="20"/>
          <w:szCs w:val="20"/>
        </w:rPr>
        <w:t xml:space="preserve">.7.3.1 </w:t>
      </w:r>
      <w:hyperlink w:anchor="Gap_12" w:history="1">
        <w:r w:rsidR="004C1CD3" w:rsidRPr="00B01F9E">
          <w:rPr>
            <w:rStyle w:val="Hyperlink"/>
            <w:rFonts w:ascii="Arial" w:eastAsia="Yu Gothic Light" w:hAnsi="Arial" w:cs="Arial"/>
            <w:b/>
            <w:i w:val="0"/>
            <w:iCs w:val="0"/>
            <w:color w:val="auto"/>
            <w:kern w:val="2"/>
            <w:sz w:val="20"/>
            <w:szCs w:val="20"/>
            <w:u w:val="none"/>
            <w14:ligatures w14:val="standardContextual"/>
          </w:rPr>
          <w:t>Spec</w:t>
        </w:r>
        <w:bookmarkStart w:id="242" w:name="_Hlt175731288"/>
        <w:r w:rsidR="004C1CD3" w:rsidRPr="00B01F9E">
          <w:rPr>
            <w:rStyle w:val="Hyperlink"/>
            <w:rFonts w:ascii="Arial" w:eastAsia="Yu Gothic Light" w:hAnsi="Arial" w:cs="Arial"/>
            <w:b/>
            <w:i w:val="0"/>
            <w:iCs w:val="0"/>
            <w:color w:val="auto"/>
            <w:kern w:val="2"/>
            <w:sz w:val="20"/>
            <w:szCs w:val="20"/>
            <w:u w:val="none"/>
            <w14:ligatures w14:val="standardContextual"/>
          </w:rPr>
          <w:t>i</w:t>
        </w:r>
        <w:bookmarkEnd w:id="242"/>
        <w:r w:rsidR="004C1CD3" w:rsidRPr="00B01F9E">
          <w:rPr>
            <w:rStyle w:val="Hyperlink"/>
            <w:rFonts w:ascii="Arial" w:eastAsia="Yu Gothic Light" w:hAnsi="Arial" w:cs="Arial"/>
            <w:b/>
            <w:i w:val="0"/>
            <w:iCs w:val="0"/>
            <w:color w:val="auto"/>
            <w:kern w:val="2"/>
            <w:sz w:val="20"/>
            <w:szCs w:val="20"/>
            <w:u w:val="none"/>
            <w14:ligatures w14:val="standardContextual"/>
          </w:rPr>
          <w:t>m</w:t>
        </w:r>
        <w:bookmarkStart w:id="243" w:name="_Hlt175765725"/>
        <w:r w:rsidR="004C1CD3" w:rsidRPr="00B01F9E">
          <w:rPr>
            <w:rStyle w:val="Hyperlink"/>
            <w:rFonts w:ascii="Arial" w:eastAsia="Yu Gothic Light" w:hAnsi="Arial" w:cs="Arial"/>
            <w:b/>
            <w:i w:val="0"/>
            <w:iCs w:val="0"/>
            <w:color w:val="auto"/>
            <w:kern w:val="2"/>
            <w:sz w:val="20"/>
            <w:szCs w:val="20"/>
            <w:u w:val="none"/>
            <w14:ligatures w14:val="standardContextual"/>
          </w:rPr>
          <w:t>e</w:t>
        </w:r>
        <w:bookmarkEnd w:id="243"/>
        <w:r w:rsidR="004C1CD3" w:rsidRPr="00B01F9E">
          <w:rPr>
            <w:rStyle w:val="Hyperlink"/>
            <w:rFonts w:ascii="Arial" w:eastAsia="Yu Gothic Light" w:hAnsi="Arial" w:cs="Arial"/>
            <w:b/>
            <w:i w:val="0"/>
            <w:iCs w:val="0"/>
            <w:color w:val="auto"/>
            <w:kern w:val="2"/>
            <w:sz w:val="20"/>
            <w:szCs w:val="20"/>
            <w:u w:val="none"/>
            <w14:ligatures w14:val="standardContextual"/>
          </w:rPr>
          <w:t>n de</w:t>
        </w:r>
        <w:bookmarkStart w:id="244" w:name="_Hlt175769191"/>
        <w:r w:rsidR="004C1CD3" w:rsidRPr="00B01F9E">
          <w:rPr>
            <w:rStyle w:val="Hyperlink"/>
            <w:rFonts w:ascii="Arial" w:eastAsia="Yu Gothic Light" w:hAnsi="Arial" w:cs="Arial"/>
            <w:b/>
            <w:i w:val="0"/>
            <w:iCs w:val="0"/>
            <w:color w:val="auto"/>
            <w:kern w:val="2"/>
            <w:sz w:val="20"/>
            <w:szCs w:val="20"/>
            <w:u w:val="none"/>
            <w14:ligatures w14:val="standardContextual"/>
          </w:rPr>
          <w:t>s</w:t>
        </w:r>
        <w:bookmarkEnd w:id="244"/>
        <w:r w:rsidR="004C1CD3" w:rsidRPr="00B01F9E">
          <w:rPr>
            <w:rStyle w:val="Hyperlink"/>
            <w:rFonts w:ascii="Arial" w:eastAsia="Yu Gothic Light" w:hAnsi="Arial" w:cs="Arial"/>
            <w:b/>
            <w:i w:val="0"/>
            <w:iCs w:val="0"/>
            <w:color w:val="auto"/>
            <w:kern w:val="2"/>
            <w:sz w:val="20"/>
            <w:szCs w:val="20"/>
            <w:u w:val="none"/>
            <w14:ligatures w14:val="standardContextual"/>
          </w:rPr>
          <w:t>cri</w:t>
        </w:r>
        <w:bookmarkStart w:id="245" w:name="_Hlt175765503"/>
        <w:r w:rsidR="004C1CD3" w:rsidRPr="00B01F9E">
          <w:rPr>
            <w:rStyle w:val="Hyperlink"/>
            <w:rFonts w:ascii="Arial" w:eastAsia="Yu Gothic Light" w:hAnsi="Arial" w:cs="Arial"/>
            <w:b/>
            <w:i w:val="0"/>
            <w:iCs w:val="0"/>
            <w:color w:val="auto"/>
            <w:kern w:val="2"/>
            <w:sz w:val="20"/>
            <w:szCs w:val="20"/>
            <w:u w:val="none"/>
            <w14:ligatures w14:val="standardContextual"/>
          </w:rPr>
          <w:t>p</w:t>
        </w:r>
        <w:bookmarkEnd w:id="245"/>
        <w:r w:rsidR="004C1CD3" w:rsidRPr="00B01F9E">
          <w:rPr>
            <w:rStyle w:val="Hyperlink"/>
            <w:rFonts w:ascii="Arial" w:eastAsia="Yu Gothic Light" w:hAnsi="Arial" w:cs="Arial"/>
            <w:b/>
            <w:i w:val="0"/>
            <w:iCs w:val="0"/>
            <w:color w:val="auto"/>
            <w:kern w:val="2"/>
            <w:sz w:val="20"/>
            <w:szCs w:val="20"/>
            <w:u w:val="none"/>
            <w14:ligatures w14:val="standardContextual"/>
          </w:rPr>
          <w:t>tions are a c</w:t>
        </w:r>
        <w:bookmarkStart w:id="246" w:name="_Hlt175730252"/>
        <w:r w:rsidR="004C1CD3" w:rsidRPr="00B01F9E">
          <w:rPr>
            <w:rStyle w:val="Hyperlink"/>
            <w:rFonts w:ascii="Arial" w:eastAsia="Yu Gothic Light" w:hAnsi="Arial" w:cs="Arial"/>
            <w:b/>
            <w:i w:val="0"/>
            <w:iCs w:val="0"/>
            <w:color w:val="auto"/>
            <w:kern w:val="2"/>
            <w:sz w:val="20"/>
            <w:szCs w:val="20"/>
            <w:u w:val="none"/>
            <w14:ligatures w14:val="standardContextual"/>
          </w:rPr>
          <w:t>h</w:t>
        </w:r>
        <w:bookmarkEnd w:id="246"/>
        <w:r w:rsidR="004C1CD3" w:rsidRPr="00B01F9E">
          <w:rPr>
            <w:rStyle w:val="Hyperlink"/>
            <w:rFonts w:ascii="Arial" w:eastAsia="Yu Gothic Light" w:hAnsi="Arial" w:cs="Arial"/>
            <w:b/>
            <w:i w:val="0"/>
            <w:iCs w:val="0"/>
            <w:color w:val="auto"/>
            <w:kern w:val="2"/>
            <w:sz w:val="20"/>
            <w:szCs w:val="20"/>
            <w:u w:val="none"/>
            <w14:ligatures w14:val="standardContextual"/>
          </w:rPr>
          <w:t>allenge for the blood c</w:t>
        </w:r>
        <w:bookmarkStart w:id="247" w:name="_Hlt175730735"/>
        <w:r w:rsidR="004C1CD3" w:rsidRPr="00B01F9E">
          <w:rPr>
            <w:rStyle w:val="Hyperlink"/>
            <w:rFonts w:ascii="Arial" w:eastAsia="Yu Gothic Light" w:hAnsi="Arial" w:cs="Arial"/>
            <w:b/>
            <w:i w:val="0"/>
            <w:iCs w:val="0"/>
            <w:color w:val="auto"/>
            <w:kern w:val="2"/>
            <w:sz w:val="20"/>
            <w:szCs w:val="20"/>
            <w:u w:val="none"/>
            <w14:ligatures w14:val="standardContextual"/>
          </w:rPr>
          <w:t>u</w:t>
        </w:r>
        <w:bookmarkEnd w:id="247"/>
        <w:r w:rsidR="004C1CD3" w:rsidRPr="00B01F9E">
          <w:rPr>
            <w:rStyle w:val="Hyperlink"/>
            <w:rFonts w:ascii="Arial" w:eastAsia="Yu Gothic Light" w:hAnsi="Arial" w:cs="Arial"/>
            <w:b/>
            <w:i w:val="0"/>
            <w:iCs w:val="0"/>
            <w:color w:val="auto"/>
            <w:kern w:val="2"/>
            <w:sz w:val="20"/>
            <w:szCs w:val="20"/>
            <w:u w:val="none"/>
            <w14:ligatures w14:val="standardContextual"/>
          </w:rPr>
          <w:t>lture test:</w:t>
        </w:r>
      </w:hyperlink>
      <w:r w:rsidR="004C1CD3" w:rsidRPr="00B01F9E">
        <w:rPr>
          <w:rStyle w:val="Heading4Char"/>
          <w:rFonts w:ascii="Arial" w:hAnsi="Arial" w:cs="Arial"/>
          <w:b/>
          <w:color w:val="auto"/>
          <w:sz w:val="20"/>
          <w:szCs w:val="20"/>
        </w:rPr>
        <w:t xml:space="preserve"> </w:t>
      </w:r>
      <w:bookmarkEnd w:id="241"/>
      <w:r w:rsidR="004C1CD3" w:rsidRPr="00B01F9E">
        <w:rPr>
          <w:rStyle w:val="Heading4Char"/>
          <w:rFonts w:ascii="Arial" w:hAnsi="Arial" w:cs="Arial"/>
          <w:color w:val="auto"/>
          <w:sz w:val="20"/>
          <w:szCs w:val="20"/>
        </w:rPr>
        <w:t xml:space="preserve">The LIS was unable to capture the specimen descriptors for the blood culture tests which use the isolate as the specimen type. The blood culture performance workflow is complex. It begins with the blood specimen, which is inoculated into collection bottles containing culture media that optimize the growth of microorganisms if present. The culture media bottles are loaded onto an analyzer that detects nonspecific bacterial growth. If growth is detected within a five-day incubation period, follow up testing is performed. </w:t>
      </w:r>
    </w:p>
    <w:p w14:paraId="7A4165F5"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Initially, a gram stain is performed on the blood specimen from the positive culture bottle to determine the type of bacteria that may be present. Based on the gram stain results, steps are taken to isolate the organism on media plates. Once the pathogen is cultured as a pure isolate, it is transferred to one analyzer for organism identification and to another analyzer for antimicrobial susceptibility testing. Because the specimen utilized for the actual identification of the organism and the susceptibility testing is a purified culture isolate, the specimen type is now considered an isolate rather than blood. </w:t>
      </w:r>
    </w:p>
    <w:p w14:paraId="39F16F1A"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The Beaker system views the additional identification and susceptibility tests as add-on tests to the original order. The system limits the ability to add tests to a specimen when the specimen type does not match. The specimen type of the original order is whole blood, but the add-on tests are conducted on a specimen type of culture isolate. Until resolved, the laboratory would continually fail the QA Program analysis for this element of the susceptibility test because the expected specimen type is isolate. </w:t>
      </w:r>
    </w:p>
    <w:p w14:paraId="7E3FFF19" w14:textId="77777777" w:rsidR="004C1CD3" w:rsidRPr="00B01F9E" w:rsidRDefault="004C1CD3" w:rsidP="004C1CD3">
      <w:pPr>
        <w:spacing w:before="120" w:after="120"/>
        <w:ind w:left="432"/>
        <w:contextualSpacing/>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782A6D4C"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No interim solution was able to be identified or implemented. </w:t>
      </w:r>
    </w:p>
    <w:p w14:paraId="0EAFE955"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System development by the LIS vendor is required to allow for the addition of the add-on tests so that they can be encoded with the appropriate specimen type, source, and collection method.</w:t>
      </w:r>
    </w:p>
    <w:p w14:paraId="0D972AF0" w14:textId="376AE546" w:rsidR="004C1CD3" w:rsidRPr="00B01F9E" w:rsidRDefault="009F1F82" w:rsidP="00FB088B">
      <w:pPr>
        <w:pStyle w:val="Heading3"/>
        <w:spacing w:before="0" w:after="120"/>
        <w:rPr>
          <w:rFonts w:ascii="Arial" w:eastAsia="Yu Gothic Light" w:hAnsi="Arial" w:cs="Arial"/>
          <w:b/>
          <w:bCs/>
          <w:i/>
          <w:iCs/>
          <w:color w:val="009BBF"/>
          <w:kern w:val="2"/>
          <w:sz w:val="20"/>
          <w:szCs w:val="20"/>
          <w14:ligatures w14:val="standardContextual"/>
        </w:rPr>
      </w:pPr>
      <w:bookmarkStart w:id="248" w:name="_Ref173925441"/>
      <w:bookmarkStart w:id="249" w:name="_Toc177136996"/>
      <w:r w:rsidRPr="00B01F9E">
        <w:rPr>
          <w:rFonts w:ascii="Arial" w:eastAsia="Yu Gothic Light" w:hAnsi="Arial" w:cs="Arial"/>
          <w:b/>
          <w:i/>
          <w:iCs/>
          <w:color w:val="009BBF"/>
          <w:kern w:val="2"/>
          <w:sz w:val="20"/>
          <w:szCs w:val="20"/>
          <w14:ligatures w14:val="standardContextual"/>
        </w:rPr>
        <w:t>3</w:t>
      </w:r>
      <w:r w:rsidR="0037301B" w:rsidRPr="00B01F9E">
        <w:rPr>
          <w:rFonts w:ascii="Arial" w:eastAsia="Yu Gothic Light" w:hAnsi="Arial" w:cs="Arial"/>
          <w:b/>
          <w:i/>
          <w:iCs/>
          <w:color w:val="009BBF"/>
          <w:kern w:val="2"/>
          <w:sz w:val="20"/>
          <w:szCs w:val="20"/>
          <w14:ligatures w14:val="standardContextual"/>
        </w:rPr>
        <w:t xml:space="preserve">.7.4 </w:t>
      </w:r>
      <w:r w:rsidR="00E30060" w:rsidRPr="00B01F9E">
        <w:rPr>
          <w:rFonts w:ascii="Arial" w:eastAsia="Yu Gothic Light" w:hAnsi="Arial" w:cs="Arial"/>
          <w:b/>
          <w:i/>
          <w:iCs/>
          <w:color w:val="009BBF"/>
          <w:kern w:val="2"/>
          <w:sz w:val="20"/>
          <w:szCs w:val="20"/>
          <w14:ligatures w14:val="standardContextual"/>
        </w:rPr>
        <w:t xml:space="preserve">Gaps </w:t>
      </w:r>
      <w:r w:rsidR="00E30060" w:rsidRPr="00B01F9E">
        <w:rPr>
          <w:rFonts w:ascii="Arial" w:eastAsia="Yu Gothic Light" w:hAnsi="Arial" w:cs="Arial"/>
          <w:b/>
          <w:bCs/>
          <w:i/>
          <w:iCs/>
          <w:color w:val="009BBF"/>
          <w:kern w:val="2"/>
          <w:sz w:val="20"/>
          <w:szCs w:val="20"/>
          <w14:ligatures w14:val="standardContextual"/>
        </w:rPr>
        <w:t>R</w:t>
      </w:r>
      <w:r w:rsidR="00E30060" w:rsidRPr="00B01F9E">
        <w:rPr>
          <w:rFonts w:ascii="Arial" w:eastAsia="Yu Gothic Light" w:hAnsi="Arial" w:cs="Arial"/>
          <w:b/>
          <w:i/>
          <w:iCs/>
          <w:color w:val="009BBF"/>
          <w:kern w:val="2"/>
          <w:sz w:val="20"/>
          <w:szCs w:val="20"/>
          <w14:ligatures w14:val="standardContextual"/>
        </w:rPr>
        <w:t>elated to</w:t>
      </w:r>
      <w:r w:rsidR="004C1CD3" w:rsidRPr="00B01F9E">
        <w:rPr>
          <w:rFonts w:ascii="Arial" w:eastAsia="Yu Gothic Light" w:hAnsi="Arial" w:cs="Arial"/>
          <w:b/>
          <w:i/>
          <w:iCs/>
          <w:color w:val="009BBF"/>
          <w:kern w:val="2"/>
          <w:sz w:val="20"/>
          <w:szCs w:val="20"/>
          <w14:ligatures w14:val="standardContextual"/>
        </w:rPr>
        <w:t xml:space="preserve"> LIS </w:t>
      </w:r>
      <w:r w:rsidR="00E30060" w:rsidRPr="00B01F9E">
        <w:rPr>
          <w:rFonts w:ascii="Arial" w:eastAsia="Yu Gothic Light" w:hAnsi="Arial" w:cs="Arial"/>
          <w:b/>
          <w:i/>
          <w:iCs/>
          <w:color w:val="009BBF"/>
          <w:kern w:val="2"/>
          <w:sz w:val="20"/>
          <w:szCs w:val="20"/>
          <w14:ligatures w14:val="standardContextual"/>
        </w:rPr>
        <w:t>Result Interface</w:t>
      </w:r>
      <w:bookmarkEnd w:id="248"/>
      <w:bookmarkEnd w:id="249"/>
    </w:p>
    <w:p w14:paraId="7B56F07B" w14:textId="171BC334" w:rsidR="004C1CD3" w:rsidRPr="00B01F9E" w:rsidRDefault="009F1F82" w:rsidP="00FB088B">
      <w:pPr>
        <w:pStyle w:val="Heading4"/>
        <w:spacing w:before="0"/>
        <w:ind w:left="450" w:hanging="450"/>
        <w:rPr>
          <w:rStyle w:val="Heading4Char"/>
          <w:rFonts w:ascii="Arial" w:hAnsi="Arial" w:cs="Arial"/>
          <w:b/>
          <w:color w:val="auto"/>
          <w:sz w:val="20"/>
          <w:szCs w:val="20"/>
        </w:rPr>
      </w:pPr>
      <w:bookmarkStart w:id="250" w:name="_Unable_to_send"/>
      <w:bookmarkStart w:id="251" w:name="Gap_13_13"/>
      <w:bookmarkEnd w:id="250"/>
      <w:r w:rsidRPr="00B01F9E">
        <w:rPr>
          <w:rStyle w:val="Heading4Char"/>
          <w:rFonts w:ascii="Arial" w:hAnsi="Arial" w:cs="Arial"/>
          <w:b/>
          <w:bCs/>
          <w:color w:val="auto"/>
          <w:sz w:val="20"/>
          <w:szCs w:val="20"/>
        </w:rPr>
        <w:t>3</w:t>
      </w:r>
      <w:r w:rsidR="0037301B" w:rsidRPr="00B01F9E">
        <w:rPr>
          <w:rStyle w:val="Heading4Char"/>
          <w:rFonts w:ascii="Arial" w:hAnsi="Arial" w:cs="Arial"/>
          <w:b/>
          <w:bCs/>
          <w:color w:val="auto"/>
          <w:sz w:val="20"/>
          <w:szCs w:val="20"/>
        </w:rPr>
        <w:t xml:space="preserve">.7.4.1 </w:t>
      </w:r>
      <w:hyperlink w:anchor="Gap_13" w:history="1">
        <w:r w:rsidR="004C1CD3" w:rsidRPr="00B01F9E">
          <w:rPr>
            <w:rStyle w:val="Hyperlink"/>
            <w:rFonts w:ascii="Arial" w:eastAsia="Yu Gothic Light" w:hAnsi="Arial" w:cs="Arial"/>
            <w:b/>
            <w:i w:val="0"/>
            <w:iCs w:val="0"/>
            <w:color w:val="auto"/>
            <w:kern w:val="2"/>
            <w:sz w:val="20"/>
            <w:szCs w:val="20"/>
            <w:u w:val="none"/>
            <w14:ligatures w14:val="standardContextual"/>
          </w:rPr>
          <w:t>Una</w:t>
        </w:r>
        <w:bookmarkStart w:id="252" w:name="_Hlt175730050"/>
        <w:r w:rsidR="004C1CD3" w:rsidRPr="00B01F9E">
          <w:rPr>
            <w:rStyle w:val="Hyperlink"/>
            <w:rFonts w:ascii="Arial" w:eastAsia="Yu Gothic Light" w:hAnsi="Arial" w:cs="Arial"/>
            <w:b/>
            <w:i w:val="0"/>
            <w:iCs w:val="0"/>
            <w:color w:val="auto"/>
            <w:kern w:val="2"/>
            <w:sz w:val="20"/>
            <w:szCs w:val="20"/>
            <w:u w:val="none"/>
            <w14:ligatures w14:val="standardContextual"/>
          </w:rPr>
          <w:t>b</w:t>
        </w:r>
        <w:bookmarkEnd w:id="252"/>
        <w:r w:rsidR="004C1CD3" w:rsidRPr="00B01F9E">
          <w:rPr>
            <w:rStyle w:val="Hyperlink"/>
            <w:rFonts w:ascii="Arial" w:eastAsia="Yu Gothic Light" w:hAnsi="Arial" w:cs="Arial"/>
            <w:b/>
            <w:i w:val="0"/>
            <w:iCs w:val="0"/>
            <w:color w:val="auto"/>
            <w:kern w:val="2"/>
            <w:sz w:val="20"/>
            <w:szCs w:val="20"/>
            <w:u w:val="none"/>
            <w14:ligatures w14:val="standardContextual"/>
          </w:rPr>
          <w:t>l</w:t>
        </w:r>
        <w:bookmarkStart w:id="253" w:name="_Hlt175730739"/>
        <w:r w:rsidR="004C1CD3" w:rsidRPr="00B01F9E">
          <w:rPr>
            <w:rStyle w:val="Hyperlink"/>
            <w:rFonts w:ascii="Arial" w:eastAsia="Yu Gothic Light" w:hAnsi="Arial" w:cs="Arial"/>
            <w:b/>
            <w:i w:val="0"/>
            <w:iCs w:val="0"/>
            <w:color w:val="auto"/>
            <w:kern w:val="2"/>
            <w:sz w:val="20"/>
            <w:szCs w:val="20"/>
            <w:u w:val="none"/>
            <w14:ligatures w14:val="standardContextual"/>
          </w:rPr>
          <w:t>e</w:t>
        </w:r>
        <w:bookmarkEnd w:id="253"/>
        <w:r w:rsidR="004C1CD3" w:rsidRPr="00B01F9E">
          <w:rPr>
            <w:rStyle w:val="Hyperlink"/>
            <w:rFonts w:ascii="Arial" w:eastAsia="Yu Gothic Light" w:hAnsi="Arial" w:cs="Arial"/>
            <w:b/>
            <w:i w:val="0"/>
            <w:iCs w:val="0"/>
            <w:color w:val="auto"/>
            <w:kern w:val="2"/>
            <w:sz w:val="20"/>
            <w:szCs w:val="20"/>
            <w:u w:val="none"/>
            <w14:ligatures w14:val="standardContextual"/>
          </w:rPr>
          <w:t xml:space="preserve"> t</w:t>
        </w:r>
        <w:bookmarkStart w:id="254" w:name="_Hlt175769284"/>
        <w:r w:rsidR="004C1CD3" w:rsidRPr="00B01F9E">
          <w:rPr>
            <w:rStyle w:val="Hyperlink"/>
            <w:rFonts w:ascii="Arial" w:eastAsia="Yu Gothic Light" w:hAnsi="Arial" w:cs="Arial"/>
            <w:b/>
            <w:i w:val="0"/>
            <w:iCs w:val="0"/>
            <w:color w:val="auto"/>
            <w:kern w:val="2"/>
            <w:sz w:val="20"/>
            <w:szCs w:val="20"/>
            <w:u w:val="none"/>
            <w14:ligatures w14:val="standardContextual"/>
          </w:rPr>
          <w:t>o</w:t>
        </w:r>
        <w:bookmarkStart w:id="255" w:name="_Hlt175731301"/>
        <w:bookmarkEnd w:id="254"/>
        <w:r w:rsidR="004C1CD3" w:rsidRPr="00B01F9E">
          <w:rPr>
            <w:rStyle w:val="Hyperlink"/>
            <w:rFonts w:ascii="Arial" w:eastAsia="Yu Gothic Light" w:hAnsi="Arial" w:cs="Arial"/>
            <w:b/>
            <w:i w:val="0"/>
            <w:iCs w:val="0"/>
            <w:color w:val="auto"/>
            <w:kern w:val="2"/>
            <w:sz w:val="20"/>
            <w:szCs w:val="20"/>
            <w:u w:val="none"/>
            <w14:ligatures w14:val="standardContextual"/>
          </w:rPr>
          <w:t xml:space="preserve"> </w:t>
        </w:r>
        <w:bookmarkEnd w:id="255"/>
        <w:r w:rsidR="004C1CD3" w:rsidRPr="00B01F9E">
          <w:rPr>
            <w:rStyle w:val="Hyperlink"/>
            <w:rFonts w:ascii="Arial" w:eastAsia="Yu Gothic Light" w:hAnsi="Arial" w:cs="Arial"/>
            <w:b/>
            <w:i w:val="0"/>
            <w:iCs w:val="0"/>
            <w:color w:val="auto"/>
            <w:kern w:val="2"/>
            <w:sz w:val="20"/>
            <w:szCs w:val="20"/>
            <w:u w:val="none"/>
            <w14:ligatures w14:val="standardContextual"/>
          </w:rPr>
          <w:t>s</w:t>
        </w:r>
        <w:bookmarkStart w:id="256" w:name="_Hlt175667946"/>
        <w:r w:rsidR="004C1CD3" w:rsidRPr="00B01F9E">
          <w:rPr>
            <w:rStyle w:val="Hyperlink"/>
            <w:rFonts w:ascii="Arial" w:eastAsia="Yu Gothic Light" w:hAnsi="Arial" w:cs="Arial"/>
            <w:b/>
            <w:i w:val="0"/>
            <w:iCs w:val="0"/>
            <w:color w:val="auto"/>
            <w:kern w:val="2"/>
            <w:sz w:val="20"/>
            <w:szCs w:val="20"/>
            <w:u w:val="none"/>
            <w14:ligatures w14:val="standardContextual"/>
          </w:rPr>
          <w:t>e</w:t>
        </w:r>
        <w:bookmarkEnd w:id="256"/>
        <w:r w:rsidR="004C1CD3" w:rsidRPr="00B01F9E">
          <w:rPr>
            <w:rStyle w:val="Hyperlink"/>
            <w:rFonts w:ascii="Arial" w:eastAsia="Yu Gothic Light" w:hAnsi="Arial" w:cs="Arial"/>
            <w:b/>
            <w:i w:val="0"/>
            <w:iCs w:val="0"/>
            <w:color w:val="auto"/>
            <w:kern w:val="2"/>
            <w:sz w:val="20"/>
            <w:szCs w:val="20"/>
            <w:u w:val="none"/>
            <w14:ligatures w14:val="standardContextual"/>
          </w:rPr>
          <w:t>nd</w:t>
        </w:r>
        <w:bookmarkStart w:id="257" w:name="_Hlt175765731"/>
        <w:r w:rsidR="004C1CD3" w:rsidRPr="00B01F9E">
          <w:rPr>
            <w:rStyle w:val="Hyperlink"/>
            <w:rFonts w:ascii="Arial" w:eastAsia="Yu Gothic Light" w:hAnsi="Arial" w:cs="Arial"/>
            <w:b/>
            <w:i w:val="0"/>
            <w:iCs w:val="0"/>
            <w:color w:val="auto"/>
            <w:kern w:val="2"/>
            <w:sz w:val="20"/>
            <w:szCs w:val="20"/>
            <w:u w:val="none"/>
            <w14:ligatures w14:val="standardContextual"/>
          </w:rPr>
          <w:t xml:space="preserve"> </w:t>
        </w:r>
        <w:bookmarkEnd w:id="257"/>
        <w:r w:rsidR="004C1CD3" w:rsidRPr="00B01F9E">
          <w:rPr>
            <w:rStyle w:val="Hyperlink"/>
            <w:rFonts w:ascii="Arial" w:eastAsia="Yu Gothic Light" w:hAnsi="Arial" w:cs="Arial"/>
            <w:b/>
            <w:i w:val="0"/>
            <w:iCs w:val="0"/>
            <w:color w:val="auto"/>
            <w:kern w:val="2"/>
            <w:sz w:val="20"/>
            <w:szCs w:val="20"/>
            <w:u w:val="none"/>
            <w14:ligatures w14:val="standardContextual"/>
          </w:rPr>
          <w:t>the device and kit UDIs in OBX-18:</w:t>
        </w:r>
      </w:hyperlink>
      <w:bookmarkEnd w:id="251"/>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 xml:space="preserve">The interface specification provided for this project includes the typical segments utilized in a LRI and aligns with the proposed IHE </w:t>
      </w:r>
      <w:proofErr w:type="spellStart"/>
      <w:r w:rsidR="004C1CD3" w:rsidRPr="00B01F9E">
        <w:rPr>
          <w:rStyle w:val="Heading4Char"/>
          <w:rFonts w:ascii="Arial" w:hAnsi="Arial" w:cs="Arial"/>
          <w:color w:val="auto"/>
          <w:sz w:val="20"/>
          <w:szCs w:val="20"/>
        </w:rPr>
        <w:t>PaLM</w:t>
      </w:r>
      <w:proofErr w:type="spellEnd"/>
      <w:r w:rsidR="004C1CD3" w:rsidRPr="00B01F9E">
        <w:rPr>
          <w:rStyle w:val="Heading4Char"/>
          <w:rFonts w:ascii="Arial" w:hAnsi="Arial" w:cs="Arial"/>
          <w:color w:val="auto"/>
          <w:sz w:val="20"/>
          <w:szCs w:val="20"/>
        </w:rPr>
        <w:t xml:space="preserve"> PT Profile. The specification includes the HL7 segment locations for the LIDR elements. </w:t>
      </w:r>
      <w:r w:rsidR="004C1CD3" w:rsidRPr="00B01F9E">
        <w:rPr>
          <w:rFonts w:ascii="Arial" w:eastAsia="Calibri" w:hAnsi="Arial" w:cs="Arial"/>
          <w:i w:val="0"/>
          <w:color w:val="auto"/>
          <w:kern w:val="2"/>
          <w:sz w:val="20"/>
          <w:szCs w:val="20"/>
          <w14:ligatures w14:val="standardContextual"/>
        </w:rPr>
        <w:t>The kit and device UDIs were expected to be sent in OBX-18.1 and OBX-</w:t>
      </w:r>
      <w:bookmarkStart w:id="258" w:name="_Int_wVTfxzXk"/>
      <w:r w:rsidR="004C1CD3" w:rsidRPr="00B01F9E">
        <w:rPr>
          <w:rFonts w:ascii="Arial" w:eastAsia="Calibri" w:hAnsi="Arial" w:cs="Arial"/>
          <w:i w:val="0"/>
          <w:color w:val="auto"/>
          <w:kern w:val="2"/>
          <w:sz w:val="20"/>
          <w:szCs w:val="20"/>
          <w14:ligatures w14:val="standardContextual"/>
        </w:rPr>
        <w:t>18.4</w:t>
      </w:r>
      <w:bookmarkEnd w:id="258"/>
      <w:r w:rsidR="004C1CD3" w:rsidRPr="00B01F9E">
        <w:rPr>
          <w:rFonts w:ascii="Arial" w:eastAsia="Calibri" w:hAnsi="Arial" w:cs="Arial"/>
          <w:i w:val="0"/>
          <w:color w:val="auto"/>
          <w:kern w:val="2"/>
          <w:sz w:val="20"/>
          <w:szCs w:val="20"/>
          <w14:ligatures w14:val="standardContextual"/>
        </w:rPr>
        <w:t xml:space="preserve"> respectively. The result interface from Epic does not utilize OBX-18 and therefore cannot accommodate these locations</w:t>
      </w:r>
      <w:r w:rsidR="00770D12" w:rsidRPr="00B01F9E">
        <w:rPr>
          <w:rFonts w:ascii="Arial" w:eastAsia="Calibri" w:hAnsi="Arial" w:cs="Arial"/>
          <w:i w:val="0"/>
          <w:iCs w:val="0"/>
          <w:color w:val="auto"/>
          <w:kern w:val="2"/>
          <w:sz w:val="20"/>
          <w:szCs w:val="20"/>
          <w14:ligatures w14:val="standardContextual"/>
        </w:rPr>
        <w:t xml:space="preserve">. To capture UDIs, the method records associated with the performed test in Beaker were mapped with the UDIs and were sent in the OBX-17 sub fields. </w:t>
      </w:r>
      <w:r w:rsidR="004C1CD3" w:rsidRPr="00B01F9E">
        <w:rPr>
          <w:rFonts w:ascii="Arial" w:eastAsia="Calibri" w:hAnsi="Arial" w:cs="Arial"/>
          <w:i w:val="0"/>
          <w:color w:val="auto"/>
          <w:kern w:val="2"/>
          <w:sz w:val="20"/>
          <w:szCs w:val="20"/>
          <w14:ligatures w14:val="standardContextual"/>
        </w:rPr>
        <w:t xml:space="preserve">The </w:t>
      </w:r>
      <w:bookmarkStart w:id="259" w:name="_Int_sMgwdzPP"/>
      <w:proofErr w:type="gramStart"/>
      <w:r w:rsidR="004C1CD3" w:rsidRPr="00B01F9E">
        <w:rPr>
          <w:rFonts w:ascii="Arial" w:eastAsia="Calibri" w:hAnsi="Arial" w:cs="Arial"/>
          <w:i w:val="0"/>
          <w:color w:val="auto"/>
          <w:kern w:val="2"/>
          <w:sz w:val="20"/>
          <w:szCs w:val="20"/>
          <w14:ligatures w14:val="standardContextual"/>
        </w:rPr>
        <w:t>Duke</w:t>
      </w:r>
      <w:bookmarkEnd w:id="259"/>
      <w:proofErr w:type="gramEnd"/>
      <w:r w:rsidR="004C1CD3" w:rsidRPr="00B01F9E">
        <w:rPr>
          <w:rFonts w:ascii="Arial" w:eastAsia="Calibri" w:hAnsi="Arial" w:cs="Arial"/>
          <w:i w:val="0"/>
          <w:color w:val="auto"/>
          <w:kern w:val="2"/>
          <w:sz w:val="20"/>
          <w:szCs w:val="20"/>
          <w14:ligatures w14:val="standardContextual"/>
        </w:rPr>
        <w:t xml:space="preserve"> interface engine transforms the message by copying the UDIs to the OBX-18 segment as specified.</w:t>
      </w:r>
      <w:r w:rsidR="00770D12" w:rsidRPr="00B01F9E">
        <w:rPr>
          <w:rFonts w:ascii="Arial" w:eastAsia="Calibri" w:hAnsi="Arial" w:cs="Arial"/>
          <w:i w:val="0"/>
          <w:iCs w:val="0"/>
          <w:color w:val="auto"/>
          <w:kern w:val="2"/>
          <w:sz w:val="20"/>
          <w:szCs w:val="20"/>
          <w14:ligatures w14:val="standardContextual"/>
        </w:rPr>
        <w:t xml:space="preserve"> </w:t>
      </w:r>
    </w:p>
    <w:p w14:paraId="2890E1A1" w14:textId="77777777" w:rsidR="008703EE" w:rsidRPr="00B01F9E" w:rsidRDefault="008703EE" w:rsidP="004C1CD3">
      <w:pPr>
        <w:spacing w:before="120" w:after="120"/>
        <w:ind w:left="432"/>
        <w:rPr>
          <w:rFonts w:ascii="Arial" w:eastAsia="Calibri" w:hAnsi="Arial" w:cs="Arial"/>
          <w:b/>
          <w:bCs/>
          <w:kern w:val="2"/>
          <w:sz w:val="20"/>
          <w:szCs w:val="20"/>
          <w14:ligatures w14:val="standardContextual"/>
        </w:rPr>
        <w:sectPr w:rsidR="008703EE" w:rsidRPr="00B01F9E" w:rsidSect="00C5319E">
          <w:pgSz w:w="12240" w:h="15840"/>
          <w:pgMar w:top="1440" w:right="1440" w:bottom="1440" w:left="1440" w:header="0" w:footer="720" w:gutter="0"/>
          <w:cols w:space="720"/>
          <w:docGrid w:linePitch="360"/>
        </w:sectPr>
      </w:pPr>
    </w:p>
    <w:p w14:paraId="5154A0D5"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lastRenderedPageBreak/>
        <w:t>Resolutions:</w:t>
      </w:r>
    </w:p>
    <w:p w14:paraId="36AAF8DA"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The interface engine modified the result message to move to the correct HL7 segments.</w:t>
      </w:r>
    </w:p>
    <w:p w14:paraId="58198522" w14:textId="77777777" w:rsidR="004C1CD3" w:rsidRPr="00B01F9E" w:rsidRDefault="004C1CD3" w:rsidP="00210505">
      <w:pPr>
        <w:numPr>
          <w:ilvl w:val="0"/>
          <w:numId w:val="85"/>
        </w:numPr>
        <w:spacing w:before="120" w:after="120"/>
        <w:ind w:left="1008"/>
        <w:rPr>
          <w:rFonts w:ascii="Arial" w:eastAsia="Calibri" w:hAnsi="Arial" w:cs="Arial"/>
          <w:b/>
          <w:bCs/>
          <w:kern w:val="2"/>
          <w:sz w:val="20"/>
          <w:szCs w:val="20"/>
          <w14:ligatures w14:val="standardContextual"/>
        </w:rPr>
      </w:pPr>
      <w:r w:rsidRPr="00B01F9E">
        <w:rPr>
          <w:rFonts w:ascii="Arial" w:eastAsia="Calibri" w:hAnsi="Arial" w:cs="Arial"/>
          <w:kern w:val="2"/>
          <w:sz w:val="20"/>
          <w:szCs w:val="20"/>
          <w14:ligatures w14:val="standardContextual"/>
        </w:rPr>
        <w:t>Long-term solution: System development by the LIS vendor is required to improve or define a means to capture the UDIs in a more workable solution and configure their interface to utilize OBX-18.</w:t>
      </w:r>
    </w:p>
    <w:p w14:paraId="66153D32" w14:textId="3A34E2E2" w:rsidR="004C1CD3" w:rsidRPr="00B01F9E" w:rsidRDefault="009F1F82" w:rsidP="0094012E">
      <w:pPr>
        <w:pStyle w:val="Heading4"/>
        <w:spacing w:before="0" w:after="120"/>
        <w:ind w:left="450" w:hanging="450"/>
        <w:rPr>
          <w:rStyle w:val="Heading4Char"/>
          <w:rFonts w:ascii="Arial" w:hAnsi="Arial" w:cs="Arial"/>
          <w:b/>
          <w:color w:val="auto"/>
          <w:sz w:val="20"/>
          <w:szCs w:val="20"/>
        </w:rPr>
      </w:pPr>
      <w:bookmarkStart w:id="260" w:name="_Issue_with_Gram"/>
      <w:bookmarkStart w:id="261" w:name="_4.7.4.2_Issue_with"/>
      <w:bookmarkStart w:id="262" w:name="Gap_14_14"/>
      <w:bookmarkEnd w:id="260"/>
      <w:bookmarkEnd w:id="261"/>
      <w:r w:rsidRPr="00B01F9E">
        <w:rPr>
          <w:rStyle w:val="Heading4Char"/>
          <w:rFonts w:ascii="Arial" w:hAnsi="Arial" w:cs="Arial"/>
          <w:b/>
          <w:bCs/>
          <w:color w:val="auto"/>
          <w:sz w:val="20"/>
          <w:szCs w:val="20"/>
        </w:rPr>
        <w:t>3</w:t>
      </w:r>
      <w:r w:rsidR="00BD2BD6" w:rsidRPr="00B01F9E">
        <w:rPr>
          <w:rStyle w:val="Heading4Char"/>
          <w:rFonts w:ascii="Arial" w:hAnsi="Arial" w:cs="Arial"/>
          <w:b/>
          <w:bCs/>
          <w:color w:val="auto"/>
          <w:sz w:val="20"/>
          <w:szCs w:val="20"/>
        </w:rPr>
        <w:t xml:space="preserve">.7.4.2 </w:t>
      </w:r>
      <w:hyperlink w:anchor="Gap_14" w:history="1">
        <w:r w:rsidR="004C1CD3" w:rsidRPr="00B01F9E">
          <w:rPr>
            <w:rStyle w:val="Hyperlink"/>
            <w:rFonts w:ascii="Arial" w:eastAsia="Yu Gothic Light" w:hAnsi="Arial" w:cs="Arial"/>
            <w:b/>
            <w:i w:val="0"/>
            <w:iCs w:val="0"/>
            <w:color w:val="auto"/>
            <w:kern w:val="2"/>
            <w:sz w:val="20"/>
            <w:szCs w:val="20"/>
            <w:u w:val="none"/>
            <w14:ligatures w14:val="standardContextual"/>
          </w:rPr>
          <w:t>Iss</w:t>
        </w:r>
        <w:bookmarkStart w:id="263" w:name="_Hlt175730046"/>
        <w:r w:rsidR="004C1CD3" w:rsidRPr="00B01F9E">
          <w:rPr>
            <w:rStyle w:val="Hyperlink"/>
            <w:rFonts w:ascii="Arial" w:eastAsia="Yu Gothic Light" w:hAnsi="Arial" w:cs="Arial"/>
            <w:b/>
            <w:i w:val="0"/>
            <w:iCs w:val="0"/>
            <w:color w:val="auto"/>
            <w:kern w:val="2"/>
            <w:sz w:val="20"/>
            <w:szCs w:val="20"/>
            <w:u w:val="none"/>
            <w14:ligatures w14:val="standardContextual"/>
          </w:rPr>
          <w:t>u</w:t>
        </w:r>
        <w:bookmarkStart w:id="264" w:name="_Hlt175730744"/>
        <w:bookmarkEnd w:id="263"/>
        <w:r w:rsidR="004C1CD3" w:rsidRPr="00B01F9E">
          <w:rPr>
            <w:rStyle w:val="Hyperlink"/>
            <w:rFonts w:ascii="Arial" w:eastAsia="Yu Gothic Light" w:hAnsi="Arial" w:cs="Arial"/>
            <w:b/>
            <w:i w:val="0"/>
            <w:iCs w:val="0"/>
            <w:color w:val="auto"/>
            <w:kern w:val="2"/>
            <w:sz w:val="20"/>
            <w:szCs w:val="20"/>
            <w:u w:val="none"/>
            <w14:ligatures w14:val="standardContextual"/>
          </w:rPr>
          <w:t>e</w:t>
        </w:r>
        <w:bookmarkEnd w:id="264"/>
        <w:r w:rsidR="004C1CD3" w:rsidRPr="00B01F9E">
          <w:rPr>
            <w:rStyle w:val="Hyperlink"/>
            <w:rFonts w:ascii="Arial" w:eastAsia="Yu Gothic Light" w:hAnsi="Arial" w:cs="Arial"/>
            <w:b/>
            <w:i w:val="0"/>
            <w:iCs w:val="0"/>
            <w:color w:val="auto"/>
            <w:kern w:val="2"/>
            <w:sz w:val="20"/>
            <w:szCs w:val="20"/>
            <w:u w:val="none"/>
            <w14:ligatures w14:val="standardContextual"/>
          </w:rPr>
          <w:t xml:space="preserve"> w</w:t>
        </w:r>
        <w:bookmarkStart w:id="265" w:name="_Hlt175765735"/>
        <w:r w:rsidR="004C1CD3" w:rsidRPr="00B01F9E">
          <w:rPr>
            <w:rStyle w:val="Hyperlink"/>
            <w:rFonts w:ascii="Arial" w:eastAsia="Yu Gothic Light" w:hAnsi="Arial" w:cs="Arial"/>
            <w:b/>
            <w:i w:val="0"/>
            <w:iCs w:val="0"/>
            <w:color w:val="auto"/>
            <w:kern w:val="2"/>
            <w:sz w:val="20"/>
            <w:szCs w:val="20"/>
            <w:u w:val="none"/>
            <w14:ligatures w14:val="standardContextual"/>
          </w:rPr>
          <w:t>i</w:t>
        </w:r>
        <w:bookmarkEnd w:id="265"/>
        <w:r w:rsidR="004C1CD3" w:rsidRPr="00B01F9E">
          <w:rPr>
            <w:rStyle w:val="Hyperlink"/>
            <w:rFonts w:ascii="Arial" w:eastAsia="Yu Gothic Light" w:hAnsi="Arial" w:cs="Arial"/>
            <w:b/>
            <w:i w:val="0"/>
            <w:iCs w:val="0"/>
            <w:color w:val="auto"/>
            <w:kern w:val="2"/>
            <w:sz w:val="20"/>
            <w:szCs w:val="20"/>
            <w:u w:val="none"/>
            <w14:ligatures w14:val="standardContextual"/>
          </w:rPr>
          <w:t>th G</w:t>
        </w:r>
        <w:bookmarkStart w:id="266" w:name="_Hlt175667950"/>
        <w:r w:rsidR="004C1CD3" w:rsidRPr="00B01F9E">
          <w:rPr>
            <w:rStyle w:val="Hyperlink"/>
            <w:rFonts w:ascii="Arial" w:eastAsia="Yu Gothic Light" w:hAnsi="Arial" w:cs="Arial"/>
            <w:b/>
            <w:i w:val="0"/>
            <w:iCs w:val="0"/>
            <w:color w:val="auto"/>
            <w:kern w:val="2"/>
            <w:sz w:val="20"/>
            <w:szCs w:val="20"/>
            <w:u w:val="none"/>
            <w14:ligatures w14:val="standardContextual"/>
          </w:rPr>
          <w:t>r</w:t>
        </w:r>
        <w:bookmarkEnd w:id="266"/>
        <w:r w:rsidR="004C1CD3" w:rsidRPr="00B01F9E">
          <w:rPr>
            <w:rStyle w:val="Hyperlink"/>
            <w:rFonts w:ascii="Arial" w:eastAsia="Yu Gothic Light" w:hAnsi="Arial" w:cs="Arial"/>
            <w:b/>
            <w:i w:val="0"/>
            <w:iCs w:val="0"/>
            <w:color w:val="auto"/>
            <w:kern w:val="2"/>
            <w:sz w:val="20"/>
            <w:szCs w:val="20"/>
            <w:u w:val="none"/>
            <w14:ligatures w14:val="standardContextual"/>
          </w:rPr>
          <w:t>am stain result UDI in HL7 OBX:</w:t>
        </w:r>
      </w:hyperlink>
      <w:bookmarkEnd w:id="262"/>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Capturing and sending the UDIs (kit and device) for gram stain results in the HL7 OBX segment was not possible. In Epic,</w:t>
      </w:r>
      <w:r w:rsidR="004C1CD3" w:rsidRPr="00B01F9E" w:rsidDel="003D7281">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 xml:space="preserve">resulting a positive blood culture is a single-entry session that includes both the culture result identifying the organism and the gram stain result. To capture the UDIs of both the blood culture and the gram stain, methods are defined for each which map to the device and the kit UDIs. The </w:t>
      </w:r>
      <w:proofErr w:type="gramStart"/>
      <w:r w:rsidR="004C1CD3" w:rsidRPr="00B01F9E">
        <w:rPr>
          <w:rStyle w:val="Heading4Char"/>
          <w:rFonts w:ascii="Arial" w:hAnsi="Arial" w:cs="Arial"/>
          <w:color w:val="auto"/>
          <w:sz w:val="20"/>
          <w:szCs w:val="20"/>
        </w:rPr>
        <w:t>Duke</w:t>
      </w:r>
      <w:proofErr w:type="gramEnd"/>
      <w:r w:rsidR="004C1CD3" w:rsidRPr="00B01F9E">
        <w:rPr>
          <w:rStyle w:val="Heading4Char"/>
          <w:rFonts w:ascii="Arial" w:hAnsi="Arial" w:cs="Arial"/>
          <w:color w:val="auto"/>
          <w:sz w:val="20"/>
          <w:szCs w:val="20"/>
        </w:rPr>
        <w:t xml:space="preserve"> team</w:t>
      </w:r>
      <w:r w:rsidR="004C1CD3" w:rsidRPr="00B01F9E" w:rsidDel="007968DB">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updated the build of the culture test definition to include a default method for the gram stain that was unique from the method for the culture result.</w:t>
      </w:r>
      <w:r w:rsidR="004C1CD3" w:rsidRPr="00B01F9E" w:rsidDel="00CC09CE">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Because it was a default method, there was no need to modify the method record when entering and finalizing test results.</w:t>
      </w:r>
      <w:r w:rsidR="004C1CD3" w:rsidRPr="00B01F9E" w:rsidDel="00CC09CE">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Despite</w:t>
      </w:r>
      <w:r w:rsidR="004C1CD3" w:rsidRPr="00B01F9E" w:rsidDel="007968DB">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applying this edit to the test definition in Beaker, the interface failed to send the UDIs for the gram stain in OBX-18.</w:t>
      </w:r>
    </w:p>
    <w:p w14:paraId="57D98AD1" w14:textId="07A45BD7" w:rsidR="004C1CD3" w:rsidRPr="00B01F9E" w:rsidRDefault="004C1CD3" w:rsidP="0094012E">
      <w:pPr>
        <w:spacing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The two OBX segments from an HL7 result message sent after the test definition modification are presented below.</w:t>
      </w:r>
      <w:r w:rsidRPr="00B01F9E" w:rsidDel="00CC09CE">
        <w:rPr>
          <w:rFonts w:ascii="Arial" w:eastAsia="Calibri" w:hAnsi="Arial" w:cs="Arial"/>
          <w:kern w:val="2"/>
          <w:sz w:val="20"/>
          <w:szCs w:val="20"/>
          <w14:ligatures w14:val="standardContextual"/>
        </w:rPr>
        <w:t xml:space="preserve"> </w:t>
      </w:r>
      <w:r w:rsidRPr="00B01F9E">
        <w:rPr>
          <w:rFonts w:ascii="Arial" w:eastAsia="Calibri" w:hAnsi="Arial" w:cs="Arial"/>
          <w:kern w:val="2"/>
          <w:sz w:val="20"/>
          <w:szCs w:val="20"/>
          <w14:ligatures w14:val="standardContextual"/>
        </w:rPr>
        <w:t xml:space="preserve">The UDIs for the culture result are present in the first OBX, as highlighted in OBX-18.1 (kit UDI) and 18.4 (device UDI) in Figure </w:t>
      </w:r>
      <w:r w:rsidR="00F71485" w:rsidRPr="00B01F9E">
        <w:rPr>
          <w:rFonts w:ascii="Arial" w:eastAsia="Calibri" w:hAnsi="Arial" w:cs="Arial"/>
          <w:kern w:val="2"/>
          <w:sz w:val="20"/>
          <w:szCs w:val="20"/>
          <w14:ligatures w14:val="standardContextual"/>
        </w:rPr>
        <w:t>2</w:t>
      </w:r>
      <w:r w:rsidR="00103892" w:rsidRPr="00B01F9E">
        <w:rPr>
          <w:rFonts w:ascii="Arial" w:eastAsia="Calibri" w:hAnsi="Arial" w:cs="Arial"/>
          <w:kern w:val="2"/>
          <w:sz w:val="20"/>
          <w:szCs w:val="20"/>
          <w14:ligatures w14:val="standardContextual"/>
        </w:rPr>
        <w:t>3</w:t>
      </w:r>
      <w:r w:rsidRPr="00B01F9E">
        <w:rPr>
          <w:rFonts w:ascii="Arial" w:eastAsia="Calibri" w:hAnsi="Arial" w:cs="Arial"/>
          <w:kern w:val="2"/>
          <w:sz w:val="20"/>
          <w:szCs w:val="20"/>
          <w14:ligatures w14:val="standardContextual"/>
        </w:rPr>
        <w:t>. In the second OBX, which codes the results for the gram stain, the same highlighted fields are absent despite being properly coded in the test dictionary.</w:t>
      </w:r>
    </w:p>
    <w:p w14:paraId="4FAF6418" w14:textId="6AA0285A" w:rsidR="004C1CD3" w:rsidRPr="00B01F9E" w:rsidRDefault="004C1CD3" w:rsidP="0094012E">
      <w:pPr>
        <w:spacing w:before="120" w:after="0"/>
        <w:ind w:left="432"/>
        <w:rPr>
          <w:rFonts w:ascii="Arial" w:eastAsia="Calibri" w:hAnsi="Arial" w:cs="Arial"/>
          <w:b/>
          <w:color w:val="4BACC6"/>
          <w:kern w:val="2"/>
          <w:sz w:val="20"/>
          <w:szCs w:val="20"/>
          <w14:ligatures w14:val="standardContextual"/>
        </w:rPr>
      </w:pPr>
      <w:r w:rsidRPr="00B01F9E">
        <w:rPr>
          <w:rFonts w:ascii="Arial" w:eastAsia="Calibri" w:hAnsi="Arial" w:cs="Arial"/>
          <w:b/>
          <w:bCs/>
          <w:color w:val="4BACC6"/>
          <w:kern w:val="2"/>
          <w:sz w:val="20"/>
          <w:szCs w:val="20"/>
          <w14:ligatures w14:val="standardContextual"/>
        </w:rPr>
        <w:t xml:space="preserve">Figure </w:t>
      </w:r>
      <w:r w:rsidR="00F71485" w:rsidRPr="00B01F9E">
        <w:rPr>
          <w:rFonts w:ascii="Arial" w:eastAsia="Calibri" w:hAnsi="Arial" w:cs="Arial"/>
          <w:b/>
          <w:bCs/>
          <w:color w:val="4BACC6"/>
          <w:kern w:val="2"/>
          <w:sz w:val="20"/>
          <w:szCs w:val="20"/>
          <w14:ligatures w14:val="standardContextual"/>
        </w:rPr>
        <w:t>2</w:t>
      </w:r>
      <w:r w:rsidR="00103892" w:rsidRPr="00B01F9E">
        <w:rPr>
          <w:rFonts w:ascii="Arial" w:eastAsia="Calibri" w:hAnsi="Arial" w:cs="Arial"/>
          <w:b/>
          <w:bCs/>
          <w:color w:val="4BACC6"/>
          <w:kern w:val="2"/>
          <w:sz w:val="20"/>
          <w:szCs w:val="20"/>
          <w14:ligatures w14:val="standardContextual"/>
        </w:rPr>
        <w:t>3</w:t>
      </w:r>
      <w:r w:rsidRPr="00B01F9E">
        <w:rPr>
          <w:rFonts w:ascii="Arial" w:eastAsia="Calibri" w:hAnsi="Arial" w:cs="Arial"/>
          <w:b/>
          <w:bCs/>
          <w:color w:val="4BACC6"/>
          <w:kern w:val="2"/>
          <w:sz w:val="20"/>
          <w:szCs w:val="20"/>
          <w14:ligatures w14:val="standardContextual"/>
        </w:rPr>
        <w:t>: HL7 Result Message After Test Definition Modification</w:t>
      </w:r>
    </w:p>
    <w:p w14:paraId="169FC357" w14:textId="77777777" w:rsidR="004C1CD3" w:rsidRPr="00B01F9E" w:rsidRDefault="004C1CD3" w:rsidP="004C1CD3">
      <w:pPr>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OBX|1|CWE|12316643^FDA CULTURE BLOOD     (BKR)^BEAKERLRR^90435-9^Microorg </w:t>
      </w:r>
      <w:proofErr w:type="spellStart"/>
      <w:r w:rsidRPr="00B01F9E">
        <w:rPr>
          <w:rFonts w:ascii="Arial" w:eastAsia="Calibri" w:hAnsi="Arial" w:cs="Arial"/>
          <w:kern w:val="2"/>
          <w:sz w:val="20"/>
          <w:szCs w:val="20"/>
          <w14:ligatures w14:val="standardContextual"/>
        </w:rPr>
        <w:t>prel</w:t>
      </w:r>
      <w:proofErr w:type="spellEnd"/>
      <w:r w:rsidRPr="00B01F9E">
        <w:rPr>
          <w:rFonts w:ascii="Arial" w:eastAsia="Calibri" w:hAnsi="Arial" w:cs="Arial"/>
          <w:kern w:val="2"/>
          <w:sz w:val="20"/>
          <w:szCs w:val="20"/>
          <w14:ligatures w14:val="standardContextual"/>
        </w:rPr>
        <w:t xml:space="preserve"> grow </w:t>
      </w:r>
      <w:proofErr w:type="spellStart"/>
      <w:r w:rsidRPr="00B01F9E">
        <w:rPr>
          <w:rFonts w:ascii="Arial" w:eastAsia="Calibri" w:hAnsi="Arial" w:cs="Arial"/>
          <w:kern w:val="2"/>
          <w:sz w:val="20"/>
          <w:szCs w:val="20"/>
          <w14:ligatures w14:val="standardContextual"/>
        </w:rPr>
        <w:t>Bld</w:t>
      </w:r>
      <w:proofErr w:type="spellEnd"/>
      <w:r w:rsidRPr="00B01F9E">
        <w:rPr>
          <w:rFonts w:ascii="Arial" w:eastAsia="Calibri" w:hAnsi="Arial" w:cs="Arial"/>
          <w:kern w:val="2"/>
          <w:sz w:val="20"/>
          <w:szCs w:val="20"/>
          <w14:ligatures w14:val="standardContextual"/>
        </w:rPr>
        <w:t xml:space="preserve"> Ql Aerobe </w:t>
      </w:r>
      <w:proofErr w:type="spellStart"/>
      <w:r w:rsidRPr="00B01F9E">
        <w:rPr>
          <w:rFonts w:ascii="Arial" w:eastAsia="Calibri" w:hAnsi="Arial" w:cs="Arial"/>
          <w:kern w:val="2"/>
          <w:sz w:val="20"/>
          <w:szCs w:val="20"/>
          <w14:ligatures w14:val="standardContextual"/>
        </w:rPr>
        <w:t>Cult^LN</w:t>
      </w:r>
      <w:proofErr w:type="spellEnd"/>
      <w:r w:rsidRPr="00B01F9E">
        <w:rPr>
          <w:rFonts w:ascii="Arial" w:eastAsia="Calibri" w:hAnsi="Arial" w:cs="Arial"/>
          <w:kern w:val="2"/>
          <w:sz w:val="20"/>
          <w:szCs w:val="20"/>
          <w14:ligatures w14:val="standardContextual"/>
        </w:rPr>
        <w:t>^^2.77^FDA CULTURE BLOOD     (BKR)|1|115329001^METHICILLIN RESISTANT STAPHYLOCOCCUS AUREUS^SCT^^^^^^METHICILLIN RESISTANT STAPHYLOCOCCUS AUREUS (MRSA)|||A|||F|||20240809095600|||00382904420239/00382904420222^FDA DRAH BACTEC FX^BEAKERFDA^(01)00382904413859/00382904413866^FDA DRAH BACTEC FX^BEAKERFDATK|</w:t>
      </w:r>
      <w:r w:rsidRPr="00B01F9E">
        <w:rPr>
          <w:rFonts w:ascii="Arial" w:eastAsia="Calibri" w:hAnsi="Arial" w:cs="Arial"/>
          <w:kern w:val="2"/>
          <w:sz w:val="20"/>
          <w:szCs w:val="20"/>
          <w:highlight w:val="yellow"/>
          <w14:ligatures w14:val="standardContextual"/>
        </w:rPr>
        <w:t>00382904420239/00382904420222</w:t>
      </w:r>
      <w:r w:rsidRPr="00B01F9E">
        <w:rPr>
          <w:rFonts w:ascii="Arial" w:eastAsia="Calibri" w:hAnsi="Arial" w:cs="Arial"/>
          <w:kern w:val="2"/>
          <w:sz w:val="20"/>
          <w:szCs w:val="20"/>
          <w14:ligatures w14:val="standardContextual"/>
        </w:rPr>
        <w:t>^FDA DRAH BACTEC FX^BEAKERFDA</w:t>
      </w:r>
      <w:r w:rsidRPr="00B01F9E">
        <w:rPr>
          <w:rFonts w:ascii="Arial" w:eastAsia="Calibri" w:hAnsi="Arial" w:cs="Arial"/>
          <w:kern w:val="2"/>
          <w:sz w:val="20"/>
          <w:szCs w:val="20"/>
          <w:highlight w:val="yellow"/>
          <w14:ligatures w14:val="standardContextual"/>
        </w:rPr>
        <w:t>^(01)00382904413859/00382904413866</w:t>
      </w:r>
      <w:r w:rsidRPr="00B01F9E">
        <w:rPr>
          <w:rFonts w:ascii="Arial" w:eastAsia="Calibri" w:hAnsi="Arial" w:cs="Arial"/>
          <w:kern w:val="2"/>
          <w:sz w:val="20"/>
          <w:szCs w:val="20"/>
          <w14:ligatures w14:val="standardContextual"/>
        </w:rPr>
        <w:t xml:space="preserve">^FDA DRAH BACTEC FX^BEAKERFDATK|20240809151309||||34D0240734|DUKE RALEIGH CLINICAL LABORATORY </w:t>
      </w:r>
    </w:p>
    <w:p w14:paraId="0A159330" w14:textId="77777777" w:rsidR="004C1CD3" w:rsidRPr="00B01F9E" w:rsidRDefault="004C1CD3" w:rsidP="004C1CD3">
      <w:pPr>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OBX|2|ST|12316644^FDA GRAM STAIN RESULT BLOOD</w:t>
      </w:r>
      <w:proofErr w:type="gramStart"/>
      <w:r w:rsidRPr="00B01F9E">
        <w:rPr>
          <w:rFonts w:ascii="Arial" w:eastAsia="Calibri" w:hAnsi="Arial" w:cs="Arial"/>
          <w:kern w:val="2"/>
          <w:sz w:val="20"/>
          <w:szCs w:val="20"/>
          <w14:ligatures w14:val="standardContextual"/>
        </w:rPr>
        <w:t xml:space="preserve">   (</w:t>
      </w:r>
      <w:proofErr w:type="gramEnd"/>
      <w:r w:rsidRPr="00B01F9E">
        <w:rPr>
          <w:rFonts w:ascii="Arial" w:eastAsia="Calibri" w:hAnsi="Arial" w:cs="Arial"/>
          <w:kern w:val="2"/>
          <w:sz w:val="20"/>
          <w:szCs w:val="20"/>
          <w14:ligatures w14:val="standardContextual"/>
        </w:rPr>
        <w:t xml:space="preserve">BKR)^BEAKERLRR^87969-2^Gram </w:t>
      </w:r>
      <w:proofErr w:type="spellStart"/>
      <w:r w:rsidRPr="00B01F9E">
        <w:rPr>
          <w:rFonts w:ascii="Arial" w:eastAsia="Calibri" w:hAnsi="Arial" w:cs="Arial"/>
          <w:kern w:val="2"/>
          <w:sz w:val="20"/>
          <w:szCs w:val="20"/>
          <w14:ligatures w14:val="standardContextual"/>
        </w:rPr>
        <w:t>Stn</w:t>
      </w:r>
      <w:proofErr w:type="spellEnd"/>
      <w:r w:rsidRPr="00B01F9E">
        <w:rPr>
          <w:rFonts w:ascii="Arial" w:eastAsia="Calibri" w:hAnsi="Arial" w:cs="Arial"/>
          <w:kern w:val="2"/>
          <w:sz w:val="20"/>
          <w:szCs w:val="20"/>
          <w14:ligatures w14:val="standardContextual"/>
        </w:rPr>
        <w:t xml:space="preserve"> </w:t>
      </w:r>
      <w:proofErr w:type="spellStart"/>
      <w:r w:rsidRPr="00B01F9E">
        <w:rPr>
          <w:rFonts w:ascii="Arial" w:eastAsia="Calibri" w:hAnsi="Arial" w:cs="Arial"/>
          <w:kern w:val="2"/>
          <w:sz w:val="20"/>
          <w:szCs w:val="20"/>
          <w14:ligatures w14:val="standardContextual"/>
        </w:rPr>
        <w:t>Bld^LN</w:t>
      </w:r>
      <w:proofErr w:type="spellEnd"/>
      <w:r w:rsidRPr="00B01F9E">
        <w:rPr>
          <w:rFonts w:ascii="Arial" w:eastAsia="Calibri" w:hAnsi="Arial" w:cs="Arial"/>
          <w:kern w:val="2"/>
          <w:sz w:val="20"/>
          <w:szCs w:val="20"/>
          <w14:ligatures w14:val="standardContextual"/>
        </w:rPr>
        <w:t>^^2.77^FDA GRAM STAIN RESULT BLOOD     (BKR)||Gram positive cocci in clusters|||A|||F|||20240809095600||</w:t>
      </w:r>
      <w:r w:rsidRPr="00B01F9E">
        <w:rPr>
          <w:rFonts w:ascii="Arial" w:eastAsia="Calibri" w:hAnsi="Arial" w:cs="Arial"/>
          <w:kern w:val="2"/>
          <w:sz w:val="20"/>
          <w:szCs w:val="20"/>
          <w:highlight w:val="yellow"/>
          <w14:ligatures w14:val="standardContextual"/>
        </w:rPr>
        <w:t>|||</w:t>
      </w:r>
      <w:r w:rsidRPr="00B01F9E">
        <w:rPr>
          <w:rFonts w:ascii="Arial" w:eastAsia="Calibri" w:hAnsi="Arial" w:cs="Arial"/>
          <w:kern w:val="2"/>
          <w:sz w:val="20"/>
          <w:szCs w:val="20"/>
          <w14:ligatures w14:val="standardContextual"/>
        </w:rPr>
        <w:t xml:space="preserve">20240809151309||||34D0240734|DUKE RALEIGH CLINICAL LABORATORY </w:t>
      </w:r>
    </w:p>
    <w:p w14:paraId="78BC3CD9" w14:textId="77777777" w:rsidR="004C1CD3" w:rsidRPr="00B01F9E" w:rsidRDefault="004C1CD3" w:rsidP="004C1CD3">
      <w:pPr>
        <w:spacing w:before="120" w:after="120"/>
        <w:ind w:left="432"/>
        <w:contextualSpacing/>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68775BAC"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No interim solution was able to be identified or implemented. </w:t>
      </w:r>
    </w:p>
    <w:p w14:paraId="4604C5A7"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Long-term solution: System development by the LIS vendor is required to improve or define a means to capture the UDIs in a more workable solution and configure their interface to utilize OBX-18. </w:t>
      </w:r>
    </w:p>
    <w:p w14:paraId="401F6E49" w14:textId="485C4915" w:rsidR="004C1CD3" w:rsidRPr="00B01F9E" w:rsidRDefault="009F1F82" w:rsidP="00BD2BD6">
      <w:pPr>
        <w:pStyle w:val="Heading4"/>
        <w:ind w:left="450" w:hanging="450"/>
        <w:rPr>
          <w:rFonts w:ascii="Arial" w:eastAsia="Yu Gothic Light" w:hAnsi="Arial" w:cs="Arial"/>
          <w:b/>
          <w:kern w:val="2"/>
          <w:sz w:val="20"/>
          <w:szCs w:val="20"/>
          <w14:ligatures w14:val="standardContextual"/>
        </w:rPr>
      </w:pPr>
      <w:bookmarkStart w:id="267" w:name="_LOINC_code_issue"/>
      <w:bookmarkStart w:id="268" w:name="_3.7.4.3_Ordered_test"/>
      <w:bookmarkStart w:id="269" w:name="Gap_15_15"/>
      <w:bookmarkEnd w:id="267"/>
      <w:bookmarkEnd w:id="268"/>
      <w:r w:rsidRPr="00B01F9E">
        <w:rPr>
          <w:rStyle w:val="Heading4Char"/>
          <w:rFonts w:ascii="Arial" w:hAnsi="Arial" w:cs="Arial"/>
          <w:b/>
          <w:color w:val="auto"/>
          <w:sz w:val="20"/>
          <w:szCs w:val="20"/>
        </w:rPr>
        <w:lastRenderedPageBreak/>
        <w:t>3</w:t>
      </w:r>
      <w:r w:rsidR="00BD2BD6" w:rsidRPr="00B01F9E">
        <w:rPr>
          <w:rStyle w:val="Heading4Char"/>
          <w:rFonts w:ascii="Arial" w:hAnsi="Arial" w:cs="Arial"/>
          <w:b/>
          <w:color w:val="auto"/>
          <w:sz w:val="20"/>
          <w:szCs w:val="20"/>
        </w:rPr>
        <w:t xml:space="preserve">.7.4.3 </w:t>
      </w:r>
      <w:hyperlink w:anchor="Gap_15" w:history="1">
        <w:r w:rsidR="004C1CD3" w:rsidRPr="00B01F9E">
          <w:rPr>
            <w:rFonts w:ascii="Arial" w:hAnsi="Arial" w:cs="Arial"/>
            <w:b/>
            <w:i w:val="0"/>
            <w:color w:val="auto"/>
            <w:sz w:val="20"/>
            <w:szCs w:val="20"/>
          </w:rPr>
          <w:t>Or</w:t>
        </w:r>
        <w:bookmarkStart w:id="270" w:name="_Hlt175730043"/>
        <w:r w:rsidR="004C1CD3" w:rsidRPr="00B01F9E">
          <w:rPr>
            <w:rFonts w:ascii="Arial" w:hAnsi="Arial" w:cs="Arial"/>
            <w:b/>
            <w:i w:val="0"/>
            <w:color w:val="auto"/>
            <w:sz w:val="20"/>
            <w:szCs w:val="20"/>
          </w:rPr>
          <w:t>d</w:t>
        </w:r>
        <w:bookmarkEnd w:id="270"/>
        <w:r w:rsidR="004C1CD3" w:rsidRPr="00B01F9E">
          <w:rPr>
            <w:rFonts w:ascii="Arial" w:hAnsi="Arial" w:cs="Arial"/>
            <w:b/>
            <w:i w:val="0"/>
            <w:color w:val="auto"/>
            <w:sz w:val="20"/>
            <w:szCs w:val="20"/>
          </w:rPr>
          <w:t>ere</w:t>
        </w:r>
        <w:bookmarkStart w:id="271" w:name="_Hlt175765739"/>
        <w:r w:rsidR="004C1CD3" w:rsidRPr="00B01F9E">
          <w:rPr>
            <w:rFonts w:ascii="Arial" w:hAnsi="Arial" w:cs="Arial"/>
            <w:b/>
            <w:i w:val="0"/>
            <w:color w:val="auto"/>
            <w:sz w:val="20"/>
            <w:szCs w:val="20"/>
          </w:rPr>
          <w:t>d</w:t>
        </w:r>
        <w:bookmarkEnd w:id="271"/>
        <w:r w:rsidR="004C1CD3" w:rsidRPr="00B01F9E">
          <w:rPr>
            <w:rFonts w:ascii="Arial" w:hAnsi="Arial" w:cs="Arial"/>
            <w:b/>
            <w:i w:val="0"/>
            <w:color w:val="auto"/>
            <w:sz w:val="20"/>
            <w:szCs w:val="20"/>
          </w:rPr>
          <w:t xml:space="preserve"> test LO</w:t>
        </w:r>
        <w:bookmarkStart w:id="272" w:name="_Hlt175730752"/>
        <w:r w:rsidR="004C1CD3" w:rsidRPr="00B01F9E">
          <w:rPr>
            <w:rFonts w:ascii="Arial" w:hAnsi="Arial" w:cs="Arial"/>
            <w:b/>
            <w:i w:val="0"/>
            <w:color w:val="auto"/>
            <w:sz w:val="20"/>
            <w:szCs w:val="20"/>
          </w:rPr>
          <w:t>I</w:t>
        </w:r>
        <w:bookmarkEnd w:id="272"/>
        <w:r w:rsidR="004C1CD3" w:rsidRPr="00B01F9E">
          <w:rPr>
            <w:rFonts w:ascii="Arial" w:hAnsi="Arial" w:cs="Arial"/>
            <w:b/>
            <w:i w:val="0"/>
            <w:color w:val="auto"/>
            <w:sz w:val="20"/>
            <w:szCs w:val="20"/>
          </w:rPr>
          <w:t>NC c</w:t>
        </w:r>
        <w:bookmarkStart w:id="273" w:name="_Hlt175667955"/>
        <w:r w:rsidR="004C1CD3" w:rsidRPr="00B01F9E">
          <w:rPr>
            <w:rFonts w:ascii="Arial" w:hAnsi="Arial" w:cs="Arial"/>
            <w:b/>
            <w:i w:val="0"/>
            <w:color w:val="auto"/>
            <w:sz w:val="20"/>
            <w:szCs w:val="20"/>
          </w:rPr>
          <w:t>o</w:t>
        </w:r>
        <w:bookmarkEnd w:id="273"/>
        <w:r w:rsidR="004C1CD3" w:rsidRPr="00B01F9E">
          <w:rPr>
            <w:rFonts w:ascii="Arial" w:hAnsi="Arial" w:cs="Arial"/>
            <w:b/>
            <w:i w:val="0"/>
            <w:color w:val="auto"/>
            <w:sz w:val="20"/>
            <w:szCs w:val="20"/>
          </w:rPr>
          <w:t>de issue fo</w:t>
        </w:r>
        <w:bookmarkStart w:id="274" w:name="_Hlt175729416"/>
        <w:r w:rsidR="004C1CD3" w:rsidRPr="00B01F9E">
          <w:rPr>
            <w:rFonts w:ascii="Arial" w:hAnsi="Arial" w:cs="Arial"/>
            <w:b/>
            <w:i w:val="0"/>
            <w:color w:val="auto"/>
            <w:sz w:val="20"/>
            <w:szCs w:val="20"/>
          </w:rPr>
          <w:t>r</w:t>
        </w:r>
        <w:bookmarkEnd w:id="274"/>
        <w:r w:rsidR="004C1CD3" w:rsidRPr="00B01F9E">
          <w:rPr>
            <w:rFonts w:ascii="Arial" w:hAnsi="Arial" w:cs="Arial"/>
            <w:b/>
            <w:i w:val="0"/>
            <w:color w:val="auto"/>
            <w:sz w:val="20"/>
            <w:szCs w:val="20"/>
          </w:rPr>
          <w:t xml:space="preserve"> AST in Epic Result Message:</w:t>
        </w:r>
      </w:hyperlink>
      <w:bookmarkEnd w:id="269"/>
      <w:r w:rsidR="004C1CD3" w:rsidRPr="00B01F9E">
        <w:rPr>
          <w:rFonts w:ascii="Arial" w:eastAsia="Yu Gothic Light" w:hAnsi="Arial" w:cs="Arial"/>
          <w:b/>
          <w:i w:val="0"/>
          <w:color w:val="auto"/>
          <w:kern w:val="2"/>
          <w:sz w:val="20"/>
          <w:szCs w:val="20"/>
          <w14:ligatures w14:val="standardContextual"/>
        </w:rPr>
        <w:t xml:space="preserve"> </w:t>
      </w:r>
      <w:r w:rsidR="004C1CD3" w:rsidRPr="00B01F9E">
        <w:rPr>
          <w:rStyle w:val="Heading4Char"/>
          <w:rFonts w:ascii="Arial" w:hAnsi="Arial" w:cs="Arial"/>
          <w:color w:val="auto"/>
          <w:sz w:val="20"/>
          <w:szCs w:val="20"/>
        </w:rPr>
        <w:t>It was not possible to send the ordered test LOINC code for the anti-microbial susceptibility test (AST) in the Epic result message.</w:t>
      </w:r>
      <w:r w:rsidR="004C1CD3" w:rsidRPr="00B01F9E" w:rsidDel="00B7349D">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The Beaker system treated susceptibility tests as add-ons to the original culture order. This process ensured that the organism identified in the culture is correctly associated with its susceptibility, especially when multiple organisms are present. Consequently, it linked directly to the ordered culture test rather than creating a new order. Until resolved, the laboratory would continue to fail QA Program analysis for this element and other data elements of the susceptibility test due to the CAP logic hierarchy based on the ordered test LOINC code.</w:t>
      </w:r>
      <w:r w:rsidR="004C1CD3" w:rsidRPr="00B01F9E">
        <w:rPr>
          <w:rFonts w:ascii="Arial" w:eastAsia="Yu Gothic Light" w:hAnsi="Arial" w:cs="Arial"/>
          <w:kern w:val="2"/>
          <w:sz w:val="20"/>
          <w:szCs w:val="20"/>
          <w14:ligatures w14:val="standardContextual"/>
        </w:rPr>
        <w:tab/>
      </w:r>
    </w:p>
    <w:p w14:paraId="10D6BF76"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Duke addressed this issue by creating a procedure record for the susceptibility test, where the ordered test LOINC code is typically stored for most orders and linked it to the Beaker test definition. However, the add-on process for culture tests did not reference this procedure and the solution did not resolve this gap. </w:t>
      </w:r>
    </w:p>
    <w:p w14:paraId="197BDCA6" w14:textId="77777777" w:rsidR="004C1CD3" w:rsidRPr="00B01F9E" w:rsidRDefault="004C1CD3" w:rsidP="004C1CD3">
      <w:pPr>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3FCC8A6C" w14:textId="77777777" w:rsidR="004C1CD3" w:rsidRPr="00B01F9E" w:rsidRDefault="004C1CD3" w:rsidP="00210505">
      <w:pPr>
        <w:numPr>
          <w:ilvl w:val="0"/>
          <w:numId w:val="85"/>
        </w:numPr>
        <w:spacing w:before="120" w:after="120"/>
        <w:ind w:left="1008"/>
        <w:rPr>
          <w:rFonts w:ascii="Arial" w:eastAsia="Times New Roman" w:hAnsi="Arial" w:cs="Arial"/>
          <w:sz w:val="20"/>
          <w:szCs w:val="20"/>
        </w:rPr>
      </w:pPr>
      <w:r w:rsidRPr="00B01F9E">
        <w:rPr>
          <w:rFonts w:ascii="Arial" w:eastAsia="Calibri" w:hAnsi="Arial" w:cs="Arial"/>
          <w:kern w:val="2"/>
          <w:sz w:val="20"/>
          <w:szCs w:val="20"/>
          <w14:ligatures w14:val="standardContextual"/>
        </w:rPr>
        <w:t xml:space="preserve">Interim solution: The attempted workaround failed. In order to test the CAP logic for the entire susceptibility panel, the </w:t>
      </w:r>
      <w:proofErr w:type="gramStart"/>
      <w:r w:rsidRPr="00B01F9E">
        <w:rPr>
          <w:rFonts w:ascii="Arial" w:eastAsia="Calibri" w:hAnsi="Arial" w:cs="Arial"/>
          <w:kern w:val="2"/>
          <w:sz w:val="20"/>
          <w:szCs w:val="20"/>
          <w14:ligatures w14:val="standardContextual"/>
        </w:rPr>
        <w:t>Duke</w:t>
      </w:r>
      <w:proofErr w:type="gramEnd"/>
      <w:r w:rsidRPr="00B01F9E">
        <w:rPr>
          <w:rFonts w:ascii="Arial" w:eastAsia="Calibri" w:hAnsi="Arial" w:cs="Arial"/>
          <w:kern w:val="2"/>
          <w:sz w:val="20"/>
          <w:szCs w:val="20"/>
          <w14:ligatures w14:val="standardContextual"/>
        </w:rPr>
        <w:t xml:space="preserve"> team manually inserted the test ordered LOINC code into the </w:t>
      </w:r>
      <w:r w:rsidRPr="00B01F9E">
        <w:rPr>
          <w:rFonts w:ascii="Arial" w:eastAsia="Times New Roman" w:hAnsi="Arial" w:cs="Arial"/>
          <w:sz w:val="20"/>
          <w:szCs w:val="20"/>
        </w:rPr>
        <w:t>OBR segment and resubmitted the message.</w:t>
      </w:r>
      <w:r w:rsidRPr="00B01F9E" w:rsidDel="00EB7A8F">
        <w:rPr>
          <w:rFonts w:ascii="Arial" w:eastAsia="Times New Roman" w:hAnsi="Arial" w:cs="Arial"/>
          <w:sz w:val="20"/>
          <w:szCs w:val="20"/>
        </w:rPr>
        <w:t xml:space="preserve"> </w:t>
      </w:r>
      <w:r w:rsidRPr="00B01F9E">
        <w:rPr>
          <w:rFonts w:ascii="Arial" w:eastAsia="Times New Roman" w:hAnsi="Arial" w:cs="Arial"/>
          <w:sz w:val="20"/>
          <w:szCs w:val="20"/>
        </w:rPr>
        <w:t>This was not a viable solution and was only implemented to test out the logic built in the CAP system.</w:t>
      </w:r>
    </w:p>
    <w:p w14:paraId="24E71AF7"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Times New Roman" w:hAnsi="Arial" w:cs="Arial"/>
          <w:sz w:val="20"/>
          <w:szCs w:val="20"/>
        </w:rPr>
        <w:t>Long-term</w:t>
      </w:r>
      <w:r w:rsidRPr="00B01F9E">
        <w:rPr>
          <w:rFonts w:ascii="Arial" w:eastAsia="Calibri" w:hAnsi="Arial" w:cs="Arial"/>
          <w:kern w:val="2"/>
          <w:sz w:val="20"/>
          <w:szCs w:val="20"/>
          <w14:ligatures w14:val="standardContextual"/>
        </w:rPr>
        <w:t xml:space="preserve"> solution: LIS vendor system development is needed to define a means to capture and transmit the test ordered LOINC code. </w:t>
      </w:r>
    </w:p>
    <w:p w14:paraId="51024561" w14:textId="420ABDDF" w:rsidR="004C1CD3" w:rsidRPr="00B01F9E" w:rsidRDefault="009F1F82" w:rsidP="00BD2BD6">
      <w:pPr>
        <w:pStyle w:val="Heading4"/>
        <w:ind w:left="450" w:hanging="450"/>
        <w:rPr>
          <w:rStyle w:val="Heading4Char"/>
          <w:rFonts w:ascii="Arial" w:hAnsi="Arial" w:cs="Arial"/>
          <w:color w:val="auto"/>
          <w:sz w:val="20"/>
          <w:szCs w:val="20"/>
        </w:rPr>
      </w:pPr>
      <w:bookmarkStart w:id="275" w:name="_Unable_to_capture_1"/>
      <w:bookmarkStart w:id="276" w:name="Gap_16_16"/>
      <w:bookmarkEnd w:id="275"/>
      <w:r w:rsidRPr="00B01F9E">
        <w:rPr>
          <w:rStyle w:val="Heading4Char"/>
          <w:rFonts w:ascii="Arial" w:hAnsi="Arial" w:cs="Arial"/>
          <w:b/>
          <w:bCs/>
          <w:color w:val="auto"/>
          <w:sz w:val="20"/>
          <w:szCs w:val="20"/>
        </w:rPr>
        <w:t>3</w:t>
      </w:r>
      <w:r w:rsidR="00BD2BD6" w:rsidRPr="00B01F9E">
        <w:rPr>
          <w:rStyle w:val="Heading4Char"/>
          <w:rFonts w:ascii="Arial" w:hAnsi="Arial" w:cs="Arial"/>
          <w:b/>
          <w:bCs/>
          <w:color w:val="auto"/>
          <w:sz w:val="20"/>
          <w:szCs w:val="20"/>
        </w:rPr>
        <w:t xml:space="preserve">.7.4.4 </w:t>
      </w:r>
      <w:hyperlink w:anchor="Gap_16" w:history="1">
        <w:r w:rsidR="004C1CD3" w:rsidRPr="00B01F9E">
          <w:rPr>
            <w:rFonts w:ascii="Arial" w:eastAsia="Yu Gothic Light" w:hAnsi="Arial" w:cs="Arial"/>
            <w:b/>
            <w:i w:val="0"/>
            <w:color w:val="auto"/>
            <w:kern w:val="2"/>
            <w:sz w:val="20"/>
            <w:szCs w:val="20"/>
            <w14:ligatures w14:val="standardContextual"/>
          </w:rPr>
          <w:t>Faile</w:t>
        </w:r>
        <w:bookmarkStart w:id="277" w:name="_Hlt175730040"/>
        <w:bookmarkStart w:id="278" w:name="_Hlt175730760"/>
        <w:r w:rsidR="004C1CD3" w:rsidRPr="00B01F9E">
          <w:rPr>
            <w:rFonts w:ascii="Arial" w:eastAsia="Yu Gothic Light" w:hAnsi="Arial" w:cs="Arial"/>
            <w:b/>
            <w:i w:val="0"/>
            <w:color w:val="auto"/>
            <w:kern w:val="2"/>
            <w:sz w:val="20"/>
            <w:szCs w:val="20"/>
            <w14:ligatures w14:val="standardContextual"/>
          </w:rPr>
          <w:t>d</w:t>
        </w:r>
        <w:bookmarkEnd w:id="277"/>
        <w:bookmarkEnd w:id="278"/>
        <w:r w:rsidR="004C1CD3" w:rsidRPr="00B01F9E">
          <w:rPr>
            <w:rFonts w:ascii="Arial" w:eastAsia="Yu Gothic Light" w:hAnsi="Arial" w:cs="Arial"/>
            <w:b/>
            <w:i w:val="0"/>
            <w:color w:val="auto"/>
            <w:kern w:val="2"/>
            <w:sz w:val="20"/>
            <w:szCs w:val="20"/>
            <w14:ligatures w14:val="standardContextual"/>
          </w:rPr>
          <w:t xml:space="preserve"> to</w:t>
        </w:r>
        <w:bookmarkStart w:id="279" w:name="_Hlt175765743"/>
        <w:r w:rsidR="004C1CD3" w:rsidRPr="00B01F9E">
          <w:rPr>
            <w:rFonts w:ascii="Arial" w:eastAsia="Yu Gothic Light" w:hAnsi="Arial" w:cs="Arial"/>
            <w:b/>
            <w:i w:val="0"/>
            <w:color w:val="auto"/>
            <w:kern w:val="2"/>
            <w:sz w:val="20"/>
            <w:szCs w:val="20"/>
            <w14:ligatures w14:val="standardContextual"/>
          </w:rPr>
          <w:t xml:space="preserve"> </w:t>
        </w:r>
        <w:bookmarkEnd w:id="279"/>
        <w:r w:rsidR="004C1CD3" w:rsidRPr="00B01F9E">
          <w:rPr>
            <w:rFonts w:ascii="Arial" w:eastAsia="Yu Gothic Light" w:hAnsi="Arial" w:cs="Arial"/>
            <w:b/>
            <w:i w:val="0"/>
            <w:color w:val="auto"/>
            <w:kern w:val="2"/>
            <w:sz w:val="20"/>
            <w:szCs w:val="20"/>
            <w14:ligatures w14:val="standardContextual"/>
          </w:rPr>
          <w:t>sen</w:t>
        </w:r>
        <w:bookmarkStart w:id="280" w:name="_Hlt175667960"/>
        <w:r w:rsidR="004C1CD3" w:rsidRPr="00B01F9E">
          <w:rPr>
            <w:rFonts w:ascii="Arial" w:eastAsia="Yu Gothic Light" w:hAnsi="Arial" w:cs="Arial"/>
            <w:b/>
            <w:i w:val="0"/>
            <w:color w:val="auto"/>
            <w:kern w:val="2"/>
            <w:sz w:val="20"/>
            <w:szCs w:val="20"/>
            <w14:ligatures w14:val="standardContextual"/>
          </w:rPr>
          <w:t>d</w:t>
        </w:r>
        <w:bookmarkEnd w:id="280"/>
        <w:r w:rsidR="004C1CD3" w:rsidRPr="00B01F9E">
          <w:rPr>
            <w:rFonts w:ascii="Arial" w:eastAsia="Yu Gothic Light" w:hAnsi="Arial" w:cs="Arial"/>
            <w:b/>
            <w:i w:val="0"/>
            <w:color w:val="auto"/>
            <w:kern w:val="2"/>
            <w:sz w:val="20"/>
            <w:szCs w:val="20"/>
            <w14:ligatures w14:val="standardContextual"/>
          </w:rPr>
          <w:t xml:space="preserve"> UDIs in OBX segments for AST with</w:t>
        </w:r>
        <w:bookmarkStart w:id="281" w:name="_Hlt175729436"/>
        <w:r w:rsidR="004C1CD3" w:rsidRPr="00B01F9E">
          <w:rPr>
            <w:rFonts w:ascii="Arial" w:eastAsia="Yu Gothic Light" w:hAnsi="Arial" w:cs="Arial"/>
            <w:b/>
            <w:i w:val="0"/>
            <w:color w:val="auto"/>
            <w:kern w:val="2"/>
            <w:sz w:val="20"/>
            <w:szCs w:val="20"/>
            <w14:ligatures w14:val="standardContextual"/>
          </w:rPr>
          <w:t xml:space="preserve"> </w:t>
        </w:r>
        <w:bookmarkEnd w:id="281"/>
        <w:r w:rsidR="004C1CD3" w:rsidRPr="00B01F9E">
          <w:rPr>
            <w:rFonts w:ascii="Arial" w:eastAsia="Yu Gothic Light" w:hAnsi="Arial" w:cs="Arial"/>
            <w:b/>
            <w:i w:val="0"/>
            <w:color w:val="auto"/>
            <w:kern w:val="2"/>
            <w:sz w:val="20"/>
            <w:szCs w:val="20"/>
            <w14:ligatures w14:val="standardContextual"/>
          </w:rPr>
          <w:t>antibiotic results:</w:t>
        </w:r>
        <w:r w:rsidR="004C1CD3" w:rsidRPr="00B01F9E">
          <w:rPr>
            <w:rFonts w:ascii="Arial" w:eastAsia="Yu Gothic Light" w:hAnsi="Arial" w:cs="Arial"/>
            <w:b/>
            <w:i w:val="0"/>
            <w:color w:val="0563C1"/>
            <w:kern w:val="2"/>
            <w:sz w:val="20"/>
            <w:szCs w:val="20"/>
            <w14:ligatures w14:val="standardContextual"/>
          </w:rPr>
          <w:t xml:space="preserve"> </w:t>
        </w:r>
      </w:hyperlink>
      <w:bookmarkEnd w:id="276"/>
      <w:r w:rsidR="004C1CD3" w:rsidRPr="00B01F9E">
        <w:rPr>
          <w:rStyle w:val="Heading4Char"/>
          <w:rFonts w:ascii="Arial" w:hAnsi="Arial" w:cs="Arial"/>
          <w:color w:val="auto"/>
          <w:sz w:val="20"/>
          <w:szCs w:val="20"/>
        </w:rPr>
        <w:t xml:space="preserve">Capturing and sending UDIs (kit and device) in the OBX segments was unsuccessful for the antibiotic susceptibility results. Duke correctly defined the method associated with the AST test which contains the UDIs for both the kit and device. This issue is </w:t>
      </w:r>
      <w:proofErr w:type="gramStart"/>
      <w:r w:rsidR="004C1CD3" w:rsidRPr="00B01F9E">
        <w:rPr>
          <w:rStyle w:val="Heading4Char"/>
          <w:rFonts w:ascii="Arial" w:hAnsi="Arial" w:cs="Arial"/>
          <w:color w:val="auto"/>
          <w:sz w:val="20"/>
          <w:szCs w:val="20"/>
        </w:rPr>
        <w:t>similar to</w:t>
      </w:r>
      <w:proofErr w:type="gramEnd"/>
      <w:r w:rsidR="00617783" w:rsidRPr="00B01F9E">
        <w:rPr>
          <w:rStyle w:val="Heading4Char"/>
          <w:rFonts w:ascii="Arial" w:hAnsi="Arial" w:cs="Arial"/>
          <w:color w:val="auto"/>
          <w:sz w:val="20"/>
          <w:szCs w:val="20"/>
        </w:rPr>
        <w:t xml:space="preserve"> </w:t>
      </w:r>
      <w:r w:rsidR="00617783" w:rsidRPr="00B01F9E">
        <w:rPr>
          <w:rFonts w:ascii="Arial" w:hAnsi="Arial" w:cs="Arial"/>
          <w:i w:val="0"/>
          <w:iCs w:val="0"/>
          <w:color w:val="auto"/>
          <w:sz w:val="20"/>
          <w:szCs w:val="20"/>
        </w:rPr>
        <w:t xml:space="preserve">Gap </w:t>
      </w:r>
      <w:r w:rsidRPr="00B01F9E">
        <w:rPr>
          <w:rFonts w:ascii="Arial" w:hAnsi="Arial" w:cs="Arial"/>
          <w:i w:val="0"/>
          <w:iCs w:val="0"/>
          <w:color w:val="auto"/>
          <w:sz w:val="20"/>
          <w:szCs w:val="20"/>
        </w:rPr>
        <w:t>3</w:t>
      </w:r>
      <w:r w:rsidR="00617783" w:rsidRPr="00B01F9E">
        <w:rPr>
          <w:rFonts w:ascii="Arial" w:hAnsi="Arial" w:cs="Arial"/>
          <w:i w:val="0"/>
          <w:iCs w:val="0"/>
          <w:color w:val="auto"/>
          <w:sz w:val="20"/>
          <w:szCs w:val="20"/>
        </w:rPr>
        <w:t>.7.4.3</w:t>
      </w:r>
      <w:r w:rsidR="004C1CD3" w:rsidRPr="00B01F9E">
        <w:rPr>
          <w:rStyle w:val="Heading4Char"/>
          <w:rFonts w:ascii="Arial" w:hAnsi="Arial" w:cs="Arial"/>
          <w:i/>
          <w:iCs/>
          <w:color w:val="auto"/>
          <w:sz w:val="20"/>
          <w:szCs w:val="20"/>
        </w:rPr>
        <w:t>,</w:t>
      </w:r>
      <w:r w:rsidR="004C1CD3" w:rsidRPr="00B01F9E">
        <w:rPr>
          <w:rStyle w:val="Heading4Char"/>
          <w:rFonts w:ascii="Arial" w:hAnsi="Arial" w:cs="Arial"/>
          <w:i/>
          <w:color w:val="auto"/>
          <w:sz w:val="20"/>
          <w:szCs w:val="20"/>
        </w:rPr>
        <w:t xml:space="preserve"> </w:t>
      </w:r>
      <w:r w:rsidR="004C1CD3" w:rsidRPr="00B01F9E">
        <w:rPr>
          <w:rStyle w:val="Heading4Char"/>
          <w:rFonts w:ascii="Arial" w:hAnsi="Arial" w:cs="Arial"/>
          <w:color w:val="auto"/>
          <w:sz w:val="20"/>
          <w:szCs w:val="20"/>
        </w:rPr>
        <w:t>where the absence of the AST ordered test LOINC code in the HL7 message was due to the AST being an add-on feature to the culture order. This issue was not resolved in the POC.</w:t>
      </w:r>
      <w:r w:rsidR="004C1CD3" w:rsidRPr="00B01F9E">
        <w:rPr>
          <w:rStyle w:val="Heading4Char"/>
          <w:rFonts w:ascii="Arial" w:hAnsi="Arial" w:cs="Arial"/>
          <w:color w:val="auto"/>
          <w:sz w:val="20"/>
          <w:szCs w:val="20"/>
        </w:rPr>
        <w:tab/>
      </w:r>
    </w:p>
    <w:p w14:paraId="5F2C774C" w14:textId="77777777" w:rsidR="004C1CD3" w:rsidRPr="00B01F9E" w:rsidRDefault="004C1CD3" w:rsidP="004C1CD3">
      <w:pPr>
        <w:spacing w:before="120" w:after="120"/>
        <w:ind w:left="432"/>
        <w:contextualSpacing/>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47E98F60"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No interim solution was able to be identified or implemented. </w:t>
      </w:r>
    </w:p>
    <w:p w14:paraId="662E3DE0" w14:textId="58575403"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LIS vendor system development is needed to define a means to capture the UDIs in a more workable solution and configure their interface to utilize OBX-18</w:t>
      </w:r>
      <w:r w:rsidR="00A84789" w:rsidRPr="00B01F9E">
        <w:rPr>
          <w:rFonts w:ascii="Arial" w:eastAsia="Calibri" w:hAnsi="Arial" w:cs="Arial"/>
          <w:kern w:val="2"/>
          <w:sz w:val="20"/>
          <w:szCs w:val="20"/>
          <w14:ligatures w14:val="standardContextual"/>
        </w:rPr>
        <w:t>.</w:t>
      </w:r>
      <w:r w:rsidRPr="00B01F9E">
        <w:rPr>
          <w:rFonts w:ascii="Arial" w:eastAsia="Calibri" w:hAnsi="Arial" w:cs="Arial"/>
          <w:kern w:val="2"/>
          <w:sz w:val="20"/>
          <w:szCs w:val="20"/>
          <w14:ligatures w14:val="standardContextual"/>
        </w:rPr>
        <w:t xml:space="preserve"> </w:t>
      </w:r>
    </w:p>
    <w:p w14:paraId="170898B6" w14:textId="33621790" w:rsidR="004C1CD3" w:rsidRPr="00B01F9E" w:rsidRDefault="009F1F82" w:rsidP="00FB088B">
      <w:pPr>
        <w:pStyle w:val="Heading3"/>
        <w:spacing w:before="0" w:after="120"/>
        <w:rPr>
          <w:rFonts w:ascii="Arial" w:eastAsia="Yu Gothic Light" w:hAnsi="Arial" w:cs="Arial"/>
          <w:b/>
          <w:bCs/>
          <w:i/>
          <w:iCs/>
          <w:color w:val="009BBF"/>
          <w:kern w:val="2"/>
          <w:sz w:val="20"/>
          <w:szCs w:val="20"/>
          <w14:ligatures w14:val="standardContextual"/>
        </w:rPr>
      </w:pPr>
      <w:bookmarkStart w:id="282" w:name="_Ref174620570"/>
      <w:bookmarkStart w:id="283" w:name="_Toc177136997"/>
      <w:r w:rsidRPr="00B01F9E">
        <w:rPr>
          <w:rFonts w:ascii="Arial" w:eastAsia="Yu Gothic Light" w:hAnsi="Arial" w:cs="Arial"/>
          <w:b/>
          <w:i/>
          <w:iCs/>
          <w:color w:val="009BBF"/>
          <w:kern w:val="2"/>
          <w:sz w:val="20"/>
          <w:szCs w:val="20"/>
          <w14:ligatures w14:val="standardContextual"/>
        </w:rPr>
        <w:lastRenderedPageBreak/>
        <w:t>3</w:t>
      </w:r>
      <w:r w:rsidR="00BD2BD6" w:rsidRPr="00B01F9E">
        <w:rPr>
          <w:rFonts w:ascii="Arial" w:eastAsia="Yu Gothic Light" w:hAnsi="Arial" w:cs="Arial"/>
          <w:b/>
          <w:i/>
          <w:iCs/>
          <w:color w:val="009BBF"/>
          <w:kern w:val="2"/>
          <w:sz w:val="20"/>
          <w:szCs w:val="20"/>
          <w14:ligatures w14:val="standardContextual"/>
        </w:rPr>
        <w:t xml:space="preserve">.7.5 </w:t>
      </w:r>
      <w:r w:rsidR="00E30060" w:rsidRPr="00B01F9E">
        <w:rPr>
          <w:rFonts w:ascii="Arial" w:eastAsia="Yu Gothic Light" w:hAnsi="Arial" w:cs="Arial"/>
          <w:b/>
          <w:i/>
          <w:iCs/>
          <w:color w:val="009BBF"/>
          <w:kern w:val="2"/>
          <w:sz w:val="20"/>
          <w:szCs w:val="20"/>
          <w14:ligatures w14:val="standardContextual"/>
        </w:rPr>
        <w:t xml:space="preserve">Gaps </w:t>
      </w:r>
      <w:r w:rsidR="00E30060" w:rsidRPr="00B01F9E">
        <w:rPr>
          <w:rFonts w:ascii="Arial" w:eastAsia="Yu Gothic Light" w:hAnsi="Arial" w:cs="Arial"/>
          <w:b/>
          <w:bCs/>
          <w:i/>
          <w:iCs/>
          <w:color w:val="009BBF"/>
          <w:kern w:val="2"/>
          <w:sz w:val="20"/>
          <w:szCs w:val="20"/>
          <w14:ligatures w14:val="standardContextual"/>
        </w:rPr>
        <w:t>R</w:t>
      </w:r>
      <w:r w:rsidR="00E30060" w:rsidRPr="00B01F9E">
        <w:rPr>
          <w:rFonts w:ascii="Arial" w:eastAsia="Yu Gothic Light" w:hAnsi="Arial" w:cs="Arial"/>
          <w:b/>
          <w:i/>
          <w:iCs/>
          <w:color w:val="009BBF"/>
          <w:kern w:val="2"/>
          <w:sz w:val="20"/>
          <w:szCs w:val="20"/>
          <w14:ligatures w14:val="standardContextual"/>
        </w:rPr>
        <w:t xml:space="preserve">elated to </w:t>
      </w:r>
      <w:r w:rsidR="00E30060" w:rsidRPr="00B01F9E">
        <w:rPr>
          <w:rFonts w:ascii="Arial" w:eastAsia="Yu Gothic Light" w:hAnsi="Arial" w:cs="Arial"/>
          <w:b/>
          <w:bCs/>
          <w:i/>
          <w:iCs/>
          <w:color w:val="009BBF"/>
          <w:kern w:val="2"/>
          <w:sz w:val="20"/>
          <w:szCs w:val="20"/>
          <w14:ligatures w14:val="standardContextual"/>
        </w:rPr>
        <w:t xml:space="preserve">the </w:t>
      </w:r>
      <w:r w:rsidR="004C1CD3" w:rsidRPr="00B01F9E">
        <w:rPr>
          <w:rFonts w:ascii="Arial" w:eastAsia="Yu Gothic Light" w:hAnsi="Arial" w:cs="Arial"/>
          <w:b/>
          <w:bCs/>
          <w:i/>
          <w:iCs/>
          <w:color w:val="009BBF"/>
          <w:kern w:val="2"/>
          <w:sz w:val="20"/>
          <w:szCs w:val="20"/>
          <w14:ligatures w14:val="standardContextual"/>
        </w:rPr>
        <w:t xml:space="preserve">LIDR </w:t>
      </w:r>
      <w:r w:rsidR="00E30060" w:rsidRPr="00B01F9E">
        <w:rPr>
          <w:rFonts w:ascii="Arial" w:eastAsia="Yu Gothic Light" w:hAnsi="Arial" w:cs="Arial"/>
          <w:b/>
          <w:i/>
          <w:iCs/>
          <w:color w:val="009BBF"/>
          <w:kern w:val="2"/>
          <w:sz w:val="20"/>
          <w:szCs w:val="20"/>
          <w14:ligatures w14:val="standardContextual"/>
        </w:rPr>
        <w:t>Test Compendium Report</w:t>
      </w:r>
      <w:bookmarkEnd w:id="282"/>
      <w:bookmarkEnd w:id="283"/>
    </w:p>
    <w:p w14:paraId="3FD74BE5" w14:textId="17CA64A7" w:rsidR="004C1CD3" w:rsidRPr="00B01F9E" w:rsidRDefault="009F1F82" w:rsidP="00BD2BD6">
      <w:pPr>
        <w:pStyle w:val="Heading4"/>
        <w:ind w:left="450" w:hanging="450"/>
        <w:rPr>
          <w:rStyle w:val="Heading4Char"/>
          <w:rFonts w:ascii="Arial" w:hAnsi="Arial" w:cs="Arial"/>
          <w:b/>
          <w:color w:val="auto"/>
          <w:sz w:val="20"/>
          <w:szCs w:val="20"/>
        </w:rPr>
      </w:pPr>
      <w:bookmarkStart w:id="284" w:name="_Interface_table_usage"/>
      <w:bookmarkStart w:id="285" w:name="_Impact_of_using"/>
      <w:bookmarkStart w:id="286" w:name="_4.7.5.1_Impact_of"/>
      <w:bookmarkStart w:id="287" w:name="Gap_17_17"/>
      <w:bookmarkEnd w:id="284"/>
      <w:bookmarkEnd w:id="285"/>
      <w:bookmarkEnd w:id="286"/>
      <w:r w:rsidRPr="00B01F9E">
        <w:rPr>
          <w:rStyle w:val="Heading4Char"/>
          <w:rFonts w:ascii="Arial" w:hAnsi="Arial" w:cs="Arial"/>
          <w:b/>
          <w:color w:val="auto"/>
          <w:sz w:val="20"/>
          <w:szCs w:val="20"/>
        </w:rPr>
        <w:t>3</w:t>
      </w:r>
      <w:r w:rsidR="00BD2BD6" w:rsidRPr="00B01F9E">
        <w:rPr>
          <w:rStyle w:val="Heading4Char"/>
          <w:rFonts w:ascii="Arial" w:hAnsi="Arial" w:cs="Arial"/>
          <w:b/>
          <w:color w:val="auto"/>
          <w:sz w:val="20"/>
          <w:szCs w:val="20"/>
        </w:rPr>
        <w:t xml:space="preserve">.7.5.1 </w:t>
      </w:r>
      <w:hyperlink w:anchor="Gap_17" w:history="1">
        <w:r w:rsidR="004C1CD3" w:rsidRPr="00B01F9E">
          <w:rPr>
            <w:rFonts w:ascii="Arial" w:eastAsia="Yu Gothic Light" w:hAnsi="Arial" w:cs="Arial"/>
            <w:b/>
            <w:i w:val="0"/>
            <w:color w:val="auto"/>
            <w:kern w:val="2"/>
            <w:sz w:val="20"/>
            <w:szCs w:val="20"/>
            <w14:ligatures w14:val="standardContextual"/>
          </w:rPr>
          <w:t>Imp</w:t>
        </w:r>
        <w:bookmarkStart w:id="288" w:name="_Hlt175730765"/>
        <w:r w:rsidR="004C1CD3" w:rsidRPr="00B01F9E">
          <w:rPr>
            <w:rFonts w:ascii="Arial" w:eastAsia="Yu Gothic Light" w:hAnsi="Arial" w:cs="Arial"/>
            <w:b/>
            <w:i w:val="0"/>
            <w:color w:val="auto"/>
            <w:kern w:val="2"/>
            <w:sz w:val="20"/>
            <w:szCs w:val="20"/>
            <w14:ligatures w14:val="standardContextual"/>
          </w:rPr>
          <w:t>a</w:t>
        </w:r>
        <w:bookmarkStart w:id="289" w:name="_Hlt175769226"/>
        <w:bookmarkEnd w:id="288"/>
        <w:r w:rsidR="004C1CD3" w:rsidRPr="00B01F9E">
          <w:rPr>
            <w:rFonts w:ascii="Arial" w:eastAsia="Yu Gothic Light" w:hAnsi="Arial" w:cs="Arial"/>
            <w:b/>
            <w:i w:val="0"/>
            <w:color w:val="auto"/>
            <w:kern w:val="2"/>
            <w:sz w:val="20"/>
            <w:szCs w:val="20"/>
            <w14:ligatures w14:val="standardContextual"/>
          </w:rPr>
          <w:t>c</w:t>
        </w:r>
        <w:bookmarkEnd w:id="289"/>
        <w:r w:rsidR="004C1CD3" w:rsidRPr="00B01F9E">
          <w:rPr>
            <w:rFonts w:ascii="Arial" w:eastAsia="Yu Gothic Light" w:hAnsi="Arial" w:cs="Arial"/>
            <w:b/>
            <w:i w:val="0"/>
            <w:color w:val="auto"/>
            <w:kern w:val="2"/>
            <w:sz w:val="20"/>
            <w:szCs w:val="20"/>
            <w14:ligatures w14:val="standardContextual"/>
          </w:rPr>
          <w:t xml:space="preserve">t </w:t>
        </w:r>
        <w:bookmarkStart w:id="290" w:name="_Hlt175730036"/>
        <w:r w:rsidR="004C1CD3" w:rsidRPr="00B01F9E">
          <w:rPr>
            <w:rFonts w:ascii="Arial" w:eastAsia="Yu Gothic Light" w:hAnsi="Arial" w:cs="Arial"/>
            <w:b/>
            <w:i w:val="0"/>
            <w:color w:val="auto"/>
            <w:kern w:val="2"/>
            <w:sz w:val="20"/>
            <w:szCs w:val="20"/>
            <w14:ligatures w14:val="standardContextual"/>
          </w:rPr>
          <w:t>o</w:t>
        </w:r>
        <w:bookmarkStart w:id="291" w:name="_Hlt175729453"/>
        <w:bookmarkEnd w:id="290"/>
        <w:r w:rsidR="004C1CD3" w:rsidRPr="00B01F9E">
          <w:rPr>
            <w:rFonts w:ascii="Arial" w:eastAsia="Yu Gothic Light" w:hAnsi="Arial" w:cs="Arial"/>
            <w:b/>
            <w:i w:val="0"/>
            <w:color w:val="auto"/>
            <w:kern w:val="2"/>
            <w:sz w:val="20"/>
            <w:szCs w:val="20"/>
            <w14:ligatures w14:val="standardContextual"/>
          </w:rPr>
          <w:t>f</w:t>
        </w:r>
        <w:bookmarkStart w:id="292" w:name="_Hlt175667963"/>
        <w:bookmarkEnd w:id="291"/>
        <w:r w:rsidR="004C1CD3" w:rsidRPr="00B01F9E">
          <w:rPr>
            <w:rFonts w:ascii="Arial" w:eastAsia="Yu Gothic Light" w:hAnsi="Arial" w:cs="Arial"/>
            <w:b/>
            <w:i w:val="0"/>
            <w:color w:val="auto"/>
            <w:kern w:val="2"/>
            <w:sz w:val="20"/>
            <w:szCs w:val="20"/>
            <w14:ligatures w14:val="standardContextual"/>
          </w:rPr>
          <w:t xml:space="preserve"> </w:t>
        </w:r>
        <w:bookmarkStart w:id="293" w:name="_Hlt175731308"/>
        <w:bookmarkEnd w:id="292"/>
        <w:r w:rsidR="004C1CD3" w:rsidRPr="00B01F9E">
          <w:rPr>
            <w:rFonts w:ascii="Arial" w:eastAsia="Yu Gothic Light" w:hAnsi="Arial" w:cs="Arial"/>
            <w:b/>
            <w:i w:val="0"/>
            <w:color w:val="auto"/>
            <w:kern w:val="2"/>
            <w:sz w:val="20"/>
            <w:szCs w:val="20"/>
            <w14:ligatures w14:val="standardContextual"/>
          </w:rPr>
          <w:t>u</w:t>
        </w:r>
        <w:bookmarkStart w:id="294" w:name="_Hlt175765747"/>
        <w:bookmarkEnd w:id="293"/>
        <w:r w:rsidR="004C1CD3" w:rsidRPr="00B01F9E">
          <w:rPr>
            <w:rFonts w:ascii="Arial" w:eastAsia="Yu Gothic Light" w:hAnsi="Arial" w:cs="Arial"/>
            <w:b/>
            <w:i w:val="0"/>
            <w:color w:val="auto"/>
            <w:kern w:val="2"/>
            <w:sz w:val="20"/>
            <w:szCs w:val="20"/>
            <w14:ligatures w14:val="standardContextual"/>
          </w:rPr>
          <w:t>s</w:t>
        </w:r>
        <w:bookmarkEnd w:id="294"/>
        <w:r w:rsidR="004C1CD3" w:rsidRPr="00B01F9E">
          <w:rPr>
            <w:rFonts w:ascii="Arial" w:eastAsia="Yu Gothic Light" w:hAnsi="Arial" w:cs="Arial"/>
            <w:b/>
            <w:i w:val="0"/>
            <w:color w:val="auto"/>
            <w:kern w:val="2"/>
            <w:sz w:val="20"/>
            <w:szCs w:val="20"/>
            <w14:ligatures w14:val="standardContextual"/>
          </w:rPr>
          <w:t>ing in</w:t>
        </w:r>
        <w:bookmarkStart w:id="295" w:name="_Hlt175729476"/>
        <w:r w:rsidR="004C1CD3" w:rsidRPr="00B01F9E">
          <w:rPr>
            <w:rFonts w:ascii="Arial" w:eastAsia="Yu Gothic Light" w:hAnsi="Arial" w:cs="Arial"/>
            <w:b/>
            <w:i w:val="0"/>
            <w:color w:val="auto"/>
            <w:kern w:val="2"/>
            <w:sz w:val="20"/>
            <w:szCs w:val="20"/>
            <w14:ligatures w14:val="standardContextual"/>
          </w:rPr>
          <w:t>t</w:t>
        </w:r>
        <w:bookmarkEnd w:id="295"/>
        <w:r w:rsidR="004C1CD3" w:rsidRPr="00B01F9E">
          <w:rPr>
            <w:rFonts w:ascii="Arial" w:eastAsia="Yu Gothic Light" w:hAnsi="Arial" w:cs="Arial"/>
            <w:b/>
            <w:i w:val="0"/>
            <w:color w:val="auto"/>
            <w:kern w:val="2"/>
            <w:sz w:val="20"/>
            <w:szCs w:val="20"/>
            <w14:ligatures w14:val="standardContextual"/>
          </w:rPr>
          <w:t>e</w:t>
        </w:r>
        <w:bookmarkStart w:id="296" w:name="_Hlt175729445"/>
        <w:r w:rsidR="004C1CD3" w:rsidRPr="00B01F9E">
          <w:rPr>
            <w:rFonts w:ascii="Arial" w:eastAsia="Yu Gothic Light" w:hAnsi="Arial" w:cs="Arial"/>
            <w:b/>
            <w:i w:val="0"/>
            <w:color w:val="auto"/>
            <w:kern w:val="2"/>
            <w:sz w:val="20"/>
            <w:szCs w:val="20"/>
            <w14:ligatures w14:val="standardContextual"/>
          </w:rPr>
          <w:t>r</w:t>
        </w:r>
        <w:bookmarkEnd w:id="296"/>
        <w:r w:rsidR="004C1CD3" w:rsidRPr="00B01F9E">
          <w:rPr>
            <w:rFonts w:ascii="Arial" w:eastAsia="Yu Gothic Light" w:hAnsi="Arial" w:cs="Arial"/>
            <w:b/>
            <w:i w:val="0"/>
            <w:color w:val="auto"/>
            <w:kern w:val="2"/>
            <w:sz w:val="20"/>
            <w:szCs w:val="20"/>
            <w14:ligatures w14:val="standardContextual"/>
          </w:rPr>
          <w:t>face table for mapping SNOMED CT codes:</w:t>
        </w:r>
      </w:hyperlink>
      <w:r w:rsidR="004C1CD3" w:rsidRPr="00B01F9E">
        <w:rPr>
          <w:rStyle w:val="Heading4Char"/>
          <w:rFonts w:ascii="Arial" w:hAnsi="Arial" w:cs="Arial"/>
          <w:b/>
          <w:color w:val="auto"/>
          <w:sz w:val="20"/>
          <w:szCs w:val="20"/>
        </w:rPr>
        <w:t xml:space="preserve"> </w:t>
      </w:r>
      <w:bookmarkEnd w:id="287"/>
      <w:r w:rsidR="004C1CD3" w:rsidRPr="00B01F9E">
        <w:rPr>
          <w:rStyle w:val="Heading4Char"/>
          <w:rFonts w:ascii="Arial" w:hAnsi="Arial" w:cs="Arial"/>
          <w:color w:val="auto"/>
          <w:sz w:val="20"/>
          <w:szCs w:val="20"/>
        </w:rPr>
        <w:t xml:space="preserve">Using an interface table to map SNOMED CT codes for specimen descriptions led to their omission in the LIDR Test Compendium Report. The </w:t>
      </w:r>
      <w:proofErr w:type="gramStart"/>
      <w:r w:rsidR="004C1CD3" w:rsidRPr="00B01F9E">
        <w:rPr>
          <w:rStyle w:val="Heading4Char"/>
          <w:rFonts w:ascii="Arial" w:hAnsi="Arial" w:cs="Arial"/>
          <w:color w:val="auto"/>
          <w:sz w:val="20"/>
          <w:szCs w:val="20"/>
        </w:rPr>
        <w:t>Duke</w:t>
      </w:r>
      <w:proofErr w:type="gramEnd"/>
      <w:r w:rsidR="004C1CD3" w:rsidRPr="00B01F9E">
        <w:rPr>
          <w:rStyle w:val="Heading4Char"/>
          <w:rFonts w:ascii="Arial" w:hAnsi="Arial" w:cs="Arial"/>
          <w:color w:val="auto"/>
          <w:sz w:val="20"/>
          <w:szCs w:val="20"/>
        </w:rPr>
        <w:t xml:space="preserve"> team was unable to directly map the specimen descriptors with SNOMED CT in the system. As a result, the LIDR Test Compendium Report could not capture the SNOMED CT codes for specimen type, source, or collection method. As mentioned</w:t>
      </w:r>
      <w:r w:rsidR="004C1CD3" w:rsidRPr="00B01F9E">
        <w:rPr>
          <w:rStyle w:val="Heading4Char"/>
          <w:rFonts w:ascii="Arial" w:hAnsi="Arial" w:cs="Arial"/>
          <w:i/>
          <w:iCs/>
          <w:color w:val="auto"/>
          <w:sz w:val="20"/>
          <w:szCs w:val="20"/>
        </w:rPr>
        <w:t>,</w:t>
      </w:r>
      <w:r w:rsidR="004C1CD3" w:rsidRPr="00B01F9E">
        <w:rPr>
          <w:rStyle w:val="Heading4Char"/>
          <w:rFonts w:ascii="Arial" w:hAnsi="Arial" w:cs="Arial"/>
          <w:color w:val="auto"/>
          <w:sz w:val="20"/>
          <w:szCs w:val="20"/>
        </w:rPr>
        <w:t xml:space="preserve"> these SNOMED CT codes were mapped using an interface table and were added to the result message after it was received by the interface. This process prevented the codes from being captured in the LIDR Test Compendium Report, which pulled the data from the actual test build dictionaries. Although the LIDR Test Compendium Report had columns for the specimen type and source, they were not populated.</w:t>
      </w:r>
      <w:r w:rsidR="004C1CD3" w:rsidRPr="00B01F9E" w:rsidDel="006B423F">
        <w:rPr>
          <w:rStyle w:val="Heading4Char"/>
          <w:rFonts w:ascii="Arial" w:hAnsi="Arial" w:cs="Arial"/>
          <w:color w:val="auto"/>
          <w:sz w:val="20"/>
          <w:szCs w:val="20"/>
        </w:rPr>
        <w:t xml:space="preserve"> </w:t>
      </w:r>
      <w:r w:rsidR="004C1CD3" w:rsidRPr="00B01F9E">
        <w:rPr>
          <w:rStyle w:val="Heading4Char"/>
          <w:rFonts w:ascii="Arial" w:hAnsi="Arial" w:cs="Arial"/>
          <w:color w:val="auto"/>
          <w:sz w:val="20"/>
          <w:szCs w:val="20"/>
        </w:rPr>
        <w:t>If the laboratory decided to update these terms with SNOMED CT, they could then be displayed on the developed report.</w:t>
      </w:r>
    </w:p>
    <w:p w14:paraId="4187587F" w14:textId="77777777" w:rsidR="004C1CD3" w:rsidRPr="00B01F9E" w:rsidRDefault="004C1CD3" w:rsidP="004C1CD3">
      <w:pPr>
        <w:spacing w:before="120" w:after="120"/>
        <w:ind w:left="979" w:hanging="547"/>
        <w:rPr>
          <w:rFonts w:ascii="Arial" w:eastAsia="Calibri" w:hAnsi="Arial" w:cs="Arial"/>
          <w:b/>
          <w:bCs/>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005AE4D8"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No interim solution was able to be identified or implemented.</w:t>
      </w:r>
    </w:p>
    <w:p w14:paraId="3A09EABE" w14:textId="00254154"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Long-term solution: Prepopulating and maintaining category lists with the correct SNOMED CT concepts by the LIS vendor could resolve this issue, as described in the </w:t>
      </w:r>
      <w:hyperlink w:anchor="Gap_8_8" w:history="1">
        <w:r w:rsidRPr="00B01F9E">
          <w:rPr>
            <w:rStyle w:val="Hyperlink"/>
            <w:rFonts w:ascii="Arial" w:eastAsia="Calibri" w:hAnsi="Arial" w:cs="Arial"/>
            <w:kern w:val="2"/>
            <w:sz w:val="20"/>
            <w:szCs w:val="20"/>
            <w14:ligatures w14:val="standardContextual"/>
          </w:rPr>
          <w:t xml:space="preserve">Gap </w:t>
        </w:r>
        <w:r w:rsidR="009F1F82" w:rsidRPr="00B01F9E">
          <w:rPr>
            <w:rStyle w:val="Hyperlink"/>
            <w:rFonts w:ascii="Arial" w:eastAsia="Calibri" w:hAnsi="Arial" w:cs="Arial"/>
            <w:kern w:val="2"/>
            <w:sz w:val="20"/>
            <w:szCs w:val="20"/>
            <w14:ligatures w14:val="standardContextual"/>
          </w:rPr>
          <w:t>3</w:t>
        </w:r>
        <w:r w:rsidR="00330B66" w:rsidRPr="00B01F9E">
          <w:rPr>
            <w:rStyle w:val="Hyperlink"/>
            <w:rFonts w:ascii="Arial" w:eastAsia="Calibri" w:hAnsi="Arial" w:cs="Arial"/>
            <w:kern w:val="2"/>
            <w:sz w:val="20"/>
            <w:szCs w:val="20"/>
            <w14:ligatures w14:val="standardContextual"/>
          </w:rPr>
          <w:t>.</w:t>
        </w:r>
        <w:bookmarkStart w:id="297" w:name="_Hlt175769307"/>
        <w:r w:rsidR="00330B66" w:rsidRPr="00B01F9E">
          <w:rPr>
            <w:rStyle w:val="Hyperlink"/>
            <w:rFonts w:ascii="Arial" w:eastAsia="Calibri" w:hAnsi="Arial" w:cs="Arial"/>
            <w:kern w:val="2"/>
            <w:sz w:val="20"/>
            <w:szCs w:val="20"/>
            <w14:ligatures w14:val="standardContextual"/>
          </w:rPr>
          <w:t>7</w:t>
        </w:r>
        <w:bookmarkEnd w:id="297"/>
        <w:r w:rsidR="00330B66" w:rsidRPr="00B01F9E">
          <w:rPr>
            <w:rStyle w:val="Hyperlink"/>
            <w:rFonts w:ascii="Arial" w:eastAsia="Calibri" w:hAnsi="Arial" w:cs="Arial"/>
            <w:kern w:val="2"/>
            <w:sz w:val="20"/>
            <w:szCs w:val="20"/>
            <w14:ligatures w14:val="standardContextual"/>
          </w:rPr>
          <w:t>.2</w:t>
        </w:r>
        <w:r w:rsidRPr="00B01F9E">
          <w:rPr>
            <w:rStyle w:val="Hyperlink"/>
            <w:rFonts w:ascii="Arial" w:eastAsia="Calibri" w:hAnsi="Arial" w:cs="Arial"/>
            <w:kern w:val="2"/>
            <w:sz w:val="20"/>
            <w:szCs w:val="20"/>
            <w14:ligatures w14:val="standardContextual"/>
          </w:rPr>
          <w:t>.1</w:t>
        </w:r>
      </w:hyperlink>
      <w:r w:rsidRPr="00B01F9E">
        <w:rPr>
          <w:rFonts w:ascii="Arial" w:eastAsia="Calibri" w:hAnsi="Arial" w:cs="Arial"/>
          <w:kern w:val="2"/>
          <w:sz w:val="20"/>
          <w:szCs w:val="20"/>
          <w14:ligatures w14:val="standardContextual"/>
        </w:rPr>
        <w:t xml:space="preserve"> long-term solution.</w:t>
      </w:r>
    </w:p>
    <w:p w14:paraId="297F3E50" w14:textId="27048A98" w:rsidR="004C1CD3" w:rsidRPr="00B01F9E" w:rsidRDefault="009F1F82" w:rsidP="00BD2BD6">
      <w:pPr>
        <w:pStyle w:val="Heading4"/>
        <w:ind w:left="450" w:hanging="450"/>
        <w:rPr>
          <w:rStyle w:val="Heading4Char"/>
          <w:rFonts w:ascii="Arial" w:hAnsi="Arial" w:cs="Arial"/>
          <w:color w:val="auto"/>
          <w:sz w:val="20"/>
          <w:szCs w:val="20"/>
        </w:rPr>
      </w:pPr>
      <w:bookmarkStart w:id="298" w:name="_Test_compendium_report"/>
      <w:bookmarkStart w:id="299" w:name="_LIDR_Test_Compendium"/>
      <w:bookmarkStart w:id="300" w:name="Gap_18_18"/>
      <w:bookmarkEnd w:id="298"/>
      <w:bookmarkEnd w:id="299"/>
      <w:r w:rsidRPr="00B01F9E">
        <w:rPr>
          <w:rStyle w:val="Heading4Char"/>
          <w:rFonts w:ascii="Arial" w:hAnsi="Arial" w:cs="Arial"/>
          <w:b/>
          <w:color w:val="auto"/>
          <w:sz w:val="20"/>
          <w:szCs w:val="20"/>
        </w:rPr>
        <w:t>3</w:t>
      </w:r>
      <w:r w:rsidR="00BD2BD6" w:rsidRPr="00B01F9E">
        <w:rPr>
          <w:rStyle w:val="Heading4Char"/>
          <w:rFonts w:ascii="Arial" w:hAnsi="Arial" w:cs="Arial"/>
          <w:b/>
          <w:color w:val="auto"/>
          <w:sz w:val="20"/>
          <w:szCs w:val="20"/>
        </w:rPr>
        <w:t xml:space="preserve">.7.5.2 </w:t>
      </w:r>
      <w:hyperlink w:anchor="Gap_18" w:history="1">
        <w:r w:rsidR="004C1CD3" w:rsidRPr="00B01F9E">
          <w:rPr>
            <w:rStyle w:val="Hyperlink"/>
            <w:rFonts w:ascii="Arial" w:eastAsia="Yu Gothic Light" w:hAnsi="Arial" w:cs="Arial"/>
            <w:b/>
            <w:i w:val="0"/>
            <w:color w:val="auto"/>
            <w:kern w:val="2"/>
            <w:sz w:val="20"/>
            <w:szCs w:val="20"/>
            <w:u w:val="none"/>
            <w14:ligatures w14:val="standardContextual"/>
          </w:rPr>
          <w:t>LID</w:t>
        </w:r>
        <w:bookmarkStart w:id="301" w:name="_Hlt175730768"/>
        <w:r w:rsidR="004C1CD3" w:rsidRPr="00B01F9E">
          <w:rPr>
            <w:rStyle w:val="Hyperlink"/>
            <w:rFonts w:ascii="Arial" w:eastAsia="Yu Gothic Light" w:hAnsi="Arial" w:cs="Arial"/>
            <w:b/>
            <w:i w:val="0"/>
            <w:color w:val="auto"/>
            <w:kern w:val="2"/>
            <w:sz w:val="20"/>
            <w:szCs w:val="20"/>
            <w:u w:val="none"/>
            <w14:ligatures w14:val="standardContextual"/>
          </w:rPr>
          <w:t>R</w:t>
        </w:r>
        <w:bookmarkEnd w:id="301"/>
        <w:r w:rsidR="004C1CD3" w:rsidRPr="00B01F9E">
          <w:rPr>
            <w:rStyle w:val="Hyperlink"/>
            <w:rFonts w:ascii="Arial" w:eastAsia="Yu Gothic Light" w:hAnsi="Arial" w:cs="Arial"/>
            <w:b/>
            <w:i w:val="0"/>
            <w:color w:val="auto"/>
            <w:kern w:val="2"/>
            <w:sz w:val="20"/>
            <w:szCs w:val="20"/>
            <w:u w:val="none"/>
            <w14:ligatures w14:val="standardContextual"/>
          </w:rPr>
          <w:t xml:space="preserve"> </w:t>
        </w:r>
        <w:bookmarkStart w:id="302" w:name="_Hlt175730033"/>
        <w:r w:rsidR="004C1CD3" w:rsidRPr="00B01F9E">
          <w:rPr>
            <w:rStyle w:val="Hyperlink"/>
            <w:rFonts w:ascii="Arial" w:eastAsia="Yu Gothic Light" w:hAnsi="Arial" w:cs="Arial"/>
            <w:b/>
            <w:i w:val="0"/>
            <w:color w:val="auto"/>
            <w:kern w:val="2"/>
            <w:sz w:val="20"/>
            <w:szCs w:val="20"/>
            <w:u w:val="none"/>
            <w14:ligatures w14:val="standardContextual"/>
          </w:rPr>
          <w:t>T</w:t>
        </w:r>
        <w:bookmarkStart w:id="303" w:name="_Hlt175765750"/>
        <w:bookmarkEnd w:id="302"/>
        <w:r w:rsidR="004C1CD3" w:rsidRPr="00B01F9E">
          <w:rPr>
            <w:rStyle w:val="Hyperlink"/>
            <w:rFonts w:ascii="Arial" w:eastAsia="Yu Gothic Light" w:hAnsi="Arial" w:cs="Arial"/>
            <w:b/>
            <w:i w:val="0"/>
            <w:color w:val="auto"/>
            <w:kern w:val="2"/>
            <w:sz w:val="20"/>
            <w:szCs w:val="20"/>
            <w:u w:val="none"/>
            <w14:ligatures w14:val="standardContextual"/>
          </w:rPr>
          <w:t>e</w:t>
        </w:r>
        <w:bookmarkEnd w:id="303"/>
        <w:r w:rsidR="004C1CD3" w:rsidRPr="00B01F9E">
          <w:rPr>
            <w:rStyle w:val="Hyperlink"/>
            <w:rFonts w:ascii="Arial" w:eastAsia="Yu Gothic Light" w:hAnsi="Arial" w:cs="Arial"/>
            <w:b/>
            <w:i w:val="0"/>
            <w:color w:val="auto"/>
            <w:kern w:val="2"/>
            <w:sz w:val="20"/>
            <w:szCs w:val="20"/>
            <w:u w:val="none"/>
            <w14:ligatures w14:val="standardContextual"/>
          </w:rPr>
          <w:t>st</w:t>
        </w:r>
        <w:bookmarkStart w:id="304" w:name="_Hlt175667966"/>
        <w:r w:rsidR="004C1CD3" w:rsidRPr="00B01F9E">
          <w:rPr>
            <w:rStyle w:val="Hyperlink"/>
            <w:rFonts w:ascii="Arial" w:eastAsia="Yu Gothic Light" w:hAnsi="Arial" w:cs="Arial"/>
            <w:b/>
            <w:i w:val="0"/>
            <w:color w:val="auto"/>
            <w:kern w:val="2"/>
            <w:sz w:val="20"/>
            <w:szCs w:val="20"/>
            <w:u w:val="none"/>
            <w14:ligatures w14:val="standardContextual"/>
          </w:rPr>
          <w:t xml:space="preserve"> </w:t>
        </w:r>
        <w:bookmarkEnd w:id="304"/>
        <w:r w:rsidR="004C1CD3" w:rsidRPr="00B01F9E">
          <w:rPr>
            <w:rStyle w:val="Hyperlink"/>
            <w:rFonts w:ascii="Arial" w:eastAsia="Yu Gothic Light" w:hAnsi="Arial" w:cs="Arial"/>
            <w:b/>
            <w:i w:val="0"/>
            <w:color w:val="auto"/>
            <w:kern w:val="2"/>
            <w:sz w:val="20"/>
            <w:szCs w:val="20"/>
            <w:u w:val="none"/>
            <w14:ligatures w14:val="standardContextual"/>
          </w:rPr>
          <w:t>Compen</w:t>
        </w:r>
        <w:bookmarkStart w:id="305" w:name="_Hlt175729499"/>
        <w:r w:rsidR="004C1CD3" w:rsidRPr="00B01F9E">
          <w:rPr>
            <w:rStyle w:val="Hyperlink"/>
            <w:rFonts w:ascii="Arial" w:eastAsia="Yu Gothic Light" w:hAnsi="Arial" w:cs="Arial"/>
            <w:b/>
            <w:i w:val="0"/>
            <w:color w:val="auto"/>
            <w:kern w:val="2"/>
            <w:sz w:val="20"/>
            <w:szCs w:val="20"/>
            <w:u w:val="none"/>
            <w14:ligatures w14:val="standardContextual"/>
          </w:rPr>
          <w:t>d</w:t>
        </w:r>
        <w:bookmarkEnd w:id="305"/>
        <w:r w:rsidR="004C1CD3" w:rsidRPr="00B01F9E">
          <w:rPr>
            <w:rStyle w:val="Hyperlink"/>
            <w:rFonts w:ascii="Arial" w:eastAsia="Yu Gothic Light" w:hAnsi="Arial" w:cs="Arial"/>
            <w:b/>
            <w:i w:val="0"/>
            <w:color w:val="auto"/>
            <w:kern w:val="2"/>
            <w:sz w:val="20"/>
            <w:szCs w:val="20"/>
            <w:u w:val="none"/>
            <w14:ligatures w14:val="standardContextual"/>
          </w:rPr>
          <w:t>ium Report did not contain specimen collection method column:</w:t>
        </w:r>
      </w:hyperlink>
      <w:bookmarkEnd w:id="300"/>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 xml:space="preserve">Despite the ability to add column headers to the LIDR Test Compendium Report, the data remained blank for the specimen type and source due to the use of the interface table for mapping to SNOMED CT codes. The </w:t>
      </w:r>
      <w:proofErr w:type="gramStart"/>
      <w:r w:rsidR="004C1CD3" w:rsidRPr="00B01F9E">
        <w:rPr>
          <w:rStyle w:val="Heading4Char"/>
          <w:rFonts w:ascii="Arial" w:hAnsi="Arial" w:cs="Arial"/>
          <w:color w:val="auto"/>
          <w:sz w:val="20"/>
          <w:szCs w:val="20"/>
        </w:rPr>
        <w:t>Duke</w:t>
      </w:r>
      <w:proofErr w:type="gramEnd"/>
      <w:r w:rsidR="004C1CD3" w:rsidRPr="00B01F9E">
        <w:rPr>
          <w:rStyle w:val="Heading4Char"/>
          <w:rFonts w:ascii="Arial" w:hAnsi="Arial" w:cs="Arial"/>
          <w:color w:val="auto"/>
          <w:sz w:val="20"/>
          <w:szCs w:val="20"/>
        </w:rPr>
        <w:t xml:space="preserve"> team was unable to add a column for the specimen collection method, even though it mapped to SNOMED CT in the same manner as the specimen source and type. The issue was related to the data structure and the linkage of these records to the ordered test, as well as how the report compiled this information. Even if a column for the specimen collection method was included in the report (e.g., specimen type and source columns), the data would still have been blank due to the use of an interface table.</w:t>
      </w:r>
    </w:p>
    <w:p w14:paraId="11864946"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67B5BD79"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No interim solution was able to be identified or implemented. </w:t>
      </w:r>
    </w:p>
    <w:p w14:paraId="4232A9E4" w14:textId="77777777" w:rsidR="004C1CD3" w:rsidRPr="00B01F9E" w:rsidRDefault="004C1CD3" w:rsidP="00210505">
      <w:pPr>
        <w:numPr>
          <w:ilvl w:val="0"/>
          <w:numId w:val="85"/>
        </w:numPr>
        <w:spacing w:before="120" w:after="120"/>
        <w:ind w:left="1008"/>
        <w:rPr>
          <w:rFonts w:ascii="Arial" w:eastAsia="Calibri" w:hAnsi="Arial" w:cs="Arial"/>
          <w:b/>
          <w:bCs/>
          <w:kern w:val="2"/>
          <w:sz w:val="20"/>
          <w:szCs w:val="20"/>
          <w14:ligatures w14:val="standardContextual"/>
        </w:rPr>
      </w:pPr>
      <w:r w:rsidRPr="00B01F9E">
        <w:rPr>
          <w:rFonts w:ascii="Arial" w:eastAsia="Calibri" w:hAnsi="Arial" w:cs="Arial"/>
          <w:kern w:val="2"/>
          <w:sz w:val="20"/>
          <w:szCs w:val="20"/>
          <w14:ligatures w14:val="standardContextual"/>
        </w:rPr>
        <w:t>Long-term solution: LIS vendor system development is needed to create a test compendium report which allows the capture of all LIDR data elements.</w:t>
      </w:r>
    </w:p>
    <w:p w14:paraId="2CAC6EFD" w14:textId="2F6AD563" w:rsidR="004C1CD3" w:rsidRPr="00B01F9E" w:rsidRDefault="009F1F82" w:rsidP="00BD2BD6">
      <w:pPr>
        <w:pStyle w:val="Heading4"/>
        <w:ind w:left="450" w:hanging="450"/>
        <w:rPr>
          <w:rStyle w:val="Heading4Char"/>
          <w:rFonts w:ascii="Arial" w:hAnsi="Arial" w:cs="Arial"/>
          <w:b/>
          <w:color w:val="auto"/>
          <w:sz w:val="20"/>
          <w:szCs w:val="20"/>
        </w:rPr>
      </w:pPr>
      <w:bookmarkStart w:id="306" w:name="_LIDR_Test_cCompendium"/>
      <w:bookmarkStart w:id="307" w:name="Gap_19_19"/>
      <w:bookmarkEnd w:id="306"/>
      <w:r w:rsidRPr="00B01F9E">
        <w:rPr>
          <w:rStyle w:val="Heading4Char"/>
          <w:rFonts w:ascii="Arial" w:hAnsi="Arial" w:cs="Arial"/>
          <w:b/>
          <w:bCs/>
          <w:color w:val="auto"/>
          <w:sz w:val="20"/>
          <w:szCs w:val="20"/>
        </w:rPr>
        <w:t>3</w:t>
      </w:r>
      <w:r w:rsidR="00BD2BD6" w:rsidRPr="00B01F9E">
        <w:rPr>
          <w:rStyle w:val="Heading4Char"/>
          <w:rFonts w:ascii="Arial" w:hAnsi="Arial" w:cs="Arial"/>
          <w:b/>
          <w:bCs/>
          <w:color w:val="auto"/>
          <w:sz w:val="20"/>
          <w:szCs w:val="20"/>
        </w:rPr>
        <w:t xml:space="preserve">.7.5.3 </w:t>
      </w:r>
      <w:hyperlink w:anchor="Gap_19" w:history="1">
        <w:r w:rsidR="004C1CD3" w:rsidRPr="00B01F9E">
          <w:rPr>
            <w:rStyle w:val="Hyperlink"/>
            <w:rFonts w:ascii="Arial" w:eastAsia="Yu Gothic Light" w:hAnsi="Arial" w:cs="Arial"/>
            <w:b/>
            <w:i w:val="0"/>
            <w:color w:val="auto"/>
            <w:kern w:val="2"/>
            <w:sz w:val="20"/>
            <w:szCs w:val="20"/>
            <w:u w:val="none"/>
            <w14:ligatures w14:val="standardContextual"/>
          </w:rPr>
          <w:t xml:space="preserve">LIDR </w:t>
        </w:r>
        <w:bookmarkStart w:id="308" w:name="_Hlt175730771"/>
        <w:r w:rsidR="004C1CD3" w:rsidRPr="00B01F9E">
          <w:rPr>
            <w:rStyle w:val="Hyperlink"/>
            <w:rFonts w:ascii="Arial" w:eastAsia="Yu Gothic Light" w:hAnsi="Arial" w:cs="Arial"/>
            <w:b/>
            <w:i w:val="0"/>
            <w:color w:val="auto"/>
            <w:kern w:val="2"/>
            <w:sz w:val="20"/>
            <w:szCs w:val="20"/>
            <w:u w:val="none"/>
            <w14:ligatures w14:val="standardContextual"/>
          </w:rPr>
          <w:t>T</w:t>
        </w:r>
        <w:bookmarkStart w:id="309" w:name="_Hlt175765754"/>
        <w:bookmarkEnd w:id="308"/>
        <w:r w:rsidR="004C1CD3" w:rsidRPr="00B01F9E">
          <w:rPr>
            <w:rStyle w:val="Hyperlink"/>
            <w:rFonts w:ascii="Arial" w:eastAsia="Yu Gothic Light" w:hAnsi="Arial" w:cs="Arial"/>
            <w:b/>
            <w:i w:val="0"/>
            <w:color w:val="auto"/>
            <w:kern w:val="2"/>
            <w:sz w:val="20"/>
            <w:szCs w:val="20"/>
            <w:u w:val="none"/>
            <w14:ligatures w14:val="standardContextual"/>
          </w:rPr>
          <w:t>e</w:t>
        </w:r>
        <w:bookmarkEnd w:id="309"/>
        <w:r w:rsidR="004C1CD3" w:rsidRPr="00B01F9E">
          <w:rPr>
            <w:rStyle w:val="Hyperlink"/>
            <w:rFonts w:ascii="Arial" w:eastAsia="Yu Gothic Light" w:hAnsi="Arial" w:cs="Arial"/>
            <w:b/>
            <w:i w:val="0"/>
            <w:color w:val="auto"/>
            <w:kern w:val="2"/>
            <w:sz w:val="20"/>
            <w:szCs w:val="20"/>
            <w:u w:val="none"/>
            <w14:ligatures w14:val="standardContextual"/>
          </w:rPr>
          <w:t xml:space="preserve">st </w:t>
        </w:r>
        <w:bookmarkStart w:id="310" w:name="_Hlt175667969"/>
        <w:r w:rsidR="004C1CD3" w:rsidRPr="00B01F9E">
          <w:rPr>
            <w:rStyle w:val="Hyperlink"/>
            <w:rFonts w:ascii="Arial" w:eastAsia="Yu Gothic Light" w:hAnsi="Arial" w:cs="Arial"/>
            <w:b/>
            <w:i w:val="0"/>
            <w:color w:val="auto"/>
            <w:kern w:val="2"/>
            <w:sz w:val="20"/>
            <w:szCs w:val="20"/>
            <w:u w:val="none"/>
            <w14:ligatures w14:val="standardContextual"/>
          </w:rPr>
          <w:t>C</w:t>
        </w:r>
        <w:bookmarkEnd w:id="310"/>
        <w:r w:rsidR="004C1CD3" w:rsidRPr="00B01F9E">
          <w:rPr>
            <w:rStyle w:val="Hyperlink"/>
            <w:rFonts w:ascii="Arial" w:eastAsia="Yu Gothic Light" w:hAnsi="Arial" w:cs="Arial"/>
            <w:b/>
            <w:i w:val="0"/>
            <w:color w:val="auto"/>
            <w:kern w:val="2"/>
            <w:sz w:val="20"/>
            <w:szCs w:val="20"/>
            <w:u w:val="none"/>
            <w14:ligatures w14:val="standardContextual"/>
          </w:rPr>
          <w:t>o</w:t>
        </w:r>
        <w:bookmarkStart w:id="311" w:name="_Hlt175729535"/>
        <w:r w:rsidR="004C1CD3" w:rsidRPr="00B01F9E">
          <w:rPr>
            <w:rStyle w:val="Hyperlink"/>
            <w:rFonts w:ascii="Arial" w:eastAsia="Yu Gothic Light" w:hAnsi="Arial" w:cs="Arial"/>
            <w:b/>
            <w:i w:val="0"/>
            <w:color w:val="auto"/>
            <w:kern w:val="2"/>
            <w:sz w:val="20"/>
            <w:szCs w:val="20"/>
            <w:u w:val="none"/>
            <w14:ligatures w14:val="standardContextual"/>
          </w:rPr>
          <w:t>m</w:t>
        </w:r>
        <w:bookmarkEnd w:id="311"/>
        <w:r w:rsidR="004C1CD3" w:rsidRPr="00B01F9E">
          <w:rPr>
            <w:rStyle w:val="Hyperlink"/>
            <w:rFonts w:ascii="Arial" w:eastAsia="Yu Gothic Light" w:hAnsi="Arial" w:cs="Arial"/>
            <w:b/>
            <w:i w:val="0"/>
            <w:color w:val="auto"/>
            <w:kern w:val="2"/>
            <w:sz w:val="20"/>
            <w:szCs w:val="20"/>
            <w:u w:val="none"/>
            <w14:ligatures w14:val="standardContextual"/>
          </w:rPr>
          <w:t>pendium R</w:t>
        </w:r>
        <w:bookmarkStart w:id="312" w:name="_Hlt175729509"/>
        <w:r w:rsidR="004C1CD3" w:rsidRPr="00B01F9E">
          <w:rPr>
            <w:rStyle w:val="Hyperlink"/>
            <w:rFonts w:ascii="Arial" w:eastAsia="Yu Gothic Light" w:hAnsi="Arial" w:cs="Arial"/>
            <w:b/>
            <w:i w:val="0"/>
            <w:color w:val="auto"/>
            <w:kern w:val="2"/>
            <w:sz w:val="20"/>
            <w:szCs w:val="20"/>
            <w:u w:val="none"/>
            <w14:ligatures w14:val="standardContextual"/>
          </w:rPr>
          <w:t>e</w:t>
        </w:r>
        <w:bookmarkEnd w:id="312"/>
        <w:r w:rsidR="004C1CD3" w:rsidRPr="00B01F9E">
          <w:rPr>
            <w:rStyle w:val="Hyperlink"/>
            <w:rFonts w:ascii="Arial" w:eastAsia="Yu Gothic Light" w:hAnsi="Arial" w:cs="Arial"/>
            <w:b/>
            <w:i w:val="0"/>
            <w:color w:val="auto"/>
            <w:kern w:val="2"/>
            <w:sz w:val="20"/>
            <w:szCs w:val="20"/>
            <w:u w:val="none"/>
            <w14:ligatures w14:val="standardContextual"/>
          </w:rPr>
          <w:t>port was not delivered via ideal electronic transfer:</w:t>
        </w:r>
      </w:hyperlink>
      <w:bookmarkEnd w:id="307"/>
      <w:r w:rsidR="004C1CD3" w:rsidRPr="00B01F9E">
        <w:rPr>
          <w:rStyle w:val="Heading4Char"/>
          <w:rFonts w:ascii="Arial" w:hAnsi="Arial" w:cs="Arial"/>
          <w:b/>
          <w:i/>
          <w:color w:val="auto"/>
          <w:sz w:val="20"/>
          <w:szCs w:val="20"/>
        </w:rPr>
        <w:t xml:space="preserve"> </w:t>
      </w:r>
      <w:r w:rsidR="004C1CD3" w:rsidRPr="00B01F9E">
        <w:rPr>
          <w:rStyle w:val="Heading4Char"/>
          <w:rFonts w:ascii="Arial" w:hAnsi="Arial" w:cs="Arial"/>
          <w:color w:val="auto"/>
          <w:sz w:val="20"/>
          <w:szCs w:val="20"/>
        </w:rPr>
        <w:t>The proposed LIDR Test Compendium Report export and delivery method was not implemented due to the set up required to store the report and make it available for file pickup.</w:t>
      </w:r>
    </w:p>
    <w:p w14:paraId="6E2AAD9C"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7653215F"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The interim solution was to email the LIDR Test Compendium Report to the CAP once it was exported from Beaker. The CAP was able to extract the required information from the emailed spreadsheet.</w:t>
      </w:r>
    </w:p>
    <w:p w14:paraId="6E342255"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lastRenderedPageBreak/>
        <w:t xml:space="preserve">Long-term solution: The ideal solution is to have the exported report stored on the laboratory network with an automated process designed to transfer the file to the CAP interface engine for delivery to CAP. </w:t>
      </w:r>
    </w:p>
    <w:p w14:paraId="61161B93" w14:textId="4DB270CC" w:rsidR="004C1CD3" w:rsidRPr="00B01F9E" w:rsidRDefault="009F1F82" w:rsidP="003A634B">
      <w:pPr>
        <w:pStyle w:val="Heading4"/>
        <w:ind w:left="450" w:hanging="450"/>
        <w:rPr>
          <w:rStyle w:val="Heading4Char"/>
          <w:rFonts w:ascii="Arial" w:hAnsi="Arial" w:cs="Arial"/>
          <w:b/>
          <w:color w:val="auto"/>
          <w:sz w:val="20"/>
          <w:szCs w:val="20"/>
        </w:rPr>
      </w:pPr>
      <w:bookmarkStart w:id="313" w:name="_The_delivered_LIDR"/>
      <w:bookmarkStart w:id="314" w:name="Gap_20_20"/>
      <w:bookmarkEnd w:id="313"/>
      <w:r w:rsidRPr="00B01F9E">
        <w:rPr>
          <w:rStyle w:val="Heading4Char"/>
          <w:rFonts w:ascii="Arial" w:hAnsi="Arial" w:cs="Arial"/>
          <w:b/>
          <w:bCs/>
          <w:color w:val="auto"/>
          <w:sz w:val="20"/>
          <w:szCs w:val="20"/>
        </w:rPr>
        <w:t>3</w:t>
      </w:r>
      <w:r w:rsidR="003A634B" w:rsidRPr="00B01F9E">
        <w:rPr>
          <w:rStyle w:val="Heading4Char"/>
          <w:rFonts w:ascii="Arial" w:hAnsi="Arial" w:cs="Arial"/>
          <w:b/>
          <w:bCs/>
          <w:color w:val="auto"/>
          <w:sz w:val="20"/>
          <w:szCs w:val="20"/>
        </w:rPr>
        <w:t xml:space="preserve">.7.5.4 </w:t>
      </w:r>
      <w:hyperlink w:anchor="Gap_20" w:history="1">
        <w:r w:rsidR="004C1CD3" w:rsidRPr="00B01F9E">
          <w:rPr>
            <w:rFonts w:ascii="Arial" w:eastAsia="Yu Gothic Light" w:hAnsi="Arial" w:cs="Arial"/>
            <w:b/>
            <w:i w:val="0"/>
            <w:color w:val="auto"/>
            <w:kern w:val="2"/>
            <w:sz w:val="20"/>
            <w:szCs w:val="20"/>
            <w14:ligatures w14:val="standardContextual"/>
          </w:rPr>
          <w:t>The d</w:t>
        </w:r>
        <w:bookmarkStart w:id="315" w:name="_Hlt175730774"/>
        <w:r w:rsidR="004C1CD3" w:rsidRPr="00B01F9E">
          <w:rPr>
            <w:rFonts w:ascii="Arial" w:eastAsia="Yu Gothic Light" w:hAnsi="Arial" w:cs="Arial"/>
            <w:b/>
            <w:i w:val="0"/>
            <w:color w:val="auto"/>
            <w:kern w:val="2"/>
            <w:sz w:val="20"/>
            <w:szCs w:val="20"/>
            <w14:ligatures w14:val="standardContextual"/>
          </w:rPr>
          <w:t>e</w:t>
        </w:r>
        <w:bookmarkEnd w:id="315"/>
        <w:r w:rsidR="004C1CD3" w:rsidRPr="00B01F9E">
          <w:rPr>
            <w:rFonts w:ascii="Arial" w:eastAsia="Yu Gothic Light" w:hAnsi="Arial" w:cs="Arial"/>
            <w:b/>
            <w:i w:val="0"/>
            <w:color w:val="auto"/>
            <w:kern w:val="2"/>
            <w:sz w:val="20"/>
            <w:szCs w:val="20"/>
            <w14:ligatures w14:val="standardContextual"/>
          </w:rPr>
          <w:t>l</w:t>
        </w:r>
        <w:bookmarkStart w:id="316" w:name="_Hlt175765757"/>
        <w:r w:rsidR="004C1CD3" w:rsidRPr="00B01F9E">
          <w:rPr>
            <w:rFonts w:ascii="Arial" w:eastAsia="Yu Gothic Light" w:hAnsi="Arial" w:cs="Arial"/>
            <w:b/>
            <w:i w:val="0"/>
            <w:color w:val="auto"/>
            <w:kern w:val="2"/>
            <w:sz w:val="20"/>
            <w:szCs w:val="20"/>
            <w14:ligatures w14:val="standardContextual"/>
          </w:rPr>
          <w:t>i</w:t>
        </w:r>
        <w:bookmarkEnd w:id="316"/>
        <w:r w:rsidR="004C1CD3" w:rsidRPr="00B01F9E">
          <w:rPr>
            <w:rFonts w:ascii="Arial" w:eastAsia="Yu Gothic Light" w:hAnsi="Arial" w:cs="Arial"/>
            <w:b/>
            <w:i w:val="0"/>
            <w:color w:val="auto"/>
            <w:kern w:val="2"/>
            <w:sz w:val="20"/>
            <w:szCs w:val="20"/>
            <w14:ligatures w14:val="standardContextual"/>
          </w:rPr>
          <w:t>v</w:t>
        </w:r>
        <w:bookmarkStart w:id="317" w:name="_Hlt175667972"/>
        <w:r w:rsidR="004C1CD3" w:rsidRPr="00B01F9E">
          <w:rPr>
            <w:rFonts w:ascii="Arial" w:eastAsia="Yu Gothic Light" w:hAnsi="Arial" w:cs="Arial"/>
            <w:b/>
            <w:i w:val="0"/>
            <w:color w:val="auto"/>
            <w:kern w:val="2"/>
            <w:sz w:val="20"/>
            <w:szCs w:val="20"/>
            <w14:ligatures w14:val="standardContextual"/>
          </w:rPr>
          <w:t>e</w:t>
        </w:r>
        <w:bookmarkEnd w:id="317"/>
        <w:r w:rsidR="004C1CD3" w:rsidRPr="00B01F9E">
          <w:rPr>
            <w:rFonts w:ascii="Arial" w:eastAsia="Yu Gothic Light" w:hAnsi="Arial" w:cs="Arial"/>
            <w:b/>
            <w:i w:val="0"/>
            <w:color w:val="auto"/>
            <w:kern w:val="2"/>
            <w:sz w:val="20"/>
            <w:szCs w:val="20"/>
            <w14:ligatures w14:val="standardContextual"/>
          </w:rPr>
          <w:t>red LIDR</w:t>
        </w:r>
        <w:bookmarkStart w:id="318" w:name="_Hlt175729542"/>
        <w:r w:rsidR="004C1CD3" w:rsidRPr="00B01F9E">
          <w:rPr>
            <w:rFonts w:ascii="Arial" w:eastAsia="Yu Gothic Light" w:hAnsi="Arial" w:cs="Arial"/>
            <w:b/>
            <w:i w:val="0"/>
            <w:color w:val="auto"/>
            <w:kern w:val="2"/>
            <w:sz w:val="20"/>
            <w:szCs w:val="20"/>
            <w14:ligatures w14:val="standardContextual"/>
          </w:rPr>
          <w:t xml:space="preserve"> </w:t>
        </w:r>
        <w:bookmarkEnd w:id="318"/>
        <w:r w:rsidR="004C1CD3" w:rsidRPr="00B01F9E">
          <w:rPr>
            <w:rFonts w:ascii="Arial" w:eastAsia="Yu Gothic Light" w:hAnsi="Arial" w:cs="Arial"/>
            <w:b/>
            <w:i w:val="0"/>
            <w:color w:val="auto"/>
            <w:kern w:val="2"/>
            <w:sz w:val="20"/>
            <w:szCs w:val="20"/>
            <w14:ligatures w14:val="standardContextual"/>
          </w:rPr>
          <w:t>Test Compendium Report had extraneous data and build errors:</w:t>
        </w:r>
      </w:hyperlink>
      <w:bookmarkEnd w:id="314"/>
      <w:r w:rsidR="004C1CD3" w:rsidRPr="00B01F9E">
        <w:rPr>
          <w:rStyle w:val="Heading4Char"/>
          <w:rFonts w:ascii="Arial" w:hAnsi="Arial" w:cs="Arial"/>
          <w:b/>
          <w:i/>
          <w:color w:val="auto"/>
          <w:sz w:val="20"/>
          <w:szCs w:val="20"/>
        </w:rPr>
        <w:t xml:space="preserve"> </w:t>
      </w:r>
      <w:r w:rsidR="004C1CD3" w:rsidRPr="00B01F9E">
        <w:rPr>
          <w:rStyle w:val="Heading4Char"/>
          <w:rFonts w:ascii="Arial" w:hAnsi="Arial" w:cs="Arial"/>
          <w:color w:val="auto"/>
          <w:sz w:val="20"/>
          <w:szCs w:val="20"/>
        </w:rPr>
        <w:t>The report delivered during testing contained build errors and extra data, which are artifacts of the POC work (see Supplemental Materials section for the link to the PDF version</w:t>
      </w:r>
      <w:r w:rsidR="001E7784" w:rsidRPr="00B01F9E">
        <w:rPr>
          <w:rStyle w:val="Heading4Char"/>
          <w:rFonts w:ascii="Arial" w:hAnsi="Arial" w:cs="Arial"/>
          <w:color w:val="auto"/>
          <w:sz w:val="20"/>
          <w:szCs w:val="20"/>
        </w:rPr>
        <w:t>.</w:t>
      </w:r>
      <w:r w:rsidR="004C1CD3" w:rsidRPr="00B01F9E">
        <w:rPr>
          <w:rStyle w:val="Heading4Char"/>
          <w:rFonts w:ascii="Arial" w:hAnsi="Arial" w:cs="Arial"/>
          <w:color w:val="auto"/>
          <w:sz w:val="20"/>
          <w:szCs w:val="20"/>
        </w:rPr>
        <w:t>)</w:t>
      </w:r>
      <w:r w:rsidR="004C1CD3" w:rsidRPr="00B01F9E">
        <w:rPr>
          <w:rStyle w:val="Heading4Char"/>
          <w:rFonts w:ascii="Arial" w:hAnsi="Arial" w:cs="Arial"/>
          <w:b/>
          <w:color w:val="auto"/>
          <w:sz w:val="20"/>
          <w:szCs w:val="20"/>
        </w:rPr>
        <w:t xml:space="preserve"> </w:t>
      </w:r>
    </w:p>
    <w:p w14:paraId="282CCA9E" w14:textId="77777777" w:rsidR="004C1CD3" w:rsidRPr="00B01F9E" w:rsidRDefault="004C1CD3" w:rsidP="004C1CD3">
      <w:pPr>
        <w:spacing w:before="120" w:after="120"/>
        <w:ind w:left="432"/>
        <w:rPr>
          <w:rFonts w:ascii="Arial" w:eastAsia="Calibri" w:hAnsi="Arial" w:cs="Arial"/>
          <w:bCs/>
          <w:kern w:val="2"/>
          <w:sz w:val="20"/>
          <w:szCs w:val="20"/>
          <w14:ligatures w14:val="standardContextual"/>
        </w:rPr>
      </w:pPr>
      <w:r w:rsidRPr="00B01F9E">
        <w:rPr>
          <w:rFonts w:ascii="Arial" w:eastAsia="Calibri" w:hAnsi="Arial" w:cs="Arial"/>
          <w:bCs/>
          <w:kern w:val="2"/>
          <w:sz w:val="20"/>
          <w:szCs w:val="20"/>
          <w14:ligatures w14:val="standardContextual"/>
        </w:rPr>
        <w:t xml:space="preserve">For example, the </w:t>
      </w:r>
      <w:proofErr w:type="gramStart"/>
      <w:r w:rsidRPr="00B01F9E">
        <w:rPr>
          <w:rFonts w:ascii="Arial" w:eastAsia="Calibri" w:hAnsi="Arial" w:cs="Arial"/>
          <w:bCs/>
          <w:kern w:val="2"/>
          <w:sz w:val="20"/>
          <w:szCs w:val="20"/>
          <w14:ligatures w14:val="standardContextual"/>
        </w:rPr>
        <w:t>Duke</w:t>
      </w:r>
      <w:proofErr w:type="gramEnd"/>
      <w:r w:rsidRPr="00B01F9E">
        <w:rPr>
          <w:rFonts w:ascii="Arial" w:eastAsia="Calibri" w:hAnsi="Arial" w:cs="Arial"/>
          <w:bCs/>
          <w:kern w:val="2"/>
          <w:sz w:val="20"/>
          <w:szCs w:val="20"/>
          <w14:ligatures w14:val="standardContextual"/>
        </w:rPr>
        <w:t xml:space="preserve"> chemistry laboratory used two analyzers of the same model and manufacturer. Duke represented the analyzers as FDA DRAH DXC860I 1 and FDA DRAH DXC860I 2.</w:t>
      </w:r>
      <w:r w:rsidRPr="00B01F9E">
        <w:rPr>
          <w:rFonts w:ascii="Arial" w:eastAsia="Calibri" w:hAnsi="Arial" w:cs="Arial"/>
          <w:kern w:val="2"/>
          <w:sz w:val="20"/>
          <w:szCs w:val="20"/>
          <w14:ligatures w14:val="standardContextual"/>
        </w:rPr>
        <w:t xml:space="preserve"> </w:t>
      </w:r>
      <w:r w:rsidRPr="00B01F9E">
        <w:rPr>
          <w:rFonts w:ascii="Arial" w:eastAsia="Calibri" w:hAnsi="Arial" w:cs="Arial"/>
          <w:bCs/>
          <w:kern w:val="2"/>
          <w:sz w:val="20"/>
          <w:szCs w:val="20"/>
          <w14:ligatures w14:val="standardContextual"/>
        </w:rPr>
        <w:t>The reason for using two analyzers in this POC was to ensure that the first one was exclusively chosen as the method for the BMP with the test order LOINC code 24321-2 and the kit UDI for the full BMP associated with it.</w:t>
      </w:r>
      <w:r w:rsidRPr="00B01F9E">
        <w:rPr>
          <w:rFonts w:ascii="Arial" w:eastAsia="Calibri" w:hAnsi="Arial" w:cs="Arial"/>
          <w:kern w:val="2"/>
          <w:sz w:val="20"/>
          <w:szCs w:val="20"/>
          <w14:ligatures w14:val="standardContextual"/>
        </w:rPr>
        <w:t xml:space="preserve"> </w:t>
      </w:r>
      <w:r w:rsidRPr="00B01F9E">
        <w:rPr>
          <w:rFonts w:ascii="Arial" w:eastAsia="Calibri" w:hAnsi="Arial" w:cs="Arial"/>
          <w:bCs/>
          <w:kern w:val="2"/>
          <w:sz w:val="20"/>
          <w:szCs w:val="20"/>
          <w14:ligatures w14:val="standardContextual"/>
        </w:rPr>
        <w:t>The second DXC860I was intended to be used exclusively for performing the creatinine test orderable, LOINC code 2-0160. The device had a unique instrument UDI (with a different serial from the other DXC860I) and the kit UDI includes only the creatinine test reagent.</w:t>
      </w:r>
      <w:r w:rsidRPr="00B01F9E">
        <w:rPr>
          <w:rFonts w:ascii="Arial" w:eastAsia="Calibri" w:hAnsi="Arial" w:cs="Arial"/>
          <w:kern w:val="2"/>
          <w:sz w:val="20"/>
          <w:szCs w:val="20"/>
          <w14:ligatures w14:val="standardContextual"/>
        </w:rPr>
        <w:t xml:space="preserve"> </w:t>
      </w:r>
      <w:r w:rsidRPr="00B01F9E">
        <w:rPr>
          <w:rFonts w:ascii="Arial" w:eastAsia="Calibri" w:hAnsi="Arial" w:cs="Arial"/>
          <w:bCs/>
          <w:kern w:val="2"/>
          <w:sz w:val="20"/>
          <w:szCs w:val="20"/>
          <w14:ligatures w14:val="standardContextual"/>
        </w:rPr>
        <w:t xml:space="preserve">It was never intended to be used as the method for the BMP, enabling the team to demonstrate the UDI for the creatinine single test. However, an artifact was identified where the BMP reportable tests were accidentally linked to this method (DXC8601 2), which was captured in the LIDR Test Compendium Report. </w:t>
      </w:r>
    </w:p>
    <w:p w14:paraId="5965DEAC" w14:textId="77777777" w:rsidR="004C1CD3" w:rsidRPr="00B01F9E" w:rsidRDefault="004C1CD3" w:rsidP="004C1CD3">
      <w:pPr>
        <w:ind w:left="432"/>
        <w:rPr>
          <w:rFonts w:ascii="Arial" w:eastAsia="Calibri" w:hAnsi="Arial" w:cs="Arial"/>
          <w:kern w:val="2"/>
          <w:sz w:val="20"/>
          <w:szCs w:val="20"/>
          <w14:ligatures w14:val="standardContextual"/>
        </w:rPr>
      </w:pPr>
      <w:r w:rsidRPr="00B01F9E">
        <w:rPr>
          <w:rFonts w:ascii="Arial" w:eastAsia="Calibri" w:hAnsi="Arial" w:cs="Arial"/>
          <w:bCs/>
          <w:kern w:val="2"/>
          <w:sz w:val="20"/>
          <w:szCs w:val="20"/>
          <w14:ligatures w14:val="standardContextual"/>
        </w:rPr>
        <w:t>Other items that were erroneously included involved incorrect associations of device UDIs with reportable tests, the retention of modified data elements that should have been removed, as mentioned earlier, the absence of the specimen collection method column, and the SNOMED CT codes associated with the specimen descriptors. Developing the LIDR Test Compendium Report was challenging because the team sought a customized report which is not currently available in the Epic Beaker system. Due to time constraints, the necessary corrections for the LIDR Test Compendium Report could not be accommodated.</w:t>
      </w:r>
    </w:p>
    <w:p w14:paraId="341C4D11"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b/>
          <w:bCs/>
          <w:kern w:val="2"/>
          <w:sz w:val="20"/>
          <w:szCs w:val="20"/>
          <w14:ligatures w14:val="standardContextual"/>
        </w:rPr>
        <w:t>Resolutions:</w:t>
      </w:r>
    </w:p>
    <w:p w14:paraId="3CC5642F" w14:textId="3A246521"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Interim solution: The interim solution was to create an “ideal” test compendium report based on the generated LIDR Test Compendium Report from the Duke laboratory. This ideal report was modified by removing extraneous information and adding required LIDR elements that could not be captured initially. This approach allowed </w:t>
      </w:r>
      <w:r w:rsidR="00DE5E2D" w:rsidRPr="00B01F9E">
        <w:rPr>
          <w:rFonts w:ascii="Arial" w:eastAsia="Calibri" w:hAnsi="Arial" w:cs="Arial"/>
          <w:kern w:val="2"/>
          <w:sz w:val="20"/>
          <w:szCs w:val="20"/>
          <w14:ligatures w14:val="standardContextual"/>
        </w:rPr>
        <w:t xml:space="preserve">QA </w:t>
      </w:r>
      <w:r w:rsidR="00B31FF3" w:rsidRPr="00B01F9E">
        <w:rPr>
          <w:rFonts w:ascii="Arial" w:eastAsia="Calibri" w:hAnsi="Arial" w:cs="Arial"/>
          <w:kern w:val="2"/>
          <w:sz w:val="20"/>
          <w:szCs w:val="20"/>
          <w14:ligatures w14:val="standardContextual"/>
        </w:rPr>
        <w:t>a</w:t>
      </w:r>
      <w:r w:rsidR="00DE5E2D" w:rsidRPr="00B01F9E">
        <w:rPr>
          <w:rFonts w:ascii="Arial" w:eastAsia="Calibri" w:hAnsi="Arial" w:cs="Arial"/>
          <w:kern w:val="2"/>
          <w:sz w:val="20"/>
          <w:szCs w:val="20"/>
          <w14:ligatures w14:val="standardContextual"/>
        </w:rPr>
        <w:t>nalysis</w:t>
      </w:r>
      <w:r w:rsidRPr="00B01F9E">
        <w:rPr>
          <w:rFonts w:ascii="Arial" w:eastAsia="Calibri" w:hAnsi="Arial" w:cs="Arial"/>
          <w:kern w:val="2"/>
          <w:sz w:val="20"/>
          <w:szCs w:val="20"/>
          <w14:ligatures w14:val="standardContextual"/>
        </w:rPr>
        <w:t xml:space="preserve"> reporting to be developed using an ideal sample of the report (see Supplemental Materials section for the ideal LIDR Test Compendium Report attachment</w:t>
      </w:r>
      <w:r w:rsidR="00CC6F6F" w:rsidRPr="00B01F9E">
        <w:rPr>
          <w:rFonts w:ascii="Arial" w:eastAsia="Calibri" w:hAnsi="Arial" w:cs="Arial"/>
          <w:kern w:val="2"/>
          <w:sz w:val="20"/>
          <w:szCs w:val="20"/>
          <w14:ligatures w14:val="standardContextual"/>
        </w:rPr>
        <w:t>.</w:t>
      </w:r>
      <w:r w:rsidRPr="00B01F9E">
        <w:rPr>
          <w:rFonts w:ascii="Arial" w:eastAsia="Calibri" w:hAnsi="Arial" w:cs="Arial"/>
          <w:kern w:val="2"/>
          <w:sz w:val="20"/>
          <w:szCs w:val="20"/>
          <w14:ligatures w14:val="standardContextual"/>
        </w:rPr>
        <w:t>)</w:t>
      </w:r>
    </w:p>
    <w:p w14:paraId="7BA14533" w14:textId="77777777" w:rsidR="004C1CD3" w:rsidRPr="00B01F9E" w:rsidRDefault="004C1CD3" w:rsidP="00210505">
      <w:pPr>
        <w:numPr>
          <w:ilvl w:val="0"/>
          <w:numId w:val="85"/>
        </w:numPr>
        <w:spacing w:before="120" w:after="120"/>
        <w:ind w:left="1008"/>
        <w:rPr>
          <w:rFonts w:ascii="Arial" w:eastAsia="Calibri" w:hAnsi="Arial" w:cs="Arial"/>
          <w:b/>
          <w:kern w:val="2"/>
          <w:sz w:val="20"/>
          <w:szCs w:val="20"/>
          <w14:ligatures w14:val="standardContextual"/>
        </w:rPr>
      </w:pPr>
      <w:r w:rsidRPr="00B01F9E">
        <w:rPr>
          <w:rFonts w:ascii="Arial" w:eastAsia="Calibri" w:hAnsi="Arial" w:cs="Arial"/>
          <w:kern w:val="2"/>
          <w:sz w:val="20"/>
          <w:szCs w:val="20"/>
          <w14:ligatures w14:val="standardContextual"/>
        </w:rPr>
        <w:t>Long-term solution: The ideal solution is for Epic to develop the LIDR Test Compendium Report specifically for the use of generating it for the QA Program.</w:t>
      </w:r>
    </w:p>
    <w:p w14:paraId="74E8A578" w14:textId="377F0CF7" w:rsidR="004C1CD3" w:rsidRPr="00B01F9E" w:rsidRDefault="009F1F82" w:rsidP="00FB088B">
      <w:pPr>
        <w:pStyle w:val="Heading3"/>
        <w:spacing w:before="0" w:after="120"/>
        <w:rPr>
          <w:rFonts w:ascii="Arial" w:eastAsia="Yu Gothic Light" w:hAnsi="Arial" w:cs="Arial"/>
          <w:b/>
          <w:bCs/>
          <w:i/>
          <w:iCs/>
          <w:color w:val="009BBF"/>
          <w:kern w:val="2"/>
          <w:sz w:val="20"/>
          <w:szCs w:val="20"/>
          <w14:ligatures w14:val="standardContextual"/>
        </w:rPr>
      </w:pPr>
      <w:bookmarkStart w:id="319" w:name="_Ref174620598"/>
      <w:bookmarkStart w:id="320" w:name="_Toc177136998"/>
      <w:r w:rsidRPr="00B01F9E">
        <w:rPr>
          <w:rFonts w:ascii="Arial" w:eastAsia="Yu Gothic Light" w:hAnsi="Arial" w:cs="Arial"/>
          <w:b/>
          <w:i/>
          <w:iCs/>
          <w:color w:val="009BBF"/>
          <w:kern w:val="2"/>
          <w:sz w:val="20"/>
          <w:szCs w:val="20"/>
          <w14:ligatures w14:val="standardContextual"/>
        </w:rPr>
        <w:lastRenderedPageBreak/>
        <w:t>3</w:t>
      </w:r>
      <w:r w:rsidR="004109A6" w:rsidRPr="00B01F9E">
        <w:rPr>
          <w:rFonts w:ascii="Arial" w:eastAsia="Yu Gothic Light" w:hAnsi="Arial" w:cs="Arial"/>
          <w:b/>
          <w:i/>
          <w:iCs/>
          <w:color w:val="009BBF"/>
          <w:kern w:val="2"/>
          <w:sz w:val="20"/>
          <w:szCs w:val="20"/>
          <w14:ligatures w14:val="standardContextual"/>
        </w:rPr>
        <w:t xml:space="preserve">.7.6 </w:t>
      </w:r>
      <w:r w:rsidR="00E30060" w:rsidRPr="00B01F9E">
        <w:rPr>
          <w:rFonts w:ascii="Arial" w:eastAsia="Yu Gothic Light" w:hAnsi="Arial" w:cs="Arial"/>
          <w:b/>
          <w:i/>
          <w:iCs/>
          <w:color w:val="009BBF"/>
          <w:kern w:val="2"/>
          <w:sz w:val="20"/>
          <w:szCs w:val="20"/>
          <w14:ligatures w14:val="standardContextual"/>
        </w:rPr>
        <w:t xml:space="preserve">Gaps </w:t>
      </w:r>
      <w:r w:rsidR="00E30060" w:rsidRPr="00B01F9E">
        <w:rPr>
          <w:rFonts w:ascii="Arial" w:eastAsia="Yu Gothic Light" w:hAnsi="Arial" w:cs="Arial"/>
          <w:b/>
          <w:bCs/>
          <w:i/>
          <w:iCs/>
          <w:color w:val="009BBF"/>
          <w:kern w:val="2"/>
          <w:sz w:val="20"/>
          <w:szCs w:val="20"/>
          <w14:ligatures w14:val="standardContextual"/>
        </w:rPr>
        <w:t>R</w:t>
      </w:r>
      <w:r w:rsidR="00E30060" w:rsidRPr="00B01F9E">
        <w:rPr>
          <w:rFonts w:ascii="Arial" w:eastAsia="Yu Gothic Light" w:hAnsi="Arial" w:cs="Arial"/>
          <w:b/>
          <w:i/>
          <w:iCs/>
          <w:color w:val="009BBF"/>
          <w:kern w:val="2"/>
          <w:sz w:val="20"/>
          <w:szCs w:val="20"/>
          <w14:ligatures w14:val="standardContextual"/>
        </w:rPr>
        <w:t>elated to the Instance Error Check</w:t>
      </w:r>
      <w:bookmarkEnd w:id="319"/>
      <w:bookmarkEnd w:id="320"/>
    </w:p>
    <w:p w14:paraId="1C20D4D2" w14:textId="17BED6D3" w:rsidR="004C1CD3" w:rsidRPr="00B01F9E" w:rsidRDefault="009F1F82" w:rsidP="004109A6">
      <w:pPr>
        <w:pStyle w:val="Heading4"/>
        <w:ind w:left="450" w:hanging="450"/>
        <w:rPr>
          <w:rStyle w:val="Heading4Char"/>
          <w:rFonts w:ascii="Arial" w:hAnsi="Arial" w:cs="Arial"/>
          <w:b/>
          <w:color w:val="auto"/>
          <w:sz w:val="20"/>
          <w:szCs w:val="20"/>
        </w:rPr>
      </w:pPr>
      <w:bookmarkStart w:id="321" w:name="_Instance_check_error"/>
      <w:bookmarkStart w:id="322" w:name="Gap_21_21"/>
      <w:bookmarkEnd w:id="321"/>
      <w:r w:rsidRPr="00B01F9E">
        <w:rPr>
          <w:rStyle w:val="Heading4Char"/>
          <w:rFonts w:ascii="Arial" w:hAnsi="Arial" w:cs="Arial"/>
          <w:b/>
          <w:color w:val="auto"/>
          <w:sz w:val="20"/>
          <w:szCs w:val="20"/>
        </w:rPr>
        <w:t>3</w:t>
      </w:r>
      <w:r w:rsidR="004109A6" w:rsidRPr="00B01F9E">
        <w:rPr>
          <w:rStyle w:val="Heading4Char"/>
          <w:rFonts w:ascii="Arial" w:hAnsi="Arial" w:cs="Arial"/>
          <w:b/>
          <w:color w:val="auto"/>
          <w:sz w:val="20"/>
          <w:szCs w:val="20"/>
        </w:rPr>
        <w:t xml:space="preserve">.7.6.1 </w:t>
      </w:r>
      <w:hyperlink w:anchor="Gap_21" w:history="1">
        <w:r w:rsidR="004C1CD3" w:rsidRPr="00B01F9E">
          <w:rPr>
            <w:rFonts w:ascii="Arial" w:eastAsia="Yu Gothic Light" w:hAnsi="Arial" w:cs="Arial"/>
            <w:b/>
            <w:i w:val="0"/>
            <w:color w:val="auto"/>
            <w:kern w:val="2"/>
            <w:sz w:val="20"/>
            <w:szCs w:val="20"/>
            <w14:ligatures w14:val="standardContextual"/>
          </w:rPr>
          <w:t>Inst</w:t>
        </w:r>
        <w:bookmarkStart w:id="323" w:name="_Hlt175729550"/>
        <w:r w:rsidR="004C1CD3" w:rsidRPr="00B01F9E">
          <w:rPr>
            <w:rFonts w:ascii="Arial" w:eastAsia="Yu Gothic Light" w:hAnsi="Arial" w:cs="Arial"/>
            <w:b/>
            <w:i w:val="0"/>
            <w:color w:val="auto"/>
            <w:kern w:val="2"/>
            <w:sz w:val="20"/>
            <w:szCs w:val="20"/>
            <w14:ligatures w14:val="standardContextual"/>
          </w:rPr>
          <w:t>a</w:t>
        </w:r>
        <w:bookmarkEnd w:id="323"/>
        <w:r w:rsidR="004C1CD3" w:rsidRPr="00B01F9E">
          <w:rPr>
            <w:rFonts w:ascii="Arial" w:eastAsia="Yu Gothic Light" w:hAnsi="Arial" w:cs="Arial"/>
            <w:b/>
            <w:i w:val="0"/>
            <w:color w:val="auto"/>
            <w:kern w:val="2"/>
            <w:sz w:val="20"/>
            <w:szCs w:val="20"/>
            <w14:ligatures w14:val="standardContextual"/>
          </w:rPr>
          <w:t>n</w:t>
        </w:r>
        <w:bookmarkStart w:id="324" w:name="_Hlt175730777"/>
        <w:r w:rsidR="004C1CD3" w:rsidRPr="00B01F9E">
          <w:rPr>
            <w:rFonts w:ascii="Arial" w:eastAsia="Yu Gothic Light" w:hAnsi="Arial" w:cs="Arial"/>
            <w:b/>
            <w:i w:val="0"/>
            <w:color w:val="auto"/>
            <w:kern w:val="2"/>
            <w:sz w:val="20"/>
            <w:szCs w:val="20"/>
            <w14:ligatures w14:val="standardContextual"/>
          </w:rPr>
          <w:t>c</w:t>
        </w:r>
        <w:bookmarkEnd w:id="324"/>
        <w:r w:rsidR="004C1CD3" w:rsidRPr="00B01F9E">
          <w:rPr>
            <w:rFonts w:ascii="Arial" w:eastAsia="Yu Gothic Light" w:hAnsi="Arial" w:cs="Arial"/>
            <w:b/>
            <w:i w:val="0"/>
            <w:color w:val="auto"/>
            <w:kern w:val="2"/>
            <w:sz w:val="20"/>
            <w:szCs w:val="20"/>
            <w14:ligatures w14:val="standardContextual"/>
          </w:rPr>
          <w:t>e</w:t>
        </w:r>
        <w:bookmarkStart w:id="325" w:name="_Hlt175667975"/>
        <w:r w:rsidR="004C1CD3" w:rsidRPr="00B01F9E">
          <w:rPr>
            <w:rFonts w:ascii="Arial" w:eastAsia="Yu Gothic Light" w:hAnsi="Arial" w:cs="Arial"/>
            <w:b/>
            <w:i w:val="0"/>
            <w:color w:val="auto"/>
            <w:kern w:val="2"/>
            <w:sz w:val="20"/>
            <w:szCs w:val="20"/>
            <w14:ligatures w14:val="standardContextual"/>
          </w:rPr>
          <w:t xml:space="preserve"> </w:t>
        </w:r>
        <w:bookmarkEnd w:id="325"/>
        <w:r w:rsidR="004C1CD3" w:rsidRPr="00B01F9E">
          <w:rPr>
            <w:rFonts w:ascii="Arial" w:eastAsia="Yu Gothic Light" w:hAnsi="Arial" w:cs="Arial"/>
            <w:b/>
            <w:i w:val="0"/>
            <w:color w:val="auto"/>
            <w:kern w:val="2"/>
            <w:sz w:val="20"/>
            <w:szCs w:val="20"/>
            <w14:ligatures w14:val="standardContextual"/>
          </w:rPr>
          <w:t>c</w:t>
        </w:r>
        <w:bookmarkStart w:id="326" w:name="_Hlt175731314"/>
        <w:r w:rsidR="004C1CD3" w:rsidRPr="00B01F9E">
          <w:rPr>
            <w:rFonts w:ascii="Arial" w:eastAsia="Yu Gothic Light" w:hAnsi="Arial" w:cs="Arial"/>
            <w:b/>
            <w:i w:val="0"/>
            <w:color w:val="auto"/>
            <w:kern w:val="2"/>
            <w:sz w:val="20"/>
            <w:szCs w:val="20"/>
            <w14:ligatures w14:val="standardContextual"/>
          </w:rPr>
          <w:t>h</w:t>
        </w:r>
        <w:bookmarkEnd w:id="326"/>
        <w:r w:rsidR="004C1CD3" w:rsidRPr="00B01F9E">
          <w:rPr>
            <w:rFonts w:ascii="Arial" w:eastAsia="Yu Gothic Light" w:hAnsi="Arial" w:cs="Arial"/>
            <w:b/>
            <w:i w:val="0"/>
            <w:color w:val="auto"/>
            <w:kern w:val="2"/>
            <w:sz w:val="20"/>
            <w:szCs w:val="20"/>
            <w14:ligatures w14:val="standardContextual"/>
          </w:rPr>
          <w:t>eck error m</w:t>
        </w:r>
        <w:bookmarkStart w:id="327" w:name="_Hlt175769219"/>
        <w:r w:rsidR="004C1CD3" w:rsidRPr="00B01F9E">
          <w:rPr>
            <w:rFonts w:ascii="Arial" w:eastAsia="Yu Gothic Light" w:hAnsi="Arial" w:cs="Arial"/>
            <w:b/>
            <w:i w:val="0"/>
            <w:color w:val="auto"/>
            <w:kern w:val="2"/>
            <w:sz w:val="20"/>
            <w:szCs w:val="20"/>
            <w14:ligatures w14:val="standardContextual"/>
          </w:rPr>
          <w:t>e</w:t>
        </w:r>
        <w:bookmarkEnd w:id="327"/>
        <w:r w:rsidR="004C1CD3" w:rsidRPr="00B01F9E">
          <w:rPr>
            <w:rFonts w:ascii="Arial" w:eastAsia="Yu Gothic Light" w:hAnsi="Arial" w:cs="Arial"/>
            <w:b/>
            <w:i w:val="0"/>
            <w:color w:val="auto"/>
            <w:kern w:val="2"/>
            <w:sz w:val="20"/>
            <w:szCs w:val="20"/>
            <w14:ligatures w14:val="standardContextual"/>
          </w:rPr>
          <w:t>ssage receipt by LIS interface was not available:</w:t>
        </w:r>
      </w:hyperlink>
      <w:bookmarkEnd w:id="322"/>
      <w:r w:rsidR="004C1CD3" w:rsidRPr="00B01F9E">
        <w:rPr>
          <w:rStyle w:val="Heading4Char"/>
          <w:rFonts w:ascii="Arial" w:hAnsi="Arial" w:cs="Arial"/>
          <w:b/>
          <w:i/>
          <w:color w:val="auto"/>
          <w:sz w:val="20"/>
          <w:szCs w:val="20"/>
        </w:rPr>
        <w:t xml:space="preserve"> </w:t>
      </w:r>
      <w:r w:rsidR="004C1CD3" w:rsidRPr="00B01F9E">
        <w:rPr>
          <w:rStyle w:val="Heading4Char"/>
          <w:rFonts w:ascii="Arial" w:hAnsi="Arial" w:cs="Arial"/>
          <w:color w:val="auto"/>
          <w:sz w:val="20"/>
          <w:szCs w:val="20"/>
        </w:rPr>
        <w:t>The initial POC design planned to use either an interface error message system or an automated email when the Instance Error Check interface message failed upon receipt at the CAP. The CAP-developed system could generate an automated error message to pass back through the CAP interface engine (</w:t>
      </w:r>
      <w:r w:rsidR="00EC3012" w:rsidRPr="00B01F9E">
        <w:rPr>
          <w:rStyle w:val="Heading4Char"/>
          <w:rFonts w:ascii="Arial" w:hAnsi="Arial" w:cs="Arial"/>
          <w:color w:val="auto"/>
          <w:sz w:val="20"/>
          <w:szCs w:val="20"/>
        </w:rPr>
        <w:t>ELLKAY</w:t>
      </w:r>
      <w:r w:rsidR="004C1CD3" w:rsidRPr="00B01F9E">
        <w:rPr>
          <w:rStyle w:val="Heading4Char"/>
          <w:rFonts w:ascii="Arial" w:hAnsi="Arial" w:cs="Arial"/>
          <w:color w:val="auto"/>
          <w:sz w:val="20"/>
          <w:szCs w:val="20"/>
        </w:rPr>
        <w:t xml:space="preserve">) to the </w:t>
      </w:r>
      <w:bookmarkStart w:id="328" w:name="_Int_vsctyl0a"/>
      <w:proofErr w:type="gramStart"/>
      <w:r w:rsidR="004C1CD3" w:rsidRPr="00B01F9E">
        <w:rPr>
          <w:rStyle w:val="Heading4Char"/>
          <w:rFonts w:ascii="Arial" w:hAnsi="Arial" w:cs="Arial"/>
          <w:color w:val="auto"/>
          <w:sz w:val="20"/>
          <w:szCs w:val="20"/>
        </w:rPr>
        <w:t>Duke</w:t>
      </w:r>
      <w:bookmarkEnd w:id="328"/>
      <w:proofErr w:type="gramEnd"/>
      <w:r w:rsidR="004C1CD3" w:rsidRPr="00B01F9E">
        <w:rPr>
          <w:rStyle w:val="Heading4Char"/>
          <w:rFonts w:ascii="Arial" w:hAnsi="Arial" w:cs="Arial"/>
          <w:color w:val="auto"/>
          <w:sz w:val="20"/>
          <w:szCs w:val="20"/>
        </w:rPr>
        <w:t xml:space="preserve"> inbound interfaces.</w:t>
      </w:r>
    </w:p>
    <w:p w14:paraId="3291493E" w14:textId="77777777" w:rsidR="004C1CD3" w:rsidRPr="00B01F9E" w:rsidRDefault="004C1CD3" w:rsidP="004C1CD3">
      <w:pPr>
        <w:spacing w:before="120" w:after="120"/>
        <w:ind w:left="432"/>
        <w:rPr>
          <w:rFonts w:ascii="Arial" w:eastAsia="Times New Roman" w:hAnsi="Arial" w:cs="Arial"/>
          <w:kern w:val="2"/>
          <w:sz w:val="20"/>
          <w:szCs w:val="20"/>
          <w14:ligatures w14:val="standardContextual"/>
        </w:rPr>
      </w:pPr>
      <w:r w:rsidRPr="00B01F9E">
        <w:rPr>
          <w:rFonts w:ascii="Arial" w:eastAsia="Times New Roman" w:hAnsi="Arial" w:cs="Arial"/>
          <w:sz w:val="20"/>
          <w:szCs w:val="20"/>
        </w:rPr>
        <w:t xml:space="preserve">Further development outside of the POC would be required in coordination with Epic and Duke to determine if the error can be processed and how the error message would present on the Epic interface error queue. Error messages are typically specific to the system sending the message and the type of error. </w:t>
      </w:r>
    </w:p>
    <w:p w14:paraId="0AB397E8" w14:textId="77777777" w:rsidR="004C1CD3" w:rsidRPr="00B01F9E" w:rsidRDefault="004C1CD3" w:rsidP="004C1CD3">
      <w:pPr>
        <w:spacing w:before="120" w:after="0"/>
        <w:ind w:left="432"/>
        <w:rPr>
          <w:rFonts w:ascii="Arial" w:eastAsia="Times New Roman" w:hAnsi="Arial" w:cs="Arial"/>
          <w:b/>
          <w:bCs/>
          <w:sz w:val="20"/>
          <w:szCs w:val="20"/>
        </w:rPr>
      </w:pPr>
      <w:r w:rsidRPr="00B01F9E">
        <w:rPr>
          <w:rFonts w:ascii="Arial" w:eastAsia="Times New Roman" w:hAnsi="Arial" w:cs="Arial"/>
          <w:b/>
          <w:bCs/>
          <w:sz w:val="20"/>
          <w:szCs w:val="20"/>
        </w:rPr>
        <w:t xml:space="preserve">Resolutions: </w:t>
      </w:r>
    </w:p>
    <w:p w14:paraId="26D76497"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Interim solution: The alternate method of transmitting error messages via automated email from the CAP to Duke was implemented.</w:t>
      </w:r>
      <w:r w:rsidRPr="00B01F9E">
        <w:rPr>
          <w:rFonts w:ascii="Arial" w:eastAsia="Calibri" w:hAnsi="Arial" w:cs="Arial"/>
          <w:kern w:val="2"/>
          <w:sz w:val="20"/>
          <w:szCs w:val="20"/>
          <w14:ligatures w14:val="standardContextual"/>
        </w:rPr>
        <w:tab/>
      </w:r>
    </w:p>
    <w:p w14:paraId="303ACF5F" w14:textId="74FB143A"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Coordination with the LIS vendor, the quality organization, and the interface engine providers would be required</w:t>
      </w:r>
      <w:r w:rsidRPr="00B01F9E">
        <w:rPr>
          <w:rFonts w:ascii="Arial" w:eastAsia="Times New Roman" w:hAnsi="Arial" w:cs="Arial"/>
          <w:sz w:val="20"/>
          <w:szCs w:val="20"/>
        </w:rPr>
        <w:t xml:space="preserve"> to develop the error message</w:t>
      </w:r>
      <w:r w:rsidR="00AD7CE3" w:rsidRPr="00B01F9E">
        <w:rPr>
          <w:rFonts w:ascii="Arial" w:eastAsia="Times New Roman" w:hAnsi="Arial" w:cs="Arial"/>
          <w:sz w:val="20"/>
          <w:szCs w:val="20"/>
        </w:rPr>
        <w:t>.</w:t>
      </w:r>
    </w:p>
    <w:p w14:paraId="5B32332C" w14:textId="1541A159" w:rsidR="004C1CD3" w:rsidRPr="00B01F9E" w:rsidRDefault="009F1F82" w:rsidP="00FB088B">
      <w:pPr>
        <w:pStyle w:val="Heading3"/>
        <w:spacing w:before="0" w:after="120"/>
        <w:rPr>
          <w:rFonts w:ascii="Arial" w:eastAsia="Yu Gothic Light" w:hAnsi="Arial" w:cs="Arial"/>
          <w:b/>
          <w:bCs/>
          <w:i/>
          <w:iCs/>
          <w:color w:val="009BBF"/>
          <w:kern w:val="2"/>
          <w:sz w:val="20"/>
          <w:szCs w:val="20"/>
          <w14:ligatures w14:val="standardContextual"/>
        </w:rPr>
      </w:pPr>
      <w:bookmarkStart w:id="329" w:name="_Ref174620624"/>
      <w:bookmarkStart w:id="330" w:name="_Toc177136999"/>
      <w:bookmarkStart w:id="331" w:name="_Hlk174621708"/>
      <w:r w:rsidRPr="00B01F9E">
        <w:rPr>
          <w:rFonts w:ascii="Arial" w:eastAsia="Yu Gothic Light" w:hAnsi="Arial" w:cs="Arial"/>
          <w:b/>
          <w:i/>
          <w:iCs/>
          <w:color w:val="009BBF"/>
          <w:kern w:val="2"/>
          <w:sz w:val="20"/>
          <w:szCs w:val="20"/>
          <w14:ligatures w14:val="standardContextual"/>
        </w:rPr>
        <w:t>3</w:t>
      </w:r>
      <w:r w:rsidR="00CD4682" w:rsidRPr="00B01F9E">
        <w:rPr>
          <w:rFonts w:ascii="Arial" w:eastAsia="Yu Gothic Light" w:hAnsi="Arial" w:cs="Arial"/>
          <w:b/>
          <w:i/>
          <w:iCs/>
          <w:color w:val="009BBF"/>
          <w:kern w:val="2"/>
          <w:sz w:val="20"/>
          <w:szCs w:val="20"/>
          <w14:ligatures w14:val="standardContextual"/>
        </w:rPr>
        <w:t xml:space="preserve">.7.7 </w:t>
      </w:r>
      <w:r w:rsidR="00E30060" w:rsidRPr="00B01F9E">
        <w:rPr>
          <w:rFonts w:ascii="Arial" w:eastAsia="Yu Gothic Light" w:hAnsi="Arial" w:cs="Arial"/>
          <w:b/>
          <w:i/>
          <w:iCs/>
          <w:color w:val="009BBF"/>
          <w:kern w:val="2"/>
          <w:sz w:val="20"/>
          <w:szCs w:val="20"/>
          <w14:ligatures w14:val="standardContextual"/>
        </w:rPr>
        <w:t xml:space="preserve">Gaps </w:t>
      </w:r>
      <w:r w:rsidR="00E30060" w:rsidRPr="00B01F9E">
        <w:rPr>
          <w:rFonts w:ascii="Arial" w:eastAsia="Yu Gothic Light" w:hAnsi="Arial" w:cs="Arial"/>
          <w:b/>
          <w:bCs/>
          <w:i/>
          <w:iCs/>
          <w:color w:val="009BBF"/>
          <w:kern w:val="2"/>
          <w:sz w:val="20"/>
          <w:szCs w:val="20"/>
          <w14:ligatures w14:val="standardContextual"/>
        </w:rPr>
        <w:t>Related</w:t>
      </w:r>
      <w:r w:rsidR="00E30060" w:rsidRPr="00B01F9E">
        <w:rPr>
          <w:rFonts w:ascii="Arial" w:eastAsia="Yu Gothic Light" w:hAnsi="Arial" w:cs="Arial"/>
          <w:b/>
          <w:i/>
          <w:iCs/>
          <w:color w:val="009BBF"/>
          <w:kern w:val="2"/>
          <w:sz w:val="20"/>
          <w:szCs w:val="20"/>
          <w14:ligatures w14:val="standardContextual"/>
        </w:rPr>
        <w:t xml:space="preserve"> to Training and Education</w:t>
      </w:r>
      <w:bookmarkEnd w:id="329"/>
      <w:bookmarkEnd w:id="330"/>
    </w:p>
    <w:p w14:paraId="2FE1F9A6" w14:textId="425A847A" w:rsidR="004C1CD3" w:rsidRPr="00B01F9E" w:rsidRDefault="009F1F82" w:rsidP="00FB088B">
      <w:pPr>
        <w:pStyle w:val="Heading4"/>
        <w:spacing w:before="0"/>
        <w:ind w:left="450" w:hanging="450"/>
        <w:rPr>
          <w:rStyle w:val="Heading4Char"/>
          <w:rFonts w:ascii="Arial" w:hAnsi="Arial" w:cs="Arial"/>
          <w:b/>
          <w:color w:val="auto"/>
          <w:sz w:val="20"/>
          <w:szCs w:val="20"/>
        </w:rPr>
      </w:pPr>
      <w:bookmarkStart w:id="332" w:name="_Intellectual_pProperty_rights"/>
      <w:bookmarkStart w:id="333" w:name="Gap_22_22"/>
      <w:bookmarkEnd w:id="331"/>
      <w:bookmarkEnd w:id="332"/>
      <w:r w:rsidRPr="00B01F9E">
        <w:rPr>
          <w:rStyle w:val="Heading4Char"/>
          <w:rFonts w:ascii="Arial" w:hAnsi="Arial" w:cs="Arial"/>
          <w:b/>
          <w:bCs/>
          <w:color w:val="auto"/>
          <w:sz w:val="20"/>
          <w:szCs w:val="20"/>
        </w:rPr>
        <w:t>3</w:t>
      </w:r>
      <w:r w:rsidR="00CD4682" w:rsidRPr="00B01F9E">
        <w:rPr>
          <w:rStyle w:val="Heading4Char"/>
          <w:rFonts w:ascii="Arial" w:hAnsi="Arial" w:cs="Arial"/>
          <w:b/>
          <w:bCs/>
          <w:color w:val="auto"/>
          <w:sz w:val="20"/>
          <w:szCs w:val="20"/>
        </w:rPr>
        <w:t xml:space="preserve">.7.7.1 </w:t>
      </w:r>
      <w:hyperlink w:anchor="Gap_22" w:history="1">
        <w:r w:rsidR="004C1CD3" w:rsidRPr="00B01F9E">
          <w:rPr>
            <w:rFonts w:ascii="Arial" w:eastAsia="Yu Gothic Light" w:hAnsi="Arial" w:cs="Arial"/>
            <w:b/>
            <w:i w:val="0"/>
            <w:color w:val="auto"/>
            <w:kern w:val="2"/>
            <w:sz w:val="20"/>
            <w:szCs w:val="20"/>
            <w14:ligatures w14:val="standardContextual"/>
          </w:rPr>
          <w:t>Intell</w:t>
        </w:r>
        <w:bookmarkStart w:id="334" w:name="_Hlt175730780"/>
        <w:r w:rsidR="004C1CD3" w:rsidRPr="00B01F9E">
          <w:rPr>
            <w:rFonts w:ascii="Arial" w:eastAsia="Yu Gothic Light" w:hAnsi="Arial" w:cs="Arial"/>
            <w:b/>
            <w:i w:val="0"/>
            <w:color w:val="auto"/>
            <w:kern w:val="2"/>
            <w:sz w:val="20"/>
            <w:szCs w:val="20"/>
            <w14:ligatures w14:val="standardContextual"/>
          </w:rPr>
          <w:t>e</w:t>
        </w:r>
        <w:bookmarkEnd w:id="334"/>
        <w:r w:rsidR="004C1CD3" w:rsidRPr="00B01F9E">
          <w:rPr>
            <w:rFonts w:ascii="Arial" w:eastAsia="Yu Gothic Light" w:hAnsi="Arial" w:cs="Arial"/>
            <w:b/>
            <w:i w:val="0"/>
            <w:color w:val="auto"/>
            <w:kern w:val="2"/>
            <w:sz w:val="20"/>
            <w:szCs w:val="20"/>
            <w14:ligatures w14:val="standardContextual"/>
          </w:rPr>
          <w:t>ctua</w:t>
        </w:r>
        <w:bookmarkStart w:id="335" w:name="_Hlt175731320"/>
        <w:r w:rsidR="004C1CD3" w:rsidRPr="00B01F9E">
          <w:rPr>
            <w:rFonts w:ascii="Arial" w:eastAsia="Yu Gothic Light" w:hAnsi="Arial" w:cs="Arial"/>
            <w:b/>
            <w:i w:val="0"/>
            <w:color w:val="auto"/>
            <w:kern w:val="2"/>
            <w:sz w:val="20"/>
            <w:szCs w:val="20"/>
            <w14:ligatures w14:val="standardContextual"/>
          </w:rPr>
          <w:t>l</w:t>
        </w:r>
        <w:bookmarkEnd w:id="335"/>
        <w:r w:rsidR="004C1CD3" w:rsidRPr="00B01F9E">
          <w:rPr>
            <w:rFonts w:ascii="Arial" w:eastAsia="Yu Gothic Light" w:hAnsi="Arial" w:cs="Arial"/>
            <w:b/>
            <w:i w:val="0"/>
            <w:color w:val="auto"/>
            <w:kern w:val="2"/>
            <w:sz w:val="20"/>
            <w:szCs w:val="20"/>
            <w14:ligatures w14:val="standardContextual"/>
          </w:rPr>
          <w:t xml:space="preserve"> proper</w:t>
        </w:r>
        <w:bookmarkStart w:id="336" w:name="_Hlt175729891"/>
        <w:bookmarkStart w:id="337" w:name="_Hlt175731445"/>
        <w:r w:rsidR="004C1CD3" w:rsidRPr="00B01F9E">
          <w:rPr>
            <w:rFonts w:ascii="Arial" w:eastAsia="Yu Gothic Light" w:hAnsi="Arial" w:cs="Arial"/>
            <w:b/>
            <w:i w:val="0"/>
            <w:color w:val="auto"/>
            <w:kern w:val="2"/>
            <w:sz w:val="20"/>
            <w:szCs w:val="20"/>
            <w14:ligatures w14:val="standardContextual"/>
          </w:rPr>
          <w:t>t</w:t>
        </w:r>
        <w:bookmarkEnd w:id="336"/>
        <w:bookmarkEnd w:id="337"/>
        <w:r w:rsidR="004C1CD3" w:rsidRPr="00B01F9E">
          <w:rPr>
            <w:rFonts w:ascii="Arial" w:eastAsia="Yu Gothic Light" w:hAnsi="Arial" w:cs="Arial"/>
            <w:b/>
            <w:i w:val="0"/>
            <w:color w:val="auto"/>
            <w:kern w:val="2"/>
            <w:sz w:val="20"/>
            <w:szCs w:val="20"/>
            <w14:ligatures w14:val="standardContextual"/>
          </w:rPr>
          <w:t>y rights limita</w:t>
        </w:r>
        <w:bookmarkStart w:id="338" w:name="_Hlt175731375"/>
        <w:r w:rsidR="004C1CD3" w:rsidRPr="00B01F9E">
          <w:rPr>
            <w:rFonts w:ascii="Arial" w:eastAsia="Yu Gothic Light" w:hAnsi="Arial" w:cs="Arial"/>
            <w:b/>
            <w:i w:val="0"/>
            <w:color w:val="auto"/>
            <w:kern w:val="2"/>
            <w:sz w:val="20"/>
            <w:szCs w:val="20"/>
            <w14:ligatures w14:val="standardContextual"/>
          </w:rPr>
          <w:t>t</w:t>
        </w:r>
        <w:bookmarkEnd w:id="338"/>
        <w:r w:rsidR="004C1CD3" w:rsidRPr="00B01F9E">
          <w:rPr>
            <w:rFonts w:ascii="Arial" w:eastAsia="Yu Gothic Light" w:hAnsi="Arial" w:cs="Arial"/>
            <w:b/>
            <w:i w:val="0"/>
            <w:color w:val="auto"/>
            <w:kern w:val="2"/>
            <w:sz w:val="20"/>
            <w:szCs w:val="20"/>
            <w14:ligatures w14:val="standardContextual"/>
          </w:rPr>
          <w:t>ions:</w:t>
        </w:r>
      </w:hyperlink>
      <w:bookmarkEnd w:id="333"/>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color w:val="auto"/>
          <w:sz w:val="20"/>
          <w:szCs w:val="20"/>
        </w:rPr>
        <w:t>The LIS intellectual property rights limited development of the training and education components and the ability to provide meaningful implementation guides. The training and education developed for the POC focused on implementing LIDR into the Epic Beaker LIS. Certain build descriptions and screenshots are considered intellectual property of Epic. The inability to use specific administrative information for building the Beaker system limited the creation of meaningful educational materials, particularly in the technical guide.</w:t>
      </w:r>
    </w:p>
    <w:p w14:paraId="0B3326E8" w14:textId="77777777" w:rsidR="004C1CD3" w:rsidRPr="00B01F9E" w:rsidRDefault="004C1CD3" w:rsidP="004C1CD3">
      <w:pPr>
        <w:spacing w:before="120" w:after="0"/>
        <w:ind w:left="432"/>
        <w:contextualSpacing/>
        <w:rPr>
          <w:rFonts w:ascii="Arial" w:eastAsia="Times New Roman" w:hAnsi="Arial" w:cs="Arial"/>
          <w:b/>
          <w:bCs/>
          <w:sz w:val="20"/>
          <w:szCs w:val="20"/>
        </w:rPr>
      </w:pPr>
      <w:r w:rsidRPr="00B01F9E">
        <w:rPr>
          <w:rFonts w:ascii="Arial" w:eastAsia="Times New Roman" w:hAnsi="Arial" w:cs="Arial"/>
          <w:b/>
          <w:bCs/>
          <w:sz w:val="20"/>
          <w:szCs w:val="20"/>
        </w:rPr>
        <w:t xml:space="preserve">Resolutions: </w:t>
      </w:r>
    </w:p>
    <w:p w14:paraId="44683E57"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Times New Roman" w:hAnsi="Arial" w:cs="Arial"/>
          <w:sz w:val="20"/>
          <w:szCs w:val="20"/>
        </w:rPr>
        <w:t xml:space="preserve">Interim solution: After reviewing the documentation developed with Epic, it was determined that end user workflows and screenshots could be included in CAP-produced educational materials. Since administrative build information was not permitted, Epic developed a guide for future users that can be accessed by Epic customers via a </w:t>
      </w:r>
      <w:r w:rsidRPr="00B01F9E">
        <w:rPr>
          <w:rFonts w:ascii="Arial" w:eastAsia="Calibri" w:hAnsi="Arial" w:cs="Arial"/>
          <w:kern w:val="2"/>
          <w:sz w:val="20"/>
          <w:szCs w:val="20"/>
          <w14:ligatures w14:val="standardContextual"/>
        </w:rPr>
        <w:t>link</w:t>
      </w:r>
      <w:r w:rsidRPr="00B01F9E">
        <w:rPr>
          <w:rFonts w:ascii="Arial" w:eastAsia="Times New Roman" w:hAnsi="Arial" w:cs="Arial"/>
          <w:sz w:val="20"/>
          <w:szCs w:val="20"/>
        </w:rPr>
        <w:t>, should the implementation of the QA Program go forward.</w:t>
      </w:r>
      <w:r w:rsidRPr="00B01F9E" w:rsidDel="002F57D5">
        <w:rPr>
          <w:rFonts w:ascii="Arial" w:eastAsia="Times New Roman" w:hAnsi="Arial" w:cs="Arial"/>
          <w:sz w:val="20"/>
          <w:szCs w:val="20"/>
        </w:rPr>
        <w:t xml:space="preserve"> </w:t>
      </w:r>
    </w:p>
    <w:p w14:paraId="6E2C61F3"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Long-term solution: The coordinated interim solution was suitable for the POC. Similar coordination</w:t>
      </w:r>
      <w:r w:rsidRPr="00B01F9E">
        <w:rPr>
          <w:rFonts w:ascii="Arial" w:eastAsia="Times New Roman" w:hAnsi="Arial" w:cs="Arial"/>
          <w:sz w:val="20"/>
          <w:szCs w:val="20"/>
        </w:rPr>
        <w:t xml:space="preserve"> with other LIS vendors may be required to allow adoption for other laboratories who do not utilize Epic </w:t>
      </w:r>
      <w:r w:rsidRPr="00B01F9E">
        <w:rPr>
          <w:rFonts w:ascii="Arial" w:eastAsia="Calibri" w:hAnsi="Arial" w:cs="Arial"/>
          <w:kern w:val="2"/>
          <w:sz w:val="20"/>
          <w:szCs w:val="20"/>
          <w14:ligatures w14:val="standardContextual"/>
        </w:rPr>
        <w:t>Beaker</w:t>
      </w:r>
      <w:r w:rsidRPr="00B01F9E">
        <w:rPr>
          <w:rFonts w:ascii="Arial" w:eastAsia="Times New Roman" w:hAnsi="Arial" w:cs="Arial"/>
          <w:sz w:val="20"/>
          <w:szCs w:val="20"/>
        </w:rPr>
        <w:t>.</w:t>
      </w:r>
    </w:p>
    <w:p w14:paraId="37B69905" w14:textId="0F52763C" w:rsidR="004C1CD3" w:rsidRPr="00B01F9E" w:rsidRDefault="009F1F82" w:rsidP="00FB088B">
      <w:pPr>
        <w:pStyle w:val="Heading3"/>
        <w:spacing w:before="0" w:after="120"/>
        <w:rPr>
          <w:rFonts w:ascii="Arial" w:eastAsia="Yu Gothic Light" w:hAnsi="Arial" w:cs="Arial"/>
          <w:b/>
          <w:i/>
          <w:iCs/>
          <w:color w:val="009BBF"/>
          <w:kern w:val="2"/>
          <w:sz w:val="20"/>
          <w:szCs w:val="20"/>
          <w14:ligatures w14:val="standardContextual"/>
        </w:rPr>
      </w:pPr>
      <w:bookmarkStart w:id="339" w:name="_Toc177137000"/>
      <w:r w:rsidRPr="00B01F9E">
        <w:rPr>
          <w:rFonts w:ascii="Arial" w:eastAsia="Yu Gothic Light" w:hAnsi="Arial" w:cs="Arial"/>
          <w:b/>
          <w:i/>
          <w:iCs/>
          <w:color w:val="009BBF"/>
          <w:kern w:val="2"/>
          <w:sz w:val="20"/>
          <w:szCs w:val="20"/>
          <w14:ligatures w14:val="standardContextual"/>
        </w:rPr>
        <w:lastRenderedPageBreak/>
        <w:t>3</w:t>
      </w:r>
      <w:r w:rsidR="00F434FF" w:rsidRPr="00B01F9E">
        <w:rPr>
          <w:rFonts w:ascii="Arial" w:eastAsia="Yu Gothic Light" w:hAnsi="Arial" w:cs="Arial"/>
          <w:b/>
          <w:i/>
          <w:iCs/>
          <w:color w:val="009BBF"/>
          <w:kern w:val="2"/>
          <w:sz w:val="20"/>
          <w:szCs w:val="20"/>
          <w14:ligatures w14:val="standardContextual"/>
        </w:rPr>
        <w:t xml:space="preserve">.7.8 </w:t>
      </w:r>
      <w:r w:rsidR="00E30060" w:rsidRPr="00B01F9E">
        <w:rPr>
          <w:rFonts w:ascii="Arial" w:eastAsia="Yu Gothic Light" w:hAnsi="Arial" w:cs="Arial"/>
          <w:b/>
          <w:i/>
          <w:iCs/>
          <w:color w:val="009BBF"/>
          <w:kern w:val="2"/>
          <w:sz w:val="20"/>
          <w:szCs w:val="20"/>
          <w14:ligatures w14:val="standardContextual"/>
        </w:rPr>
        <w:t xml:space="preserve">Gaps Related to </w:t>
      </w:r>
      <w:r w:rsidR="001B64A1" w:rsidRPr="00B01F9E">
        <w:rPr>
          <w:rFonts w:ascii="Arial" w:eastAsia="Yu Gothic Light" w:hAnsi="Arial" w:cs="Arial"/>
          <w:b/>
          <w:i/>
          <w:iCs/>
          <w:color w:val="009BBF"/>
          <w:kern w:val="2"/>
          <w:sz w:val="20"/>
          <w:szCs w:val="20"/>
          <w14:ligatures w14:val="standardContextual"/>
        </w:rPr>
        <w:t xml:space="preserve">QA </w:t>
      </w:r>
      <w:r w:rsidR="00E30060" w:rsidRPr="00B01F9E">
        <w:rPr>
          <w:rFonts w:ascii="Arial" w:eastAsia="Yu Gothic Light" w:hAnsi="Arial" w:cs="Arial"/>
          <w:b/>
          <w:i/>
          <w:iCs/>
          <w:color w:val="009BBF"/>
          <w:kern w:val="2"/>
          <w:sz w:val="20"/>
          <w:szCs w:val="20"/>
          <w14:ligatures w14:val="standardContextual"/>
        </w:rPr>
        <w:t>Analysis Reporting</w:t>
      </w:r>
      <w:bookmarkEnd w:id="339"/>
    </w:p>
    <w:p w14:paraId="73192476" w14:textId="3D21E168" w:rsidR="004C1CD3" w:rsidRPr="00B01F9E" w:rsidRDefault="009F1F82" w:rsidP="00FB088B">
      <w:pPr>
        <w:pStyle w:val="Heading4"/>
        <w:spacing w:before="0"/>
        <w:ind w:left="450" w:hanging="450"/>
        <w:rPr>
          <w:rStyle w:val="Heading4Char"/>
          <w:rFonts w:ascii="Arial" w:hAnsi="Arial" w:cs="Arial"/>
          <w:b/>
          <w:color w:val="auto"/>
          <w:sz w:val="20"/>
          <w:szCs w:val="20"/>
        </w:rPr>
      </w:pPr>
      <w:bookmarkStart w:id="340" w:name="_Data_elements_are"/>
      <w:bookmarkStart w:id="341" w:name="Gap_23_23"/>
      <w:bookmarkEnd w:id="340"/>
      <w:r w:rsidRPr="00B01F9E">
        <w:rPr>
          <w:rStyle w:val="Heading4Char"/>
          <w:rFonts w:ascii="Arial" w:hAnsi="Arial" w:cs="Arial"/>
          <w:b/>
          <w:color w:val="auto"/>
          <w:sz w:val="20"/>
          <w:szCs w:val="20"/>
        </w:rPr>
        <w:t>3</w:t>
      </w:r>
      <w:r w:rsidR="00F434FF" w:rsidRPr="00B01F9E">
        <w:rPr>
          <w:rStyle w:val="Heading4Char"/>
          <w:rFonts w:ascii="Arial" w:hAnsi="Arial" w:cs="Arial"/>
          <w:b/>
          <w:color w:val="auto"/>
          <w:sz w:val="20"/>
          <w:szCs w:val="20"/>
        </w:rPr>
        <w:t xml:space="preserve">.7.8.1 </w:t>
      </w:r>
      <w:hyperlink w:anchor="Gap_23" w:history="1">
        <w:r w:rsidR="004C1CD3" w:rsidRPr="00B01F9E">
          <w:rPr>
            <w:rStyle w:val="Hyperlink"/>
            <w:rFonts w:ascii="Arial" w:eastAsia="Yu Gothic Light" w:hAnsi="Arial" w:cs="Arial"/>
            <w:b/>
            <w:i w:val="0"/>
            <w:color w:val="auto"/>
            <w:kern w:val="2"/>
            <w:sz w:val="20"/>
            <w:szCs w:val="20"/>
            <w:u w:val="none"/>
            <w14:ligatures w14:val="standardContextual"/>
          </w:rPr>
          <w:t xml:space="preserve">Data elements are </w:t>
        </w:r>
        <w:bookmarkStart w:id="342" w:name="_Hlt175308621"/>
        <w:r w:rsidR="004C1CD3" w:rsidRPr="00B01F9E">
          <w:rPr>
            <w:rStyle w:val="Hyperlink"/>
            <w:rFonts w:ascii="Arial" w:eastAsia="Yu Gothic Light" w:hAnsi="Arial" w:cs="Arial"/>
            <w:b/>
            <w:i w:val="0"/>
            <w:color w:val="auto"/>
            <w:kern w:val="2"/>
            <w:sz w:val="20"/>
            <w:szCs w:val="20"/>
            <w:u w:val="none"/>
            <w14:ligatures w14:val="standardContextual"/>
          </w:rPr>
          <w:t>m</w:t>
        </w:r>
        <w:bookmarkEnd w:id="342"/>
        <w:r w:rsidR="004C1CD3" w:rsidRPr="00B01F9E">
          <w:rPr>
            <w:rStyle w:val="Hyperlink"/>
            <w:rFonts w:ascii="Arial" w:eastAsia="Yu Gothic Light" w:hAnsi="Arial" w:cs="Arial"/>
            <w:b/>
            <w:i w:val="0"/>
            <w:color w:val="auto"/>
            <w:kern w:val="2"/>
            <w:sz w:val="20"/>
            <w:szCs w:val="20"/>
            <w:u w:val="none"/>
            <w14:ligatures w14:val="standardContextual"/>
          </w:rPr>
          <w:t>issing for analysis:</w:t>
        </w:r>
      </w:hyperlink>
      <w:bookmarkEnd w:id="341"/>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bCs/>
          <w:color w:val="auto"/>
          <w:sz w:val="20"/>
          <w:szCs w:val="20"/>
        </w:rPr>
        <w:t>The analytic reporting tool, Tableau, was unable to capture accurate analysis statistics because certain data elements were missing. When the ordered test LOINC code was not included in an Instance Error Check result message, Tableau could not identify the test to associate the remaining data elements parsed from the HL7 message. As previously mentioned, the result interface was unable to send the ordered test LOINC code for the blood culture AST test. Consequently, the cumulative performance data for a laboratory could not be captured in the summary reports.</w:t>
      </w:r>
    </w:p>
    <w:p w14:paraId="2698C64B" w14:textId="77777777" w:rsidR="004C1CD3" w:rsidRPr="00B01F9E" w:rsidRDefault="004C1CD3" w:rsidP="004C1CD3">
      <w:pPr>
        <w:spacing w:before="120" w:after="0"/>
        <w:ind w:left="432"/>
        <w:rPr>
          <w:rFonts w:ascii="Arial" w:eastAsia="Times New Roman" w:hAnsi="Arial" w:cs="Arial"/>
          <w:b/>
          <w:bCs/>
          <w:sz w:val="20"/>
          <w:szCs w:val="20"/>
        </w:rPr>
      </w:pPr>
      <w:r w:rsidRPr="00B01F9E">
        <w:rPr>
          <w:rFonts w:ascii="Arial" w:eastAsia="Times New Roman" w:hAnsi="Arial" w:cs="Arial"/>
          <w:b/>
          <w:bCs/>
          <w:sz w:val="20"/>
          <w:szCs w:val="20"/>
        </w:rPr>
        <w:t xml:space="preserve">Resolutions: </w:t>
      </w:r>
    </w:p>
    <w:p w14:paraId="4DFBF5CD" w14:textId="77777777" w:rsidR="004C1CD3" w:rsidRPr="00B01F9E" w:rsidRDefault="004C1CD3" w:rsidP="00210505">
      <w:pPr>
        <w:numPr>
          <w:ilvl w:val="0"/>
          <w:numId w:val="85"/>
        </w:numPr>
        <w:spacing w:before="120" w:after="120"/>
        <w:ind w:left="1008"/>
        <w:rPr>
          <w:rFonts w:ascii="Arial" w:eastAsia="Times New Roman" w:hAnsi="Arial" w:cs="Arial"/>
          <w:sz w:val="20"/>
          <w:szCs w:val="20"/>
        </w:rPr>
      </w:pPr>
      <w:r w:rsidRPr="00B01F9E">
        <w:rPr>
          <w:rFonts w:ascii="Arial" w:eastAsia="Times New Roman" w:hAnsi="Arial" w:cs="Arial"/>
          <w:sz w:val="20"/>
          <w:szCs w:val="20"/>
        </w:rPr>
        <w:t>Interim solution: The analysis reports that provide cumulative statistics excluded submissions that were missing the ordered test LOINC code. However, a report detailing the number of submissions that could not be evaluated due to missing data was generated. Additionally, the Instance Error Check emailed evaluation notified the laboratory about the individual missing test data elements, helping the laboratory track down the error.</w:t>
      </w:r>
    </w:p>
    <w:p w14:paraId="5611890C"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Times New Roman" w:hAnsi="Arial" w:cs="Arial"/>
          <w:sz w:val="20"/>
          <w:szCs w:val="20"/>
        </w:rPr>
        <w:t>Long-term solution: The interim solution was suitable for the POC, as the gap was an inherent artifact of the POC. In the future, addressing the gap related to missing data elements and developing a true LIDR Test Compendium Report could eliminate this issue.</w:t>
      </w:r>
    </w:p>
    <w:p w14:paraId="79C36773" w14:textId="6E24AEE2" w:rsidR="004C1CD3" w:rsidRPr="00B01F9E" w:rsidRDefault="009F1F82" w:rsidP="00FB088B">
      <w:pPr>
        <w:pStyle w:val="Heading3"/>
        <w:spacing w:before="0" w:after="120"/>
        <w:rPr>
          <w:rFonts w:ascii="Arial" w:eastAsia="Yu Gothic Light" w:hAnsi="Arial" w:cs="Arial"/>
          <w:b/>
          <w:i/>
          <w:iCs/>
          <w:color w:val="009BBF"/>
          <w:kern w:val="2"/>
          <w:sz w:val="20"/>
          <w:szCs w:val="20"/>
          <w14:ligatures w14:val="standardContextual"/>
        </w:rPr>
      </w:pPr>
      <w:bookmarkStart w:id="343" w:name="_Toc177137001"/>
      <w:r w:rsidRPr="00B01F9E">
        <w:rPr>
          <w:rFonts w:ascii="Arial" w:eastAsia="Yu Gothic Light" w:hAnsi="Arial" w:cs="Arial"/>
          <w:b/>
          <w:i/>
          <w:iCs/>
          <w:color w:val="009BBF"/>
          <w:kern w:val="2"/>
          <w:sz w:val="20"/>
          <w:szCs w:val="20"/>
          <w14:ligatures w14:val="standardContextual"/>
        </w:rPr>
        <w:t>3</w:t>
      </w:r>
      <w:r w:rsidR="00F434FF" w:rsidRPr="00B01F9E">
        <w:rPr>
          <w:rFonts w:ascii="Arial" w:eastAsia="Yu Gothic Light" w:hAnsi="Arial" w:cs="Arial"/>
          <w:b/>
          <w:i/>
          <w:iCs/>
          <w:color w:val="009BBF"/>
          <w:kern w:val="2"/>
          <w:sz w:val="20"/>
          <w:szCs w:val="20"/>
          <w14:ligatures w14:val="standardContextual"/>
        </w:rPr>
        <w:t xml:space="preserve">.7.9 </w:t>
      </w:r>
      <w:r w:rsidR="00E30060" w:rsidRPr="00B01F9E">
        <w:rPr>
          <w:rFonts w:ascii="Arial" w:eastAsia="Yu Gothic Light" w:hAnsi="Arial" w:cs="Arial"/>
          <w:b/>
          <w:i/>
          <w:iCs/>
          <w:color w:val="009BBF"/>
          <w:kern w:val="2"/>
          <w:sz w:val="20"/>
          <w:szCs w:val="20"/>
          <w14:ligatures w14:val="standardContextual"/>
        </w:rPr>
        <w:t>Gaps Related to Laboratory Analyst Availability</w:t>
      </w:r>
      <w:bookmarkEnd w:id="343"/>
      <w:r w:rsidR="00E30060" w:rsidRPr="00B01F9E" w:rsidDel="00230080">
        <w:rPr>
          <w:rFonts w:ascii="Arial" w:eastAsia="Yu Gothic Light" w:hAnsi="Arial" w:cs="Arial"/>
          <w:b/>
          <w:i/>
          <w:iCs/>
          <w:color w:val="009BBF"/>
          <w:kern w:val="2"/>
          <w:sz w:val="20"/>
          <w:szCs w:val="20"/>
          <w14:ligatures w14:val="standardContextual"/>
        </w:rPr>
        <w:t xml:space="preserve"> </w:t>
      </w:r>
    </w:p>
    <w:p w14:paraId="58649BAA" w14:textId="67F155F3" w:rsidR="004C1CD3" w:rsidRPr="00B01F9E" w:rsidRDefault="009F1F82" w:rsidP="00FB088B">
      <w:pPr>
        <w:pStyle w:val="Heading4"/>
        <w:spacing w:before="0"/>
        <w:ind w:left="450" w:hanging="450"/>
        <w:rPr>
          <w:rStyle w:val="Heading4Char"/>
          <w:rFonts w:ascii="Arial" w:hAnsi="Arial" w:cs="Arial"/>
          <w:b/>
          <w:bCs/>
          <w:color w:val="auto"/>
          <w:sz w:val="20"/>
          <w:szCs w:val="20"/>
        </w:rPr>
      </w:pPr>
      <w:bookmarkStart w:id="344" w:name="_Limited_availability_to"/>
      <w:bookmarkStart w:id="345" w:name="Gap_24_24"/>
      <w:bookmarkEnd w:id="344"/>
      <w:r w:rsidRPr="00B01F9E">
        <w:rPr>
          <w:rStyle w:val="Heading4Char"/>
          <w:rFonts w:ascii="Arial" w:hAnsi="Arial" w:cs="Arial"/>
          <w:b/>
          <w:bCs/>
          <w:color w:val="auto"/>
          <w:sz w:val="20"/>
          <w:szCs w:val="20"/>
        </w:rPr>
        <w:t>3</w:t>
      </w:r>
      <w:r w:rsidR="00F434FF" w:rsidRPr="00B01F9E">
        <w:rPr>
          <w:rStyle w:val="Heading4Char"/>
          <w:rFonts w:ascii="Arial" w:hAnsi="Arial" w:cs="Arial"/>
          <w:b/>
          <w:bCs/>
          <w:color w:val="auto"/>
          <w:sz w:val="20"/>
          <w:szCs w:val="20"/>
        </w:rPr>
        <w:t xml:space="preserve">.7.9.1 </w:t>
      </w:r>
      <w:hyperlink w:anchor="Gap_24" w:history="1">
        <w:r w:rsidR="004C1CD3" w:rsidRPr="00B01F9E">
          <w:rPr>
            <w:rFonts w:ascii="Arial" w:eastAsia="Yu Gothic Light" w:hAnsi="Arial" w:cs="Arial"/>
            <w:b/>
            <w:i w:val="0"/>
            <w:color w:val="auto"/>
            <w:kern w:val="2"/>
            <w:sz w:val="20"/>
            <w:szCs w:val="20"/>
            <w14:ligatures w14:val="standardContextual"/>
          </w:rPr>
          <w:t>Lim</w:t>
        </w:r>
        <w:bookmarkStart w:id="346" w:name="_Hlt175730788"/>
        <w:r w:rsidR="004C1CD3" w:rsidRPr="00B01F9E">
          <w:rPr>
            <w:rFonts w:ascii="Arial" w:eastAsia="Yu Gothic Light" w:hAnsi="Arial" w:cs="Arial"/>
            <w:b/>
            <w:i w:val="0"/>
            <w:color w:val="auto"/>
            <w:kern w:val="2"/>
            <w:sz w:val="20"/>
            <w:szCs w:val="20"/>
            <w14:ligatures w14:val="standardContextual"/>
          </w:rPr>
          <w:t>i</w:t>
        </w:r>
        <w:bookmarkEnd w:id="346"/>
        <w:r w:rsidR="004C1CD3" w:rsidRPr="00B01F9E">
          <w:rPr>
            <w:rFonts w:ascii="Arial" w:eastAsia="Yu Gothic Light" w:hAnsi="Arial" w:cs="Arial"/>
            <w:b/>
            <w:i w:val="0"/>
            <w:color w:val="auto"/>
            <w:kern w:val="2"/>
            <w:sz w:val="20"/>
            <w:szCs w:val="20"/>
            <w14:ligatures w14:val="standardContextual"/>
          </w:rPr>
          <w:t>ted a</w:t>
        </w:r>
        <w:bookmarkStart w:id="347" w:name="_Hlt175769257"/>
        <w:r w:rsidR="004C1CD3" w:rsidRPr="00B01F9E">
          <w:rPr>
            <w:rFonts w:ascii="Arial" w:eastAsia="Yu Gothic Light" w:hAnsi="Arial" w:cs="Arial"/>
            <w:b/>
            <w:i w:val="0"/>
            <w:color w:val="auto"/>
            <w:kern w:val="2"/>
            <w:sz w:val="20"/>
            <w:szCs w:val="20"/>
            <w14:ligatures w14:val="standardContextual"/>
          </w:rPr>
          <w:t>v</w:t>
        </w:r>
        <w:bookmarkStart w:id="348" w:name="_Hlt175769291"/>
        <w:bookmarkEnd w:id="347"/>
        <w:r w:rsidR="004C1CD3" w:rsidRPr="00B01F9E">
          <w:rPr>
            <w:rFonts w:ascii="Arial" w:eastAsia="Yu Gothic Light" w:hAnsi="Arial" w:cs="Arial"/>
            <w:b/>
            <w:i w:val="0"/>
            <w:color w:val="auto"/>
            <w:kern w:val="2"/>
            <w:sz w:val="20"/>
            <w:szCs w:val="20"/>
            <w14:ligatures w14:val="standardContextual"/>
          </w:rPr>
          <w:t>a</w:t>
        </w:r>
        <w:bookmarkStart w:id="349" w:name="_Hlt175769241"/>
        <w:bookmarkEnd w:id="348"/>
        <w:r w:rsidR="004C1CD3" w:rsidRPr="00B01F9E">
          <w:rPr>
            <w:rFonts w:ascii="Arial" w:eastAsia="Yu Gothic Light" w:hAnsi="Arial" w:cs="Arial"/>
            <w:b/>
            <w:i w:val="0"/>
            <w:color w:val="auto"/>
            <w:kern w:val="2"/>
            <w:sz w:val="20"/>
            <w:szCs w:val="20"/>
            <w14:ligatures w14:val="standardContextual"/>
          </w:rPr>
          <w:t>i</w:t>
        </w:r>
        <w:bookmarkEnd w:id="349"/>
        <w:r w:rsidR="004C1CD3" w:rsidRPr="00B01F9E">
          <w:rPr>
            <w:rFonts w:ascii="Arial" w:eastAsia="Yu Gothic Light" w:hAnsi="Arial" w:cs="Arial"/>
            <w:b/>
            <w:i w:val="0"/>
            <w:color w:val="auto"/>
            <w:kern w:val="2"/>
            <w:sz w:val="20"/>
            <w:szCs w:val="20"/>
            <w14:ligatures w14:val="standardContextual"/>
          </w:rPr>
          <w:t>l</w:t>
        </w:r>
        <w:bookmarkStart w:id="350" w:name="_Hlt175731434"/>
        <w:r w:rsidR="004C1CD3" w:rsidRPr="00B01F9E">
          <w:rPr>
            <w:rFonts w:ascii="Arial" w:eastAsia="Yu Gothic Light" w:hAnsi="Arial" w:cs="Arial"/>
            <w:b/>
            <w:i w:val="0"/>
            <w:color w:val="auto"/>
            <w:kern w:val="2"/>
            <w:sz w:val="20"/>
            <w:szCs w:val="20"/>
            <w14:ligatures w14:val="standardContextual"/>
          </w:rPr>
          <w:t>a</w:t>
        </w:r>
        <w:bookmarkStart w:id="351" w:name="_Hlt175769253"/>
        <w:bookmarkEnd w:id="350"/>
        <w:r w:rsidR="004C1CD3" w:rsidRPr="00B01F9E">
          <w:rPr>
            <w:rFonts w:ascii="Arial" w:eastAsia="Yu Gothic Light" w:hAnsi="Arial" w:cs="Arial"/>
            <w:b/>
            <w:i w:val="0"/>
            <w:color w:val="auto"/>
            <w:kern w:val="2"/>
            <w:sz w:val="20"/>
            <w:szCs w:val="20"/>
            <w14:ligatures w14:val="standardContextual"/>
          </w:rPr>
          <w:t>b</w:t>
        </w:r>
        <w:bookmarkEnd w:id="351"/>
        <w:r w:rsidR="004C1CD3" w:rsidRPr="00B01F9E">
          <w:rPr>
            <w:rFonts w:ascii="Arial" w:eastAsia="Yu Gothic Light" w:hAnsi="Arial" w:cs="Arial"/>
            <w:b/>
            <w:i w:val="0"/>
            <w:color w:val="auto"/>
            <w:kern w:val="2"/>
            <w:sz w:val="20"/>
            <w:szCs w:val="20"/>
            <w14:ligatures w14:val="standardContextual"/>
          </w:rPr>
          <w:t>ility to work on required build:</w:t>
        </w:r>
      </w:hyperlink>
      <w:r w:rsidR="004C1CD3" w:rsidRPr="00B01F9E">
        <w:rPr>
          <w:rStyle w:val="Heading4Char"/>
          <w:rFonts w:ascii="Arial" w:hAnsi="Arial" w:cs="Arial"/>
          <w:b/>
          <w:bCs/>
          <w:color w:val="auto"/>
          <w:sz w:val="20"/>
          <w:szCs w:val="20"/>
        </w:rPr>
        <w:t xml:space="preserve"> </w:t>
      </w:r>
      <w:bookmarkEnd w:id="345"/>
      <w:r w:rsidR="004C1CD3" w:rsidRPr="00B01F9E">
        <w:rPr>
          <w:rStyle w:val="Heading4Char"/>
          <w:rFonts w:ascii="Arial" w:hAnsi="Arial" w:cs="Arial"/>
          <w:color w:val="auto"/>
          <w:sz w:val="20"/>
          <w:szCs w:val="20"/>
        </w:rPr>
        <w:t>The team at Duke was assigned the POC project work in addition to their traditional work requirements. Because of this, there were instances where the ability to complete POC build tasks were secondary to the production needs of the laboratory.</w:t>
      </w:r>
      <w:r w:rsidR="004C1CD3" w:rsidRPr="00B01F9E">
        <w:rPr>
          <w:rStyle w:val="Heading4Char"/>
          <w:rFonts w:ascii="Arial" w:hAnsi="Arial" w:cs="Arial"/>
          <w:b/>
          <w:bCs/>
          <w:color w:val="auto"/>
          <w:sz w:val="20"/>
          <w:szCs w:val="20"/>
        </w:rPr>
        <w:t xml:space="preserve"> </w:t>
      </w:r>
    </w:p>
    <w:p w14:paraId="26B4B063" w14:textId="77777777" w:rsidR="004C1CD3" w:rsidRPr="00B01F9E" w:rsidRDefault="004C1CD3" w:rsidP="004C1CD3">
      <w:pPr>
        <w:spacing w:before="120"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For example, the laboratory was unable to complete the task of encoding the qualitative results for the gram stain result and the culture identification panel with SNOMED CT codes. Therefore, these items continued to fail on the analysis performed for the Instance Error Check and the test compendium analysis. </w:t>
      </w:r>
    </w:p>
    <w:p w14:paraId="7CDF8174" w14:textId="77777777" w:rsidR="004C1CD3" w:rsidRPr="00B01F9E" w:rsidRDefault="004C1CD3" w:rsidP="004C1CD3">
      <w:pPr>
        <w:spacing w:before="120" w:after="0"/>
        <w:ind w:left="432"/>
        <w:rPr>
          <w:rFonts w:ascii="Arial" w:eastAsia="Times New Roman" w:hAnsi="Arial" w:cs="Arial"/>
          <w:b/>
          <w:bCs/>
          <w:sz w:val="20"/>
          <w:szCs w:val="20"/>
        </w:rPr>
      </w:pPr>
      <w:r w:rsidRPr="00B01F9E">
        <w:rPr>
          <w:rFonts w:ascii="Arial" w:eastAsia="Times New Roman" w:hAnsi="Arial" w:cs="Arial"/>
          <w:b/>
          <w:bCs/>
          <w:sz w:val="20"/>
          <w:szCs w:val="20"/>
        </w:rPr>
        <w:t xml:space="preserve">Resolutions: </w:t>
      </w:r>
    </w:p>
    <w:p w14:paraId="257647E3" w14:textId="77777777" w:rsidR="004C1CD3" w:rsidRPr="00B01F9E" w:rsidRDefault="004C1CD3" w:rsidP="00210505">
      <w:pPr>
        <w:numPr>
          <w:ilvl w:val="0"/>
          <w:numId w:val="85"/>
        </w:numPr>
        <w:spacing w:before="120" w:after="120"/>
        <w:ind w:left="1008"/>
        <w:rPr>
          <w:rFonts w:ascii="Arial" w:eastAsia="Times New Roman" w:hAnsi="Arial" w:cs="Arial"/>
          <w:sz w:val="20"/>
          <w:szCs w:val="20"/>
        </w:rPr>
      </w:pPr>
      <w:r w:rsidRPr="00B01F9E">
        <w:rPr>
          <w:rFonts w:ascii="Arial" w:eastAsia="Times New Roman" w:hAnsi="Arial" w:cs="Arial"/>
          <w:sz w:val="20"/>
          <w:szCs w:val="20"/>
        </w:rPr>
        <w:t>Interim solution: The LIS analyst mapped some of the qualitative results with SNOMED CT for other tests but was not able to complete the task for the gram stain and culture ID result.</w:t>
      </w:r>
    </w:p>
    <w:p w14:paraId="45B095F9"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Times New Roman" w:hAnsi="Arial" w:cs="Arial"/>
          <w:sz w:val="20"/>
          <w:szCs w:val="20"/>
        </w:rPr>
        <w:t xml:space="preserve">Long-term solution: </w:t>
      </w:r>
      <w:r w:rsidRPr="00B01F9E">
        <w:rPr>
          <w:rFonts w:ascii="Arial" w:eastAsia="Calibri" w:hAnsi="Arial" w:cs="Arial"/>
          <w:kern w:val="2"/>
          <w:sz w:val="20"/>
          <w:szCs w:val="20"/>
          <w:shd w:val="clear" w:color="auto" w:fill="FFFFFF"/>
          <w14:ligatures w14:val="standardContextual"/>
        </w:rPr>
        <w:t xml:space="preserve">It is recommended that the LIS/EHR vendor prepopulates and maintains these lists with appropriate SNOMED CT codes, establishing them as the only available choices in the procedure definitions. This approach would standardize the interpretation of these categories. For example, the qualitative result category list would only include the descriptions from SNOMED CT codes that are qualitative result concepts. Additionally, </w:t>
      </w:r>
      <w:r w:rsidRPr="00B01F9E">
        <w:rPr>
          <w:rFonts w:ascii="Arial" w:eastAsia="Times New Roman" w:hAnsi="Arial" w:cs="Arial"/>
          <w:sz w:val="20"/>
          <w:szCs w:val="20"/>
        </w:rPr>
        <w:t>support for dedicated LIS analysts following a full implementation schedule and access to resources from Epic would be required for future implementations of this design.</w:t>
      </w:r>
    </w:p>
    <w:p w14:paraId="22764860" w14:textId="003D422D" w:rsidR="004C1CD3" w:rsidRPr="00B01F9E" w:rsidRDefault="009F1F82" w:rsidP="00876DE5">
      <w:pPr>
        <w:pStyle w:val="Heading4"/>
        <w:spacing w:before="0" w:after="120"/>
        <w:ind w:left="450" w:hanging="450"/>
        <w:rPr>
          <w:rStyle w:val="Heading4Char"/>
          <w:rFonts w:ascii="Arial" w:hAnsi="Arial" w:cs="Arial"/>
          <w:bCs/>
          <w:color w:val="auto"/>
          <w:sz w:val="20"/>
          <w:szCs w:val="20"/>
        </w:rPr>
      </w:pPr>
      <w:bookmarkStart w:id="352" w:name="_Limited_availability_to_1"/>
      <w:bookmarkStart w:id="353" w:name="Gap_25_25"/>
      <w:bookmarkEnd w:id="352"/>
      <w:r w:rsidRPr="00B01F9E">
        <w:rPr>
          <w:rStyle w:val="Heading4Char"/>
          <w:rFonts w:ascii="Arial" w:hAnsi="Arial" w:cs="Arial"/>
          <w:b/>
          <w:color w:val="auto"/>
          <w:sz w:val="20"/>
          <w:szCs w:val="20"/>
        </w:rPr>
        <w:lastRenderedPageBreak/>
        <w:t>3</w:t>
      </w:r>
      <w:r w:rsidR="00F434FF" w:rsidRPr="00B01F9E">
        <w:rPr>
          <w:rStyle w:val="Heading4Char"/>
          <w:rFonts w:ascii="Arial" w:hAnsi="Arial" w:cs="Arial"/>
          <w:b/>
          <w:color w:val="auto"/>
          <w:sz w:val="20"/>
          <w:szCs w:val="20"/>
        </w:rPr>
        <w:t xml:space="preserve">.7.9.2 </w:t>
      </w:r>
      <w:hyperlink w:anchor="Gap_25" w:history="1">
        <w:r w:rsidR="004C1CD3" w:rsidRPr="00B01F9E">
          <w:rPr>
            <w:rStyle w:val="Hyperlink"/>
            <w:rFonts w:ascii="Arial" w:eastAsia="Yu Gothic Light" w:hAnsi="Arial" w:cs="Arial"/>
            <w:b/>
            <w:i w:val="0"/>
            <w:color w:val="auto"/>
            <w:kern w:val="2"/>
            <w:sz w:val="20"/>
            <w:szCs w:val="20"/>
            <w:u w:val="none"/>
            <w14:ligatures w14:val="standardContextual"/>
          </w:rPr>
          <w:t>Lim</w:t>
        </w:r>
        <w:bookmarkStart w:id="354" w:name="_Hlt175730791"/>
        <w:r w:rsidR="004C1CD3" w:rsidRPr="00B01F9E">
          <w:rPr>
            <w:rStyle w:val="Hyperlink"/>
            <w:rFonts w:ascii="Arial" w:eastAsia="Yu Gothic Light" w:hAnsi="Arial" w:cs="Arial"/>
            <w:b/>
            <w:i w:val="0"/>
            <w:color w:val="auto"/>
            <w:kern w:val="2"/>
            <w:sz w:val="20"/>
            <w:szCs w:val="20"/>
            <w:u w:val="none"/>
            <w14:ligatures w14:val="standardContextual"/>
          </w:rPr>
          <w:t>i</w:t>
        </w:r>
        <w:bookmarkEnd w:id="354"/>
        <w:r w:rsidR="004C1CD3" w:rsidRPr="00B01F9E">
          <w:rPr>
            <w:rStyle w:val="Hyperlink"/>
            <w:rFonts w:ascii="Arial" w:eastAsia="Yu Gothic Light" w:hAnsi="Arial" w:cs="Arial"/>
            <w:b/>
            <w:i w:val="0"/>
            <w:color w:val="auto"/>
            <w:kern w:val="2"/>
            <w:sz w:val="20"/>
            <w:szCs w:val="20"/>
            <w:u w:val="none"/>
            <w14:ligatures w14:val="standardContextual"/>
          </w:rPr>
          <w:t>ted avail</w:t>
        </w:r>
        <w:bookmarkStart w:id="355" w:name="_Hlt175731439"/>
        <w:r w:rsidR="004C1CD3" w:rsidRPr="00B01F9E">
          <w:rPr>
            <w:rStyle w:val="Hyperlink"/>
            <w:rFonts w:ascii="Arial" w:eastAsia="Yu Gothic Light" w:hAnsi="Arial" w:cs="Arial"/>
            <w:b/>
            <w:i w:val="0"/>
            <w:color w:val="auto"/>
            <w:kern w:val="2"/>
            <w:sz w:val="20"/>
            <w:szCs w:val="20"/>
            <w:u w:val="none"/>
            <w14:ligatures w14:val="standardContextual"/>
          </w:rPr>
          <w:t>a</w:t>
        </w:r>
        <w:bookmarkEnd w:id="355"/>
        <w:r w:rsidR="004C1CD3" w:rsidRPr="00B01F9E">
          <w:rPr>
            <w:rStyle w:val="Hyperlink"/>
            <w:rFonts w:ascii="Arial" w:eastAsia="Yu Gothic Light" w:hAnsi="Arial" w:cs="Arial"/>
            <w:b/>
            <w:i w:val="0"/>
            <w:color w:val="auto"/>
            <w:kern w:val="2"/>
            <w:sz w:val="20"/>
            <w:szCs w:val="20"/>
            <w:u w:val="none"/>
            <w14:ligatures w14:val="standardContextual"/>
          </w:rPr>
          <w:t>bility to fully explore perceived system limitations and required solutions:</w:t>
        </w:r>
      </w:hyperlink>
      <w:bookmarkEnd w:id="353"/>
      <w:r w:rsidR="004C1CD3" w:rsidRPr="00B01F9E">
        <w:rPr>
          <w:rStyle w:val="Heading4Char"/>
          <w:rFonts w:ascii="Arial" w:hAnsi="Arial" w:cs="Arial"/>
          <w:b/>
          <w:color w:val="auto"/>
          <w:sz w:val="20"/>
          <w:szCs w:val="20"/>
        </w:rPr>
        <w:t xml:space="preserve"> </w:t>
      </w:r>
      <w:r w:rsidR="004C1CD3" w:rsidRPr="00B01F9E">
        <w:rPr>
          <w:rStyle w:val="Heading4Char"/>
          <w:rFonts w:ascii="Arial" w:hAnsi="Arial" w:cs="Arial"/>
          <w:bCs/>
          <w:color w:val="auto"/>
          <w:sz w:val="20"/>
          <w:szCs w:val="20"/>
        </w:rPr>
        <w:t xml:space="preserve">As mentioned above, the priority of the QA Program POC work was secondary to the </w:t>
      </w:r>
      <w:proofErr w:type="gramStart"/>
      <w:r w:rsidR="004C1CD3" w:rsidRPr="00B01F9E">
        <w:rPr>
          <w:rStyle w:val="Heading4Char"/>
          <w:rFonts w:ascii="Arial" w:hAnsi="Arial" w:cs="Arial"/>
          <w:bCs/>
          <w:color w:val="auto"/>
          <w:sz w:val="20"/>
          <w:szCs w:val="20"/>
        </w:rPr>
        <w:t>Duke</w:t>
      </w:r>
      <w:proofErr w:type="gramEnd"/>
      <w:r w:rsidR="004C1CD3" w:rsidRPr="00B01F9E">
        <w:rPr>
          <w:rStyle w:val="Heading4Char"/>
          <w:rFonts w:ascii="Arial" w:hAnsi="Arial" w:cs="Arial"/>
          <w:bCs/>
          <w:color w:val="auto"/>
          <w:sz w:val="20"/>
          <w:szCs w:val="20"/>
        </w:rPr>
        <w:t xml:space="preserve"> laboratory production needs which hindered the ability to fully investigate and resolve some of the gaps. </w:t>
      </w:r>
    </w:p>
    <w:p w14:paraId="2EC35954" w14:textId="55E46CD2" w:rsidR="004C1CD3" w:rsidRPr="00B01F9E" w:rsidRDefault="004C1CD3" w:rsidP="007579E5">
      <w:pPr>
        <w:spacing w:after="120"/>
        <w:ind w:left="432"/>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For example, </w:t>
      </w:r>
      <w:hyperlink w:anchor="Gap_14_14" w:history="1">
        <w:r w:rsidRPr="00B01F9E">
          <w:rPr>
            <w:rStyle w:val="Hyperlink"/>
            <w:rFonts w:ascii="Arial" w:eastAsia="Calibri" w:hAnsi="Arial" w:cs="Arial"/>
            <w:kern w:val="2"/>
            <w:sz w:val="20"/>
            <w:szCs w:val="20"/>
            <w14:ligatures w14:val="standardContextual"/>
          </w:rPr>
          <w:t xml:space="preserve">Gap </w:t>
        </w:r>
        <w:r w:rsidR="009F1F82" w:rsidRPr="00B01F9E">
          <w:rPr>
            <w:rStyle w:val="Hyperlink"/>
            <w:rFonts w:ascii="Arial" w:eastAsia="Calibri" w:hAnsi="Arial" w:cs="Arial"/>
            <w:kern w:val="2"/>
            <w:sz w:val="20"/>
            <w:szCs w:val="20"/>
            <w14:ligatures w14:val="standardContextual"/>
          </w:rPr>
          <w:t>3</w:t>
        </w:r>
        <w:r w:rsidR="002A4EF5" w:rsidRPr="00B01F9E">
          <w:rPr>
            <w:rStyle w:val="Hyperlink"/>
            <w:rFonts w:ascii="Arial" w:eastAsia="Calibri" w:hAnsi="Arial" w:cs="Arial"/>
            <w:kern w:val="2"/>
            <w:sz w:val="20"/>
            <w:szCs w:val="20"/>
            <w14:ligatures w14:val="standardContextual"/>
          </w:rPr>
          <w:t>.7.4</w:t>
        </w:r>
        <w:r w:rsidRPr="00B01F9E">
          <w:rPr>
            <w:rStyle w:val="Hyperlink"/>
            <w:rFonts w:ascii="Arial" w:eastAsia="Calibri" w:hAnsi="Arial" w:cs="Arial"/>
            <w:kern w:val="2"/>
            <w:sz w:val="20"/>
            <w:szCs w:val="20"/>
            <w14:ligatures w14:val="standardContextual"/>
          </w:rPr>
          <w:t xml:space="preserve">.2 </w:t>
        </w:r>
      </w:hyperlink>
      <w:r w:rsidRPr="00B01F9E">
        <w:rPr>
          <w:rFonts w:ascii="Arial" w:eastAsia="Calibri" w:hAnsi="Arial" w:cs="Arial"/>
          <w:kern w:val="2"/>
          <w:sz w:val="20"/>
          <w:szCs w:val="20"/>
          <w14:ligatures w14:val="standardContextual"/>
        </w:rPr>
        <w:t xml:space="preserve">involves the need to transmit the device and kit UDIs for the gram stain in the result messages for blood culture. To resolve, it may potentially require an edit to a setting on the interface. The method </w:t>
      </w:r>
      <w:proofErr w:type="gramStart"/>
      <w:r w:rsidRPr="00B01F9E">
        <w:rPr>
          <w:rFonts w:ascii="Arial" w:eastAsia="Calibri" w:hAnsi="Arial" w:cs="Arial"/>
          <w:kern w:val="2"/>
          <w:sz w:val="20"/>
          <w:szCs w:val="20"/>
          <w14:ligatures w14:val="standardContextual"/>
        </w:rPr>
        <w:t>record</w:t>
      </w:r>
      <w:proofErr w:type="gramEnd"/>
      <w:r w:rsidRPr="00B01F9E">
        <w:rPr>
          <w:rFonts w:ascii="Arial" w:eastAsia="Calibri" w:hAnsi="Arial" w:cs="Arial"/>
          <w:kern w:val="2"/>
          <w:sz w:val="20"/>
          <w:szCs w:val="20"/>
          <w14:ligatures w14:val="standardContextual"/>
        </w:rPr>
        <w:t xml:space="preserve"> for the gram stain (containing the link to the device and kit UDIs) had been properly defined in Beaker, however, the field it belonged to in the OBX segment was blank in the transmitted result messages. Due to lack of time and resource availability, this was not fully investigated and was documented as a gap.</w:t>
      </w:r>
    </w:p>
    <w:p w14:paraId="1746A5D0" w14:textId="77777777" w:rsidR="004C1CD3" w:rsidRPr="00B01F9E" w:rsidRDefault="004C1CD3" w:rsidP="004C1CD3">
      <w:pPr>
        <w:spacing w:before="120" w:after="0"/>
        <w:ind w:left="432"/>
        <w:rPr>
          <w:rFonts w:ascii="Arial" w:eastAsia="Times New Roman" w:hAnsi="Arial" w:cs="Arial"/>
          <w:b/>
          <w:bCs/>
          <w:sz w:val="20"/>
          <w:szCs w:val="20"/>
        </w:rPr>
      </w:pPr>
      <w:r w:rsidRPr="00B01F9E">
        <w:rPr>
          <w:rFonts w:ascii="Arial" w:eastAsia="Times New Roman" w:hAnsi="Arial" w:cs="Arial"/>
          <w:b/>
          <w:bCs/>
          <w:sz w:val="20"/>
          <w:szCs w:val="20"/>
        </w:rPr>
        <w:t xml:space="preserve">Resolutions: </w:t>
      </w:r>
    </w:p>
    <w:p w14:paraId="0C53DC2E"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Times New Roman" w:hAnsi="Arial" w:cs="Arial"/>
          <w:sz w:val="20"/>
          <w:szCs w:val="20"/>
        </w:rPr>
        <w:t xml:space="preserve">Interim solution: </w:t>
      </w:r>
      <w:r w:rsidRPr="00B01F9E">
        <w:rPr>
          <w:rFonts w:ascii="Arial" w:eastAsia="Calibri" w:hAnsi="Arial" w:cs="Arial"/>
          <w:kern w:val="2"/>
          <w:sz w:val="20"/>
          <w:szCs w:val="20"/>
          <w14:ligatures w14:val="standardContextual"/>
        </w:rPr>
        <w:t xml:space="preserve">No interim solution was able to be identified or implemented. </w:t>
      </w:r>
    </w:p>
    <w:p w14:paraId="08328C5C" w14:textId="77777777" w:rsidR="004C1CD3" w:rsidRPr="00B01F9E" w:rsidRDefault="004C1CD3" w:rsidP="00210505">
      <w:pPr>
        <w:numPr>
          <w:ilvl w:val="0"/>
          <w:numId w:val="85"/>
        </w:numPr>
        <w:spacing w:before="120" w:after="120"/>
        <w:ind w:left="1008"/>
        <w:rPr>
          <w:rFonts w:ascii="Arial" w:eastAsia="Calibri" w:hAnsi="Arial" w:cs="Arial"/>
          <w:kern w:val="2"/>
          <w:sz w:val="20"/>
          <w:szCs w:val="20"/>
          <w14:ligatures w14:val="standardContextual"/>
        </w:rPr>
      </w:pPr>
      <w:r w:rsidRPr="00B01F9E">
        <w:rPr>
          <w:rFonts w:ascii="Arial" w:eastAsia="Times New Roman" w:hAnsi="Arial" w:cs="Arial"/>
          <w:sz w:val="20"/>
          <w:szCs w:val="20"/>
        </w:rPr>
        <w:t xml:space="preserve">Long-term solution: Support for dedicated interface analysts following a full implementation schedule and access to resources from Epic would be required for future implementations of this design. Additionally, an implementation guide that identifies gaps and provides solutions would facilitate future implementations. </w:t>
      </w:r>
    </w:p>
    <w:p w14:paraId="058DF397" w14:textId="77777777" w:rsidR="004C1CD3" w:rsidRPr="00B01F9E" w:rsidRDefault="009F04EF" w:rsidP="00240262">
      <w:pPr>
        <w:spacing w:after="120"/>
        <w:rPr>
          <w:rFonts w:ascii="Arial" w:eastAsia="Calibri" w:hAnsi="Arial" w:cs="Arial"/>
          <w:kern w:val="2"/>
          <w:sz w:val="20"/>
          <w:szCs w:val="20"/>
          <w14:ligatures w14:val="standardContextual"/>
        </w:rPr>
      </w:pPr>
      <w:r w:rsidRPr="00B01F9E">
        <w:rPr>
          <w:rFonts w:ascii="Arial" w:eastAsia="Yu Gothic Light" w:hAnsi="Arial" w:cs="Arial"/>
          <w:b/>
          <w:kern w:val="2"/>
          <w:sz w:val="20"/>
          <w:szCs w:val="20"/>
          <w14:ligatures w14:val="standardContextual"/>
        </w:rPr>
        <w:t>S</w:t>
      </w:r>
      <w:r w:rsidRPr="00B01F9E">
        <w:rPr>
          <w:rFonts w:ascii="Arial" w:hAnsi="Arial" w:cs="Arial"/>
          <w:b/>
          <w:sz w:val="20"/>
          <w:szCs w:val="20"/>
        </w:rPr>
        <w:t>ummary Comments</w:t>
      </w:r>
    </w:p>
    <w:p w14:paraId="14E0DCA6" w14:textId="77777777" w:rsidR="004C1CD3" w:rsidRPr="00B01F9E" w:rsidRDefault="004C1CD3" w:rsidP="004C1CD3">
      <w:pPr>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To address the gaps and</w:t>
      </w:r>
      <w:r w:rsidRPr="00B01F9E" w:rsidDel="002A13E4">
        <w:rPr>
          <w:rFonts w:ascii="Arial" w:eastAsia="Calibri" w:hAnsi="Arial" w:cs="Arial"/>
          <w:kern w:val="2"/>
          <w:sz w:val="20"/>
          <w:szCs w:val="20"/>
          <w14:ligatures w14:val="standardContextual"/>
        </w:rPr>
        <w:t xml:space="preserve"> </w:t>
      </w:r>
      <w:r w:rsidRPr="00B01F9E">
        <w:rPr>
          <w:rFonts w:ascii="Arial" w:eastAsia="Calibri" w:hAnsi="Arial" w:cs="Arial"/>
          <w:kern w:val="2"/>
          <w:sz w:val="20"/>
          <w:szCs w:val="20"/>
          <w14:ligatures w14:val="standardContextual"/>
        </w:rPr>
        <w:t>challenges identified during the POC implementation and testing, future efforts will require contribution from EHR, LIS, IVD vendors, and SDOs. The most critical need is the development of a curated and accessible LIDR. The QA Program design and testing were based on Epic Beaker capabilities. Other</w:t>
      </w:r>
      <w:r w:rsidRPr="00B01F9E" w:rsidDel="002A13E4">
        <w:rPr>
          <w:rFonts w:ascii="Arial" w:eastAsia="Calibri" w:hAnsi="Arial" w:cs="Arial"/>
          <w:kern w:val="2"/>
          <w:sz w:val="20"/>
          <w:szCs w:val="20"/>
          <w14:ligatures w14:val="standardContextual"/>
        </w:rPr>
        <w:t xml:space="preserve"> </w:t>
      </w:r>
      <w:r w:rsidRPr="00B01F9E">
        <w:rPr>
          <w:rFonts w:ascii="Arial" w:eastAsia="Calibri" w:hAnsi="Arial" w:cs="Arial"/>
          <w:kern w:val="2"/>
          <w:sz w:val="20"/>
          <w:szCs w:val="20"/>
          <w14:ligatures w14:val="standardContextual"/>
        </w:rPr>
        <w:t>laboratory information systems must be evaluated to ensure test encoding and electronic transmission via a result interface can be assessed through the QA Program. Implementing LIDR requires government support for multiple stakeholders including laboratories, LIS vendors, and IVD vendors. These efforts should aim to minimize compliance strain on laboratories, which would be essential to establishing a more interoperable national healthcare system.</w:t>
      </w:r>
    </w:p>
    <w:p w14:paraId="7794103B" w14:textId="1CEC30E3" w:rsidR="00236BAF" w:rsidRPr="00B01F9E" w:rsidRDefault="00236BAF" w:rsidP="00FB088B">
      <w:pPr>
        <w:pStyle w:val="Heading2"/>
        <w:spacing w:before="0" w:after="120"/>
        <w:rPr>
          <w:rFonts w:ascii="Arial" w:hAnsi="Arial" w:cs="Arial"/>
          <w:b/>
          <w:bCs/>
          <w:color w:val="009BBF"/>
          <w:sz w:val="20"/>
          <w:szCs w:val="20"/>
        </w:rPr>
      </w:pPr>
      <w:bookmarkStart w:id="356" w:name="_Toc177137002"/>
      <w:r w:rsidRPr="00B01F9E">
        <w:rPr>
          <w:rFonts w:ascii="Arial" w:hAnsi="Arial" w:cs="Arial"/>
          <w:b/>
          <w:bCs/>
          <w:color w:val="009BBF"/>
          <w:sz w:val="20"/>
          <w:szCs w:val="20"/>
        </w:rPr>
        <w:t xml:space="preserve">3.8 </w:t>
      </w:r>
      <w:r w:rsidR="00951F74" w:rsidRPr="00B01F9E">
        <w:rPr>
          <w:rFonts w:ascii="Arial" w:hAnsi="Arial" w:cs="Arial"/>
          <w:b/>
          <w:bCs/>
          <w:color w:val="009BBF"/>
          <w:sz w:val="20"/>
          <w:szCs w:val="20"/>
        </w:rPr>
        <w:t>Successes and Challenges of Implementing the POC</w:t>
      </w:r>
      <w:bookmarkEnd w:id="356"/>
      <w:r w:rsidR="00951F74" w:rsidRPr="00B01F9E">
        <w:rPr>
          <w:rFonts w:ascii="Arial" w:hAnsi="Arial" w:cs="Arial"/>
          <w:b/>
          <w:bCs/>
          <w:color w:val="009BBF"/>
          <w:sz w:val="20"/>
          <w:szCs w:val="20"/>
        </w:rPr>
        <w:t xml:space="preserve"> </w:t>
      </w:r>
    </w:p>
    <w:p w14:paraId="5F5CDD62" w14:textId="12E7F47B" w:rsidR="001E26F7" w:rsidRPr="00B01F9E" w:rsidRDefault="001E26F7" w:rsidP="001D2B7D">
      <w:pPr>
        <w:rPr>
          <w:rFonts w:ascii="Arial" w:hAnsi="Arial" w:cs="Arial"/>
          <w:sz w:val="20"/>
          <w:szCs w:val="20"/>
        </w:rPr>
      </w:pPr>
      <w:r w:rsidRPr="00B01F9E">
        <w:rPr>
          <w:rStyle w:val="normaltextrun"/>
          <w:rFonts w:ascii="Arial" w:eastAsiaTheme="majorEastAsia" w:hAnsi="Arial" w:cs="Arial"/>
          <w:sz w:val="20"/>
          <w:szCs w:val="20"/>
        </w:rPr>
        <w:t>Despite the presence of gaps found during the implementation of the POC, there were several design features which worked well.</w:t>
      </w:r>
      <w:r w:rsidR="00EA070D" w:rsidRPr="00B01F9E">
        <w:rPr>
          <w:rStyle w:val="normaltextrun"/>
          <w:rFonts w:ascii="Arial" w:eastAsiaTheme="majorEastAsia" w:hAnsi="Arial" w:cs="Arial"/>
          <w:sz w:val="20"/>
          <w:szCs w:val="20"/>
        </w:rPr>
        <w:t xml:space="preserve"> </w:t>
      </w:r>
      <w:r w:rsidRPr="00B01F9E">
        <w:rPr>
          <w:rStyle w:val="normaltextrun"/>
          <w:rFonts w:ascii="Arial" w:eastAsiaTheme="majorEastAsia" w:hAnsi="Arial" w:cs="Arial"/>
          <w:sz w:val="20"/>
          <w:szCs w:val="20"/>
        </w:rPr>
        <w:t>The</w:t>
      </w:r>
      <w:r w:rsidR="00780E62" w:rsidRPr="00B01F9E">
        <w:rPr>
          <w:rStyle w:val="normaltextrun"/>
          <w:rFonts w:ascii="Arial" w:eastAsiaTheme="majorEastAsia" w:hAnsi="Arial" w:cs="Arial"/>
          <w:sz w:val="20"/>
          <w:szCs w:val="20"/>
        </w:rPr>
        <w:t>se</w:t>
      </w:r>
      <w:r w:rsidRPr="00B01F9E">
        <w:rPr>
          <w:rStyle w:val="normaltextrun"/>
          <w:rFonts w:ascii="Arial" w:eastAsiaTheme="majorEastAsia" w:hAnsi="Arial" w:cs="Arial"/>
          <w:sz w:val="20"/>
          <w:szCs w:val="20"/>
        </w:rPr>
        <w:t xml:space="preserve"> features are listed below in </w:t>
      </w:r>
      <w:r w:rsidR="00346404" w:rsidRPr="00B01F9E">
        <w:rPr>
          <w:rStyle w:val="normaltextrun"/>
          <w:rFonts w:ascii="Arial" w:eastAsiaTheme="majorEastAsia" w:hAnsi="Arial" w:cs="Arial"/>
          <w:sz w:val="20"/>
          <w:szCs w:val="20"/>
        </w:rPr>
        <w:t>T</w:t>
      </w:r>
      <w:r w:rsidRPr="00B01F9E">
        <w:rPr>
          <w:rStyle w:val="normaltextrun"/>
          <w:rFonts w:ascii="Arial" w:eastAsiaTheme="majorEastAsia" w:hAnsi="Arial" w:cs="Arial"/>
          <w:sz w:val="20"/>
          <w:szCs w:val="20"/>
        </w:rPr>
        <w:t xml:space="preserve">able </w:t>
      </w:r>
      <w:r w:rsidR="00346404" w:rsidRPr="00B01F9E">
        <w:rPr>
          <w:rStyle w:val="normaltextrun"/>
          <w:rFonts w:ascii="Arial" w:eastAsiaTheme="majorEastAsia" w:hAnsi="Arial" w:cs="Arial"/>
          <w:sz w:val="20"/>
          <w:szCs w:val="20"/>
        </w:rPr>
        <w:t>9</w:t>
      </w:r>
      <w:r w:rsidRPr="00B01F9E">
        <w:rPr>
          <w:rStyle w:val="normaltextrun"/>
          <w:rFonts w:ascii="Arial" w:eastAsiaTheme="majorEastAsia" w:hAnsi="Arial" w:cs="Arial"/>
          <w:sz w:val="20"/>
          <w:szCs w:val="20"/>
        </w:rPr>
        <w:t xml:space="preserve"> and </w:t>
      </w:r>
      <w:r w:rsidR="003C42FB" w:rsidRPr="00B01F9E">
        <w:rPr>
          <w:rStyle w:val="normaltextrun"/>
          <w:rFonts w:ascii="Arial" w:eastAsiaTheme="majorEastAsia" w:hAnsi="Arial" w:cs="Arial"/>
          <w:sz w:val="20"/>
          <w:szCs w:val="20"/>
        </w:rPr>
        <w:t xml:space="preserve">were </w:t>
      </w:r>
      <w:r w:rsidRPr="00B01F9E">
        <w:rPr>
          <w:rStyle w:val="normaltextrun"/>
          <w:rFonts w:ascii="Arial" w:eastAsiaTheme="majorEastAsia" w:hAnsi="Arial" w:cs="Arial"/>
          <w:sz w:val="20"/>
          <w:szCs w:val="20"/>
        </w:rPr>
        <w:t xml:space="preserve">proven successful by the demonstration of the </w:t>
      </w:r>
      <w:r w:rsidR="003C42FB" w:rsidRPr="00B01F9E">
        <w:rPr>
          <w:rStyle w:val="normaltextrun"/>
          <w:rFonts w:ascii="Arial" w:eastAsiaTheme="majorEastAsia" w:hAnsi="Arial" w:cs="Arial"/>
          <w:sz w:val="20"/>
          <w:szCs w:val="20"/>
        </w:rPr>
        <w:t>I</w:t>
      </w:r>
      <w:r w:rsidRPr="00B01F9E">
        <w:rPr>
          <w:rStyle w:val="normaltextrun"/>
          <w:rFonts w:ascii="Arial" w:eastAsiaTheme="majorEastAsia" w:hAnsi="Arial" w:cs="Arial"/>
          <w:sz w:val="20"/>
          <w:szCs w:val="20"/>
        </w:rPr>
        <w:t>nstance</w:t>
      </w:r>
      <w:r w:rsidR="003C42FB" w:rsidRPr="00B01F9E">
        <w:rPr>
          <w:rStyle w:val="normaltextrun"/>
          <w:rFonts w:ascii="Arial" w:eastAsiaTheme="majorEastAsia" w:hAnsi="Arial" w:cs="Arial"/>
          <w:sz w:val="20"/>
          <w:szCs w:val="20"/>
        </w:rPr>
        <w:t xml:space="preserve"> Error</w:t>
      </w:r>
      <w:r w:rsidRPr="00B01F9E">
        <w:rPr>
          <w:rStyle w:val="normaltextrun"/>
          <w:rFonts w:ascii="Arial" w:eastAsiaTheme="majorEastAsia" w:hAnsi="Arial" w:cs="Arial"/>
          <w:sz w:val="20"/>
          <w:szCs w:val="20"/>
        </w:rPr>
        <w:t xml:space="preserve"> </w:t>
      </w:r>
      <w:r w:rsidR="003C42FB" w:rsidRPr="00B01F9E">
        <w:rPr>
          <w:rStyle w:val="normaltextrun"/>
          <w:rFonts w:ascii="Arial" w:eastAsiaTheme="majorEastAsia" w:hAnsi="Arial" w:cs="Arial"/>
          <w:sz w:val="20"/>
          <w:szCs w:val="20"/>
        </w:rPr>
        <w:t>C</w:t>
      </w:r>
      <w:r w:rsidRPr="00B01F9E">
        <w:rPr>
          <w:rStyle w:val="normaltextrun"/>
          <w:rFonts w:ascii="Arial" w:eastAsiaTheme="majorEastAsia" w:hAnsi="Arial" w:cs="Arial"/>
          <w:sz w:val="20"/>
          <w:szCs w:val="20"/>
        </w:rPr>
        <w:t>heck performance for these tests: basic metabolic panel, plasma creatinine, complete urinalysis, and respiratory viral panel. Each of these tests were able to be transmitted via LIDR encoded HL7 messages to the CAP for analysis and obtained a full passing “grade” for each </w:t>
      </w:r>
      <w:proofErr w:type="spellStart"/>
      <w:r w:rsidRPr="00B01F9E">
        <w:rPr>
          <w:rStyle w:val="spellingerror"/>
          <w:rFonts w:ascii="Arial" w:eastAsiaTheme="majorEastAsia" w:hAnsi="Arial" w:cs="Arial"/>
          <w:sz w:val="20"/>
          <w:szCs w:val="20"/>
        </w:rPr>
        <w:t>resultable</w:t>
      </w:r>
      <w:proofErr w:type="spellEnd"/>
      <w:r w:rsidRPr="00B01F9E">
        <w:rPr>
          <w:rStyle w:val="normaltextrun"/>
          <w:rFonts w:ascii="Arial" w:eastAsiaTheme="majorEastAsia" w:hAnsi="Arial" w:cs="Arial"/>
          <w:sz w:val="20"/>
          <w:szCs w:val="20"/>
        </w:rPr>
        <w:t> test and every LIDR element (</w:t>
      </w:r>
      <w:r w:rsidR="00F16E5F" w:rsidRPr="00B01F9E">
        <w:rPr>
          <w:rStyle w:val="normaltextrun"/>
          <w:rFonts w:ascii="Arial" w:eastAsiaTheme="majorEastAsia" w:hAnsi="Arial" w:cs="Arial"/>
          <w:sz w:val="20"/>
          <w:szCs w:val="20"/>
        </w:rPr>
        <w:t>s</w:t>
      </w:r>
      <w:r w:rsidRPr="00B01F9E">
        <w:rPr>
          <w:rStyle w:val="normaltextrun"/>
          <w:rFonts w:ascii="Arial" w:eastAsiaTheme="majorEastAsia" w:hAnsi="Arial" w:cs="Arial"/>
          <w:sz w:val="20"/>
          <w:szCs w:val="20"/>
        </w:rPr>
        <w:t xml:space="preserve">ee the </w:t>
      </w:r>
      <w:r w:rsidR="003E5239" w:rsidRPr="00B01F9E">
        <w:rPr>
          <w:rStyle w:val="normaltextrun"/>
          <w:rFonts w:ascii="Arial" w:eastAsiaTheme="majorEastAsia" w:hAnsi="Arial" w:cs="Arial"/>
          <w:sz w:val="20"/>
          <w:szCs w:val="20"/>
        </w:rPr>
        <w:t>completed</w:t>
      </w:r>
      <w:r w:rsidRPr="00B01F9E">
        <w:rPr>
          <w:rStyle w:val="normaltextrun"/>
          <w:rFonts w:ascii="Arial" w:eastAsiaTheme="majorEastAsia" w:hAnsi="Arial" w:cs="Arial"/>
          <w:sz w:val="20"/>
          <w:szCs w:val="20"/>
        </w:rPr>
        <w:t xml:space="preserve"> test plan in the </w:t>
      </w:r>
      <w:r w:rsidR="00FA4B00" w:rsidRPr="00B01F9E">
        <w:rPr>
          <w:rStyle w:val="normaltextrun"/>
          <w:rFonts w:ascii="Arial" w:eastAsiaTheme="majorEastAsia" w:hAnsi="Arial" w:cs="Arial"/>
          <w:sz w:val="20"/>
          <w:szCs w:val="20"/>
        </w:rPr>
        <w:t>S</w:t>
      </w:r>
      <w:r w:rsidRPr="00B01F9E">
        <w:rPr>
          <w:rStyle w:val="normaltextrun"/>
          <w:rFonts w:ascii="Arial" w:eastAsiaTheme="majorEastAsia" w:hAnsi="Arial" w:cs="Arial"/>
          <w:sz w:val="20"/>
          <w:szCs w:val="20"/>
        </w:rPr>
        <w:t xml:space="preserve">upplemental </w:t>
      </w:r>
      <w:r w:rsidR="00FA4B00" w:rsidRPr="00B01F9E">
        <w:rPr>
          <w:rStyle w:val="normaltextrun"/>
          <w:rFonts w:ascii="Arial" w:eastAsiaTheme="majorEastAsia" w:hAnsi="Arial" w:cs="Arial"/>
          <w:sz w:val="20"/>
          <w:szCs w:val="20"/>
        </w:rPr>
        <w:t>M</w:t>
      </w:r>
      <w:r w:rsidRPr="00B01F9E">
        <w:rPr>
          <w:rStyle w:val="normaltextrun"/>
          <w:rFonts w:ascii="Arial" w:eastAsiaTheme="majorEastAsia" w:hAnsi="Arial" w:cs="Arial"/>
          <w:sz w:val="20"/>
          <w:szCs w:val="20"/>
        </w:rPr>
        <w:t>aterial</w:t>
      </w:r>
      <w:r w:rsidR="00626AA2" w:rsidRPr="00B01F9E">
        <w:rPr>
          <w:rStyle w:val="normaltextrun"/>
          <w:rFonts w:ascii="Arial" w:eastAsiaTheme="majorEastAsia" w:hAnsi="Arial" w:cs="Arial"/>
          <w:sz w:val="20"/>
          <w:szCs w:val="20"/>
        </w:rPr>
        <w:t>s</w:t>
      </w:r>
      <w:r w:rsidRPr="00B01F9E">
        <w:rPr>
          <w:rStyle w:val="normaltextrun"/>
          <w:rFonts w:ascii="Arial" w:eastAsiaTheme="majorEastAsia" w:hAnsi="Arial" w:cs="Arial"/>
          <w:sz w:val="20"/>
          <w:szCs w:val="20"/>
        </w:rPr>
        <w:t xml:space="preserve"> section</w:t>
      </w:r>
      <w:r w:rsidR="00F16E5F" w:rsidRPr="00B01F9E">
        <w:rPr>
          <w:rStyle w:val="normaltextrun"/>
          <w:rFonts w:ascii="Arial" w:eastAsiaTheme="majorEastAsia" w:hAnsi="Arial" w:cs="Arial"/>
          <w:sz w:val="20"/>
          <w:szCs w:val="20"/>
        </w:rPr>
        <w:t>.</w:t>
      </w:r>
      <w:r w:rsidRPr="00B01F9E">
        <w:rPr>
          <w:rStyle w:val="normaltextrun"/>
          <w:rFonts w:ascii="Arial" w:eastAsiaTheme="majorEastAsia" w:hAnsi="Arial" w:cs="Arial"/>
          <w:sz w:val="20"/>
          <w:szCs w:val="20"/>
        </w:rPr>
        <w:t>)</w:t>
      </w:r>
      <w:r w:rsidRPr="00B01F9E">
        <w:rPr>
          <w:rStyle w:val="eop"/>
          <w:rFonts w:ascii="Arial" w:eastAsiaTheme="majorEastAsia" w:hAnsi="Arial" w:cs="Arial"/>
          <w:sz w:val="20"/>
          <w:szCs w:val="20"/>
        </w:rPr>
        <w:t> </w:t>
      </w:r>
    </w:p>
    <w:p w14:paraId="4CDA82A0" w14:textId="77777777" w:rsidR="00D45F79" w:rsidRPr="00B01F9E" w:rsidRDefault="00D45F79">
      <w:pPr>
        <w:rPr>
          <w:rStyle w:val="eop"/>
          <w:rFonts w:ascii="Arial" w:eastAsiaTheme="majorEastAsia" w:hAnsi="Arial" w:cs="Arial"/>
          <w:b/>
          <w:bCs/>
          <w:color w:val="009ABF" w:themeColor="text1"/>
          <w:sz w:val="20"/>
          <w:szCs w:val="20"/>
        </w:rPr>
      </w:pPr>
      <w:r w:rsidRPr="00B01F9E">
        <w:rPr>
          <w:rStyle w:val="eop"/>
          <w:rFonts w:ascii="Arial" w:eastAsiaTheme="majorEastAsia" w:hAnsi="Arial" w:cs="Arial"/>
          <w:b/>
          <w:bCs/>
          <w:color w:val="009ABF" w:themeColor="text1"/>
          <w:sz w:val="20"/>
          <w:szCs w:val="20"/>
        </w:rPr>
        <w:br w:type="page"/>
      </w:r>
    </w:p>
    <w:p w14:paraId="08A5F1D7" w14:textId="60C6FCBB" w:rsidR="001E26F7" w:rsidRPr="00B01F9E" w:rsidRDefault="001E26F7" w:rsidP="00FB088B">
      <w:pPr>
        <w:pStyle w:val="paragraph"/>
        <w:spacing w:before="0" w:beforeAutospacing="0" w:after="0" w:afterAutospacing="0"/>
        <w:textAlignment w:val="baseline"/>
        <w:rPr>
          <w:rFonts w:ascii="Arial" w:hAnsi="Arial" w:cs="Arial"/>
          <w:b/>
          <w:bCs/>
          <w:color w:val="009ABF" w:themeColor="text1"/>
          <w:sz w:val="20"/>
          <w:szCs w:val="20"/>
        </w:rPr>
      </w:pPr>
      <w:r w:rsidRPr="00B01F9E">
        <w:rPr>
          <w:rStyle w:val="eop"/>
          <w:rFonts w:ascii="Arial" w:eastAsiaTheme="majorEastAsia" w:hAnsi="Arial" w:cs="Arial"/>
          <w:b/>
          <w:bCs/>
          <w:color w:val="009ABF" w:themeColor="text1"/>
          <w:sz w:val="20"/>
          <w:szCs w:val="20"/>
        </w:rPr>
        <w:lastRenderedPageBreak/>
        <w:t> </w:t>
      </w:r>
      <w:r w:rsidR="009F1FB6" w:rsidRPr="00B01F9E">
        <w:rPr>
          <w:rStyle w:val="eop"/>
          <w:rFonts w:ascii="Arial" w:eastAsiaTheme="majorEastAsia" w:hAnsi="Arial" w:cs="Arial"/>
          <w:b/>
          <w:bCs/>
          <w:color w:val="009ABF" w:themeColor="text1"/>
          <w:sz w:val="20"/>
          <w:szCs w:val="20"/>
        </w:rPr>
        <w:t xml:space="preserve">Table </w:t>
      </w:r>
      <w:r w:rsidR="00346404" w:rsidRPr="00B01F9E">
        <w:rPr>
          <w:rStyle w:val="eop"/>
          <w:rFonts w:ascii="Arial" w:eastAsiaTheme="majorEastAsia" w:hAnsi="Arial" w:cs="Arial"/>
          <w:b/>
          <w:bCs/>
          <w:color w:val="009ABF" w:themeColor="text1"/>
          <w:sz w:val="20"/>
          <w:szCs w:val="20"/>
        </w:rPr>
        <w:t>9</w:t>
      </w:r>
      <w:r w:rsidR="009F1FB6" w:rsidRPr="00B01F9E">
        <w:rPr>
          <w:rStyle w:val="eop"/>
          <w:rFonts w:ascii="Arial" w:eastAsiaTheme="majorEastAsia" w:hAnsi="Arial" w:cs="Arial"/>
          <w:b/>
          <w:bCs/>
          <w:color w:val="009ABF" w:themeColor="text1"/>
          <w:sz w:val="20"/>
          <w:szCs w:val="20"/>
        </w:rPr>
        <w:t xml:space="preserve">: </w:t>
      </w:r>
      <w:r w:rsidR="00061DD7" w:rsidRPr="00B01F9E">
        <w:rPr>
          <w:rStyle w:val="eop"/>
          <w:rFonts w:ascii="Arial" w:eastAsiaTheme="majorEastAsia" w:hAnsi="Arial" w:cs="Arial"/>
          <w:b/>
          <w:bCs/>
          <w:color w:val="009ABF" w:themeColor="text1"/>
          <w:sz w:val="20"/>
          <w:szCs w:val="20"/>
        </w:rPr>
        <w:t>Successes and Challenges of Implementing the POC</w:t>
      </w:r>
    </w:p>
    <w:tbl>
      <w:tblPr>
        <w:tblStyle w:val="TableGrid"/>
        <w:tblW w:w="9985" w:type="dxa"/>
        <w:tblLayout w:type="fixed"/>
        <w:tblLook w:val="04A0" w:firstRow="1" w:lastRow="0" w:firstColumn="1" w:lastColumn="0" w:noHBand="0" w:noVBand="1"/>
      </w:tblPr>
      <w:tblGrid>
        <w:gridCol w:w="3055"/>
        <w:gridCol w:w="6930"/>
      </w:tblGrid>
      <w:tr w:rsidR="001E26F7" w:rsidRPr="00B01F9E" w14:paraId="5F41138F" w14:textId="77777777" w:rsidTr="00C93C67">
        <w:tc>
          <w:tcPr>
            <w:tcW w:w="3055" w:type="dxa"/>
          </w:tcPr>
          <w:p w14:paraId="40F284C9" w14:textId="37B686D5" w:rsidR="001E26F7" w:rsidRPr="00B01F9E" w:rsidRDefault="001E26F7" w:rsidP="00C93C67">
            <w:pPr>
              <w:rPr>
                <w:rFonts w:ascii="Arial" w:hAnsi="Arial" w:cs="Arial"/>
                <w:b/>
                <w:bCs/>
                <w:sz w:val="20"/>
                <w:szCs w:val="20"/>
              </w:rPr>
            </w:pPr>
            <w:r w:rsidRPr="00B01F9E">
              <w:rPr>
                <w:rFonts w:ascii="Arial" w:hAnsi="Arial" w:cs="Arial"/>
                <w:b/>
                <w:bCs/>
                <w:sz w:val="20"/>
                <w:szCs w:val="20"/>
              </w:rPr>
              <w:t xml:space="preserve">Successes and Challenges </w:t>
            </w:r>
          </w:p>
        </w:tc>
        <w:tc>
          <w:tcPr>
            <w:tcW w:w="6930" w:type="dxa"/>
          </w:tcPr>
          <w:p w14:paraId="32DCE4C4" w14:textId="77777777" w:rsidR="001E26F7" w:rsidRPr="00B01F9E" w:rsidRDefault="001E26F7" w:rsidP="00C93C67">
            <w:pPr>
              <w:rPr>
                <w:rFonts w:ascii="Arial" w:hAnsi="Arial" w:cs="Arial"/>
                <w:b/>
                <w:bCs/>
                <w:sz w:val="20"/>
                <w:szCs w:val="20"/>
              </w:rPr>
            </w:pPr>
            <w:r w:rsidRPr="00B01F9E">
              <w:rPr>
                <w:rFonts w:ascii="Arial" w:hAnsi="Arial" w:cs="Arial"/>
                <w:b/>
                <w:bCs/>
                <w:sz w:val="20"/>
                <w:szCs w:val="20"/>
              </w:rPr>
              <w:t>Discussion</w:t>
            </w:r>
          </w:p>
        </w:tc>
      </w:tr>
      <w:tr w:rsidR="00951F74" w:rsidRPr="00B01F9E" w14:paraId="67A35674" w14:textId="77777777" w:rsidTr="00C93C67">
        <w:tc>
          <w:tcPr>
            <w:tcW w:w="9985" w:type="dxa"/>
            <w:gridSpan w:val="2"/>
            <w:shd w:val="clear" w:color="auto" w:fill="C3C6C8" w:themeFill="background1"/>
          </w:tcPr>
          <w:p w14:paraId="12ABE600" w14:textId="478B63C4" w:rsidR="00951F74" w:rsidRPr="00B01F9E" w:rsidRDefault="00951F74" w:rsidP="00C93C67">
            <w:pPr>
              <w:rPr>
                <w:rFonts w:ascii="Arial" w:hAnsi="Arial" w:cs="Arial"/>
                <w:sz w:val="20"/>
                <w:szCs w:val="20"/>
              </w:rPr>
            </w:pPr>
            <w:r w:rsidRPr="00B01F9E">
              <w:rPr>
                <w:rFonts w:ascii="Arial" w:hAnsi="Arial" w:cs="Arial"/>
                <w:b/>
                <w:bCs/>
                <w:sz w:val="20"/>
                <w:szCs w:val="20"/>
              </w:rPr>
              <w:t>Related to LIDR</w:t>
            </w:r>
          </w:p>
        </w:tc>
      </w:tr>
      <w:tr w:rsidR="001E26F7" w:rsidRPr="00B01F9E" w14:paraId="61C79E99" w14:textId="77777777" w:rsidTr="00C93C67">
        <w:tc>
          <w:tcPr>
            <w:tcW w:w="3055" w:type="dxa"/>
          </w:tcPr>
          <w:p w14:paraId="003892C9" w14:textId="6EEC9CC5" w:rsidR="001E26F7" w:rsidRPr="00B01F9E" w:rsidRDefault="001E26F7" w:rsidP="00C93C67">
            <w:pPr>
              <w:rPr>
                <w:rFonts w:ascii="Arial" w:hAnsi="Arial" w:cs="Arial"/>
                <w:sz w:val="20"/>
                <w:szCs w:val="20"/>
              </w:rPr>
            </w:pPr>
            <w:r w:rsidRPr="00B01F9E">
              <w:rPr>
                <w:rFonts w:ascii="Arial" w:hAnsi="Arial" w:cs="Arial"/>
                <w:sz w:val="20"/>
                <w:szCs w:val="20"/>
              </w:rPr>
              <w:t>Search tools for LOINC, SNOMED</w:t>
            </w:r>
            <w:r w:rsidR="00772171" w:rsidRPr="00B01F9E">
              <w:rPr>
                <w:rFonts w:ascii="Arial" w:hAnsi="Arial" w:cs="Arial"/>
                <w:sz w:val="20"/>
                <w:szCs w:val="20"/>
              </w:rPr>
              <w:t xml:space="preserve"> CT</w:t>
            </w:r>
            <w:r w:rsidR="0065670C" w:rsidRPr="00B01F9E">
              <w:rPr>
                <w:rFonts w:ascii="Arial" w:hAnsi="Arial" w:cs="Arial"/>
                <w:sz w:val="20"/>
                <w:szCs w:val="20"/>
              </w:rPr>
              <w:t>,</w:t>
            </w:r>
            <w:r w:rsidRPr="00B01F9E">
              <w:rPr>
                <w:rFonts w:ascii="Arial" w:hAnsi="Arial" w:cs="Arial"/>
                <w:sz w:val="20"/>
                <w:szCs w:val="20"/>
              </w:rPr>
              <w:t xml:space="preserve"> and GUDID</w:t>
            </w:r>
          </w:p>
        </w:tc>
        <w:tc>
          <w:tcPr>
            <w:tcW w:w="6930" w:type="dxa"/>
          </w:tcPr>
          <w:p w14:paraId="0FA9023D" w14:textId="75640DA4" w:rsidR="001E26F7" w:rsidRPr="00B01F9E" w:rsidRDefault="001E26F7" w:rsidP="00C93C67">
            <w:pPr>
              <w:rPr>
                <w:rFonts w:ascii="Arial" w:hAnsi="Arial" w:cs="Arial"/>
                <w:sz w:val="20"/>
                <w:szCs w:val="20"/>
              </w:rPr>
            </w:pPr>
            <w:r w:rsidRPr="00B01F9E">
              <w:rPr>
                <w:rFonts w:ascii="Arial" w:hAnsi="Arial" w:cs="Arial"/>
                <w:sz w:val="20"/>
                <w:szCs w:val="20"/>
              </w:rPr>
              <w:t>The online tools utilized to research LIDR were useful once the identity of the methods and reporting requirements for the lab</w:t>
            </w:r>
            <w:r w:rsidR="00F5512B" w:rsidRPr="00B01F9E">
              <w:rPr>
                <w:rFonts w:ascii="Arial" w:hAnsi="Arial" w:cs="Arial"/>
                <w:sz w:val="20"/>
                <w:szCs w:val="20"/>
              </w:rPr>
              <w:t>oratory</w:t>
            </w:r>
            <w:r w:rsidRPr="00B01F9E">
              <w:rPr>
                <w:rFonts w:ascii="Arial" w:hAnsi="Arial" w:cs="Arial"/>
                <w:sz w:val="20"/>
                <w:szCs w:val="20"/>
              </w:rPr>
              <w:t xml:space="preserve"> were established. Links to these sites are included in the Appendix.</w:t>
            </w:r>
            <w:r w:rsidR="00215AC8" w:rsidRPr="00B01F9E">
              <w:rPr>
                <w:rFonts w:ascii="Arial" w:hAnsi="Arial" w:cs="Arial"/>
                <w:sz w:val="20"/>
                <w:szCs w:val="20"/>
              </w:rPr>
              <w:t xml:space="preserve"> </w:t>
            </w:r>
          </w:p>
        </w:tc>
      </w:tr>
      <w:tr w:rsidR="00951F74" w:rsidRPr="00B01F9E" w14:paraId="10C59EDE" w14:textId="77777777" w:rsidTr="00C93C67">
        <w:tc>
          <w:tcPr>
            <w:tcW w:w="9985" w:type="dxa"/>
            <w:gridSpan w:val="2"/>
            <w:shd w:val="clear" w:color="auto" w:fill="C3C6C8" w:themeFill="background1"/>
          </w:tcPr>
          <w:p w14:paraId="4F3DCBF0" w14:textId="4AB7D1A6" w:rsidR="00951F74" w:rsidRPr="00B01F9E" w:rsidRDefault="00951F74" w:rsidP="00C93C67">
            <w:pPr>
              <w:rPr>
                <w:rFonts w:ascii="Arial" w:hAnsi="Arial" w:cs="Arial"/>
                <w:sz w:val="20"/>
                <w:szCs w:val="20"/>
              </w:rPr>
            </w:pPr>
            <w:r w:rsidRPr="00B01F9E">
              <w:rPr>
                <w:rFonts w:ascii="Arial" w:hAnsi="Arial" w:cs="Arial"/>
                <w:b/>
                <w:bCs/>
                <w:sz w:val="20"/>
                <w:szCs w:val="20"/>
              </w:rPr>
              <w:t>Related to LIS</w:t>
            </w:r>
          </w:p>
        </w:tc>
      </w:tr>
      <w:tr w:rsidR="001E26F7" w:rsidRPr="00B01F9E" w14:paraId="19598BE3" w14:textId="77777777" w:rsidTr="00C93C67">
        <w:tc>
          <w:tcPr>
            <w:tcW w:w="3055" w:type="dxa"/>
          </w:tcPr>
          <w:p w14:paraId="086C549D" w14:textId="5116840D" w:rsidR="001E26F7" w:rsidRPr="00B01F9E" w:rsidRDefault="001E26F7" w:rsidP="00C93C67">
            <w:pPr>
              <w:rPr>
                <w:rFonts w:ascii="Arial" w:hAnsi="Arial" w:cs="Arial"/>
                <w:sz w:val="20"/>
                <w:szCs w:val="20"/>
              </w:rPr>
            </w:pPr>
            <w:r w:rsidRPr="00B01F9E">
              <w:rPr>
                <w:rStyle w:val="normaltextrun"/>
                <w:rFonts w:ascii="Arial" w:hAnsi="Arial" w:cs="Arial"/>
                <w:sz w:val="20"/>
                <w:szCs w:val="20"/>
                <w:shd w:val="clear" w:color="auto" w:fill="FFFFFF"/>
              </w:rPr>
              <w:t>Ability to encode and transmit the test ordered LOINC</w:t>
            </w:r>
            <w:r w:rsidRPr="00B01F9E">
              <w:rPr>
                <w:rStyle w:val="eop"/>
                <w:rFonts w:ascii="Arial" w:hAnsi="Arial" w:cs="Arial"/>
                <w:sz w:val="20"/>
                <w:szCs w:val="20"/>
                <w:shd w:val="clear" w:color="auto" w:fill="FFFFFF"/>
              </w:rPr>
              <w:t> </w:t>
            </w:r>
            <w:r w:rsidR="009510B1" w:rsidRPr="00B01F9E">
              <w:rPr>
                <w:rStyle w:val="eop"/>
                <w:rFonts w:ascii="Arial" w:hAnsi="Arial" w:cs="Arial"/>
                <w:sz w:val="20"/>
                <w:szCs w:val="20"/>
                <w:shd w:val="clear" w:color="auto" w:fill="FFFFFF"/>
              </w:rPr>
              <w:t>code</w:t>
            </w:r>
          </w:p>
        </w:tc>
        <w:tc>
          <w:tcPr>
            <w:tcW w:w="6930" w:type="dxa"/>
          </w:tcPr>
          <w:p w14:paraId="3EF6B3B9" w14:textId="25B12C41" w:rsidR="001E26F7" w:rsidRPr="00B01F9E" w:rsidRDefault="00AC6C49" w:rsidP="00C93C67">
            <w:pPr>
              <w:rPr>
                <w:rFonts w:ascii="Arial" w:hAnsi="Arial" w:cs="Arial"/>
                <w:sz w:val="20"/>
                <w:szCs w:val="20"/>
              </w:rPr>
            </w:pPr>
            <w:r w:rsidRPr="00B01F9E">
              <w:rPr>
                <w:rFonts w:ascii="Arial" w:hAnsi="Arial" w:cs="Arial"/>
                <w:sz w:val="20"/>
                <w:szCs w:val="20"/>
              </w:rPr>
              <w:t xml:space="preserve">This </w:t>
            </w:r>
            <w:r w:rsidR="007061C8" w:rsidRPr="00B01F9E">
              <w:rPr>
                <w:rFonts w:ascii="Arial" w:hAnsi="Arial" w:cs="Arial"/>
                <w:sz w:val="20"/>
                <w:szCs w:val="20"/>
              </w:rPr>
              <w:t>was</w:t>
            </w:r>
            <w:r w:rsidRPr="00B01F9E">
              <w:rPr>
                <w:rFonts w:ascii="Arial" w:hAnsi="Arial" w:cs="Arial"/>
                <w:sz w:val="20"/>
                <w:szCs w:val="20"/>
              </w:rPr>
              <w:t xml:space="preserve"> </w:t>
            </w:r>
            <w:r w:rsidR="008120CD" w:rsidRPr="00B01F9E">
              <w:rPr>
                <w:rFonts w:ascii="Arial" w:hAnsi="Arial" w:cs="Arial"/>
                <w:sz w:val="20"/>
                <w:szCs w:val="20"/>
              </w:rPr>
              <w:t xml:space="preserve">a </w:t>
            </w:r>
            <w:r w:rsidRPr="00B01F9E">
              <w:rPr>
                <w:rFonts w:ascii="Arial" w:hAnsi="Arial" w:cs="Arial"/>
                <w:sz w:val="20"/>
                <w:szCs w:val="20"/>
              </w:rPr>
              <w:t xml:space="preserve">relatively </w:t>
            </w:r>
            <w:r w:rsidR="008120CD" w:rsidRPr="00B01F9E">
              <w:rPr>
                <w:rFonts w:ascii="Arial" w:hAnsi="Arial" w:cs="Arial"/>
                <w:sz w:val="20"/>
                <w:szCs w:val="20"/>
              </w:rPr>
              <w:t>routine</w:t>
            </w:r>
            <w:r w:rsidRPr="00B01F9E">
              <w:rPr>
                <w:rFonts w:ascii="Arial" w:hAnsi="Arial" w:cs="Arial"/>
                <w:sz w:val="20"/>
                <w:szCs w:val="20"/>
              </w:rPr>
              <w:t xml:space="preserve"> task f</w:t>
            </w:r>
            <w:r w:rsidR="001E26F7" w:rsidRPr="00B01F9E">
              <w:rPr>
                <w:rFonts w:ascii="Arial" w:hAnsi="Arial" w:cs="Arial"/>
                <w:sz w:val="20"/>
                <w:szCs w:val="20"/>
              </w:rPr>
              <w:t>or most of the tests</w:t>
            </w:r>
            <w:r w:rsidR="007E7EA9" w:rsidRPr="00B01F9E">
              <w:rPr>
                <w:rFonts w:ascii="Arial" w:hAnsi="Arial" w:cs="Arial"/>
                <w:sz w:val="20"/>
                <w:szCs w:val="20"/>
              </w:rPr>
              <w:t xml:space="preserve"> which were</w:t>
            </w:r>
            <w:r w:rsidR="001E26F7" w:rsidRPr="00B01F9E">
              <w:rPr>
                <w:rFonts w:ascii="Arial" w:hAnsi="Arial" w:cs="Arial"/>
                <w:sz w:val="20"/>
                <w:szCs w:val="20"/>
              </w:rPr>
              <w:t xml:space="preserve"> completed with an import of the information via a spreadsheet into Epic. </w:t>
            </w:r>
            <w:r w:rsidR="008A3BD2" w:rsidRPr="00B01F9E">
              <w:rPr>
                <w:rFonts w:ascii="Arial" w:hAnsi="Arial" w:cs="Arial"/>
                <w:sz w:val="20"/>
                <w:szCs w:val="20"/>
              </w:rPr>
              <w:t xml:space="preserve">Additionally, </w:t>
            </w:r>
            <w:r w:rsidR="004836DD" w:rsidRPr="00B01F9E">
              <w:rPr>
                <w:rFonts w:ascii="Arial" w:hAnsi="Arial" w:cs="Arial"/>
                <w:sz w:val="20"/>
                <w:szCs w:val="20"/>
              </w:rPr>
              <w:t>a simple setting was required for t</w:t>
            </w:r>
            <w:r w:rsidR="001E26F7" w:rsidRPr="00B01F9E">
              <w:rPr>
                <w:rFonts w:ascii="Arial" w:hAnsi="Arial" w:cs="Arial"/>
                <w:sz w:val="20"/>
                <w:szCs w:val="20"/>
              </w:rPr>
              <w:t xml:space="preserve">he coding of the interface </w:t>
            </w:r>
            <w:r w:rsidR="000152E5" w:rsidRPr="00B01F9E">
              <w:rPr>
                <w:rFonts w:ascii="Arial" w:hAnsi="Arial" w:cs="Arial"/>
                <w:sz w:val="20"/>
                <w:szCs w:val="20"/>
              </w:rPr>
              <w:t xml:space="preserve">used </w:t>
            </w:r>
            <w:r w:rsidR="001E26F7" w:rsidRPr="00B01F9E">
              <w:rPr>
                <w:rFonts w:ascii="Arial" w:hAnsi="Arial" w:cs="Arial"/>
                <w:sz w:val="20"/>
                <w:szCs w:val="20"/>
              </w:rPr>
              <w:t xml:space="preserve">to capture and transmit. As mentioned in the </w:t>
            </w:r>
            <w:r w:rsidR="006B60AA" w:rsidRPr="00B01F9E">
              <w:rPr>
                <w:rFonts w:ascii="Arial" w:hAnsi="Arial" w:cs="Arial"/>
                <w:sz w:val="20"/>
                <w:szCs w:val="20"/>
              </w:rPr>
              <w:t>G</w:t>
            </w:r>
            <w:r w:rsidR="001E26F7" w:rsidRPr="00B01F9E">
              <w:rPr>
                <w:rFonts w:ascii="Arial" w:hAnsi="Arial" w:cs="Arial"/>
                <w:sz w:val="20"/>
                <w:szCs w:val="20"/>
              </w:rPr>
              <w:t xml:space="preserve">ap </w:t>
            </w:r>
            <w:r w:rsidR="006B60AA" w:rsidRPr="00B01F9E">
              <w:rPr>
                <w:rFonts w:ascii="Arial" w:hAnsi="Arial" w:cs="Arial"/>
                <w:sz w:val="20"/>
                <w:szCs w:val="20"/>
              </w:rPr>
              <w:t>Analysis</w:t>
            </w:r>
            <w:r w:rsidR="001E26F7" w:rsidRPr="00B01F9E">
              <w:rPr>
                <w:rFonts w:ascii="Arial" w:hAnsi="Arial" w:cs="Arial"/>
                <w:sz w:val="20"/>
                <w:szCs w:val="20"/>
              </w:rPr>
              <w:t xml:space="preserve">, there </w:t>
            </w:r>
            <w:r w:rsidR="0047408D" w:rsidRPr="00B01F9E">
              <w:rPr>
                <w:rFonts w:ascii="Arial" w:hAnsi="Arial" w:cs="Arial"/>
                <w:sz w:val="20"/>
                <w:szCs w:val="20"/>
              </w:rPr>
              <w:t>was</w:t>
            </w:r>
            <w:r w:rsidR="001E26F7" w:rsidRPr="00B01F9E">
              <w:rPr>
                <w:rFonts w:ascii="Arial" w:hAnsi="Arial" w:cs="Arial"/>
                <w:sz w:val="20"/>
                <w:szCs w:val="20"/>
              </w:rPr>
              <w:t xml:space="preserve"> </w:t>
            </w:r>
            <w:r w:rsidR="0047408D" w:rsidRPr="00B01F9E">
              <w:rPr>
                <w:rFonts w:ascii="Arial" w:hAnsi="Arial" w:cs="Arial"/>
                <w:sz w:val="20"/>
                <w:szCs w:val="20"/>
              </w:rPr>
              <w:t xml:space="preserve">an </w:t>
            </w:r>
            <w:r w:rsidR="001E26F7" w:rsidRPr="00B01F9E">
              <w:rPr>
                <w:rFonts w:ascii="Arial" w:hAnsi="Arial" w:cs="Arial"/>
                <w:sz w:val="20"/>
                <w:szCs w:val="20"/>
              </w:rPr>
              <w:t xml:space="preserve">issue related to sending the test ordered LOINC code for the culture susceptibility test. Please see </w:t>
            </w:r>
            <w:hyperlink w:anchor="_3.7.4.3_Ordered_test" w:history="1">
              <w:r w:rsidR="00970D97" w:rsidRPr="00B01F9E">
                <w:rPr>
                  <w:rStyle w:val="Hyperlink"/>
                  <w:rFonts w:ascii="Arial" w:hAnsi="Arial" w:cs="Arial"/>
                  <w:sz w:val="20"/>
                  <w:szCs w:val="20"/>
                </w:rPr>
                <w:t>S</w:t>
              </w:r>
              <w:r w:rsidR="001E26F7" w:rsidRPr="00B01F9E">
                <w:rPr>
                  <w:rStyle w:val="Hyperlink"/>
                  <w:rFonts w:ascii="Arial" w:hAnsi="Arial" w:cs="Arial"/>
                  <w:sz w:val="20"/>
                  <w:szCs w:val="20"/>
                </w:rPr>
                <w:t>ection</w:t>
              </w:r>
              <w:r w:rsidR="00970D97" w:rsidRPr="00B01F9E">
                <w:rPr>
                  <w:rStyle w:val="Hyperlink"/>
                  <w:rFonts w:ascii="Arial" w:hAnsi="Arial" w:cs="Arial"/>
                  <w:i/>
                  <w:iCs/>
                  <w:sz w:val="20"/>
                  <w:szCs w:val="20"/>
                </w:rPr>
                <w:t xml:space="preserve"> </w:t>
              </w:r>
              <w:r w:rsidR="00970D97" w:rsidRPr="00B01F9E">
                <w:rPr>
                  <w:rStyle w:val="Hyperlink"/>
                  <w:rFonts w:ascii="Arial" w:eastAsiaTheme="majorEastAsia" w:hAnsi="Arial" w:cs="Arial"/>
                  <w:sz w:val="20"/>
                  <w:szCs w:val="20"/>
                </w:rPr>
                <w:t>3.7.4.</w:t>
              </w:r>
              <w:r w:rsidR="00855CE5" w:rsidRPr="00B01F9E">
                <w:rPr>
                  <w:rStyle w:val="Hyperlink"/>
                  <w:rFonts w:ascii="Arial" w:eastAsiaTheme="majorEastAsia" w:hAnsi="Arial" w:cs="Arial"/>
                  <w:sz w:val="20"/>
                  <w:szCs w:val="20"/>
                </w:rPr>
                <w:t>3</w:t>
              </w:r>
              <w:r w:rsidR="00970D97" w:rsidRPr="00B01F9E">
                <w:rPr>
                  <w:rStyle w:val="Hyperlink"/>
                  <w:rFonts w:ascii="Arial" w:eastAsiaTheme="majorEastAsia" w:hAnsi="Arial" w:cs="Arial"/>
                  <w:sz w:val="20"/>
                  <w:szCs w:val="20"/>
                </w:rPr>
                <w:t>.</w:t>
              </w:r>
            </w:hyperlink>
          </w:p>
        </w:tc>
      </w:tr>
      <w:tr w:rsidR="001E26F7" w:rsidRPr="00B01F9E" w14:paraId="6DD36782" w14:textId="77777777" w:rsidTr="00C93C67">
        <w:tc>
          <w:tcPr>
            <w:tcW w:w="3055" w:type="dxa"/>
          </w:tcPr>
          <w:p w14:paraId="1B58487A" w14:textId="0C562624" w:rsidR="001E26F7" w:rsidRPr="00B01F9E" w:rsidRDefault="001E26F7" w:rsidP="00C93C67">
            <w:pPr>
              <w:rPr>
                <w:rFonts w:ascii="Arial" w:hAnsi="Arial" w:cs="Arial"/>
                <w:sz w:val="20"/>
                <w:szCs w:val="20"/>
              </w:rPr>
            </w:pPr>
            <w:r w:rsidRPr="00B01F9E">
              <w:rPr>
                <w:rStyle w:val="normaltextrun"/>
                <w:rFonts w:ascii="Arial" w:hAnsi="Arial" w:cs="Arial"/>
                <w:sz w:val="20"/>
                <w:szCs w:val="20"/>
                <w:shd w:val="clear" w:color="auto" w:fill="FFFFFF"/>
              </w:rPr>
              <w:t>Ability to encode and transmit the test performed LOINC</w:t>
            </w:r>
            <w:r w:rsidRPr="00B01F9E">
              <w:rPr>
                <w:rStyle w:val="eop"/>
                <w:rFonts w:ascii="Arial" w:hAnsi="Arial" w:cs="Arial"/>
                <w:sz w:val="20"/>
                <w:szCs w:val="20"/>
                <w:shd w:val="clear" w:color="auto" w:fill="FFFFFF"/>
              </w:rPr>
              <w:t> </w:t>
            </w:r>
            <w:r w:rsidR="009510B1" w:rsidRPr="00B01F9E">
              <w:rPr>
                <w:rStyle w:val="eop"/>
                <w:rFonts w:ascii="Arial" w:hAnsi="Arial" w:cs="Arial"/>
                <w:sz w:val="20"/>
                <w:szCs w:val="20"/>
                <w:shd w:val="clear" w:color="auto" w:fill="FFFFFF"/>
              </w:rPr>
              <w:t>code</w:t>
            </w:r>
          </w:p>
        </w:tc>
        <w:tc>
          <w:tcPr>
            <w:tcW w:w="6930" w:type="dxa"/>
          </w:tcPr>
          <w:p w14:paraId="24E12EF6" w14:textId="578D0120" w:rsidR="001E26F7" w:rsidRPr="00B01F9E" w:rsidRDefault="001E26F7" w:rsidP="00C93C67">
            <w:pPr>
              <w:rPr>
                <w:rFonts w:ascii="Arial" w:hAnsi="Arial" w:cs="Arial"/>
                <w:sz w:val="20"/>
                <w:szCs w:val="20"/>
              </w:rPr>
            </w:pPr>
            <w:r w:rsidRPr="00B01F9E">
              <w:rPr>
                <w:rFonts w:ascii="Arial" w:hAnsi="Arial" w:cs="Arial"/>
                <w:sz w:val="20"/>
                <w:szCs w:val="20"/>
              </w:rPr>
              <w:t xml:space="preserve">The encoding of the test performed LOINC </w:t>
            </w:r>
            <w:r w:rsidR="00C95EAF" w:rsidRPr="00B01F9E">
              <w:rPr>
                <w:rFonts w:ascii="Arial" w:hAnsi="Arial" w:cs="Arial"/>
                <w:sz w:val="20"/>
                <w:szCs w:val="20"/>
              </w:rPr>
              <w:t>was</w:t>
            </w:r>
            <w:r w:rsidRPr="00B01F9E">
              <w:rPr>
                <w:rFonts w:ascii="Arial" w:hAnsi="Arial" w:cs="Arial"/>
                <w:sz w:val="20"/>
                <w:szCs w:val="20"/>
              </w:rPr>
              <w:t xml:space="preserve"> a more </w:t>
            </w:r>
            <w:r w:rsidR="00C95EAF" w:rsidRPr="00B01F9E">
              <w:rPr>
                <w:rFonts w:ascii="Arial" w:hAnsi="Arial" w:cs="Arial"/>
                <w:sz w:val="20"/>
                <w:szCs w:val="20"/>
              </w:rPr>
              <w:t xml:space="preserve">routine </w:t>
            </w:r>
            <w:r w:rsidRPr="00B01F9E">
              <w:rPr>
                <w:rFonts w:ascii="Arial" w:hAnsi="Arial" w:cs="Arial"/>
                <w:sz w:val="20"/>
                <w:szCs w:val="20"/>
              </w:rPr>
              <w:t>task within Beaker</w:t>
            </w:r>
            <w:r w:rsidR="004B5C31" w:rsidRPr="00B01F9E">
              <w:rPr>
                <w:rFonts w:ascii="Arial" w:hAnsi="Arial" w:cs="Arial"/>
                <w:sz w:val="20"/>
                <w:szCs w:val="20"/>
              </w:rPr>
              <w:t xml:space="preserve"> as </w:t>
            </w:r>
            <w:r w:rsidRPr="00B01F9E">
              <w:rPr>
                <w:rFonts w:ascii="Arial" w:hAnsi="Arial" w:cs="Arial"/>
                <w:sz w:val="20"/>
                <w:szCs w:val="20"/>
              </w:rPr>
              <w:t>public health departments requir</w:t>
            </w:r>
            <w:r w:rsidR="004B5C31" w:rsidRPr="00B01F9E">
              <w:rPr>
                <w:rFonts w:ascii="Arial" w:hAnsi="Arial" w:cs="Arial"/>
                <w:sz w:val="20"/>
                <w:szCs w:val="20"/>
              </w:rPr>
              <w:t>ed</w:t>
            </w:r>
            <w:r w:rsidRPr="00B01F9E">
              <w:rPr>
                <w:rFonts w:ascii="Arial" w:hAnsi="Arial" w:cs="Arial"/>
                <w:sz w:val="20"/>
                <w:szCs w:val="20"/>
              </w:rPr>
              <w:t xml:space="preserve"> </w:t>
            </w:r>
            <w:r w:rsidR="003628D4" w:rsidRPr="00B01F9E">
              <w:rPr>
                <w:rFonts w:ascii="Arial" w:hAnsi="Arial" w:cs="Arial"/>
                <w:sz w:val="20"/>
                <w:szCs w:val="20"/>
              </w:rPr>
              <w:t>it</w:t>
            </w:r>
            <w:r w:rsidRPr="00B01F9E">
              <w:rPr>
                <w:rFonts w:ascii="Arial" w:hAnsi="Arial" w:cs="Arial"/>
                <w:sz w:val="20"/>
                <w:szCs w:val="20"/>
              </w:rPr>
              <w:t xml:space="preserve"> when reporting infectious disease tests.</w:t>
            </w:r>
          </w:p>
        </w:tc>
      </w:tr>
      <w:tr w:rsidR="001E26F7" w:rsidRPr="00B01F9E" w14:paraId="2CACB5F8" w14:textId="77777777" w:rsidTr="00C93C67">
        <w:tc>
          <w:tcPr>
            <w:tcW w:w="3055" w:type="dxa"/>
          </w:tcPr>
          <w:p w14:paraId="6236E5C1" w14:textId="77777777" w:rsidR="001E26F7" w:rsidRPr="00B01F9E" w:rsidRDefault="001E26F7" w:rsidP="00C93C67">
            <w:pPr>
              <w:rPr>
                <w:rFonts w:ascii="Arial" w:hAnsi="Arial" w:cs="Arial"/>
                <w:sz w:val="20"/>
                <w:szCs w:val="20"/>
              </w:rPr>
            </w:pPr>
            <w:r w:rsidRPr="00B01F9E">
              <w:rPr>
                <w:rFonts w:ascii="Arial" w:hAnsi="Arial" w:cs="Arial"/>
                <w:sz w:val="20"/>
                <w:szCs w:val="20"/>
              </w:rPr>
              <w:t>Ability to encode and transmit the device and kit UDI for the test method</w:t>
            </w:r>
          </w:p>
        </w:tc>
        <w:tc>
          <w:tcPr>
            <w:tcW w:w="6930" w:type="dxa"/>
          </w:tcPr>
          <w:p w14:paraId="6F18FCF2" w14:textId="053D48F6" w:rsidR="001E26F7" w:rsidRPr="00B01F9E" w:rsidRDefault="001E26F7" w:rsidP="00C93C67">
            <w:pPr>
              <w:rPr>
                <w:rFonts w:ascii="Arial" w:hAnsi="Arial" w:cs="Arial"/>
                <w:sz w:val="20"/>
                <w:szCs w:val="20"/>
              </w:rPr>
            </w:pPr>
            <w:r w:rsidRPr="00B01F9E">
              <w:rPr>
                <w:rFonts w:ascii="Arial" w:hAnsi="Arial" w:cs="Arial"/>
                <w:sz w:val="20"/>
                <w:szCs w:val="20"/>
              </w:rPr>
              <w:t>The POC utilized a workaround that was developed by Epic for transmitting method information during the COVID</w:t>
            </w:r>
            <w:r w:rsidR="00F91081" w:rsidRPr="00B01F9E">
              <w:rPr>
                <w:rFonts w:ascii="Arial" w:hAnsi="Arial" w:cs="Arial"/>
                <w:sz w:val="20"/>
                <w:szCs w:val="20"/>
              </w:rPr>
              <w:t>-19</w:t>
            </w:r>
            <w:r w:rsidRPr="00B01F9E">
              <w:rPr>
                <w:rFonts w:ascii="Arial" w:hAnsi="Arial" w:cs="Arial"/>
                <w:sz w:val="20"/>
                <w:szCs w:val="20"/>
              </w:rPr>
              <w:t xml:space="preserve"> pandemic and was expanded upon by </w:t>
            </w:r>
            <w:r w:rsidR="00E14020" w:rsidRPr="00B01F9E">
              <w:rPr>
                <w:rFonts w:ascii="Arial" w:hAnsi="Arial" w:cs="Arial"/>
                <w:sz w:val="20"/>
                <w:szCs w:val="20"/>
              </w:rPr>
              <w:t xml:space="preserve">the </w:t>
            </w:r>
            <w:r w:rsidRPr="00B01F9E">
              <w:rPr>
                <w:rFonts w:ascii="Arial" w:hAnsi="Arial" w:cs="Arial"/>
                <w:sz w:val="20"/>
                <w:szCs w:val="20"/>
              </w:rPr>
              <w:t xml:space="preserve">CAP’s design. </w:t>
            </w:r>
            <w:r w:rsidR="00F34ACD" w:rsidRPr="00B01F9E">
              <w:rPr>
                <w:rFonts w:ascii="Arial" w:hAnsi="Arial" w:cs="Arial"/>
                <w:sz w:val="20"/>
                <w:szCs w:val="20"/>
              </w:rPr>
              <w:t>T</w:t>
            </w:r>
            <w:r w:rsidRPr="00B01F9E">
              <w:rPr>
                <w:rFonts w:ascii="Arial" w:hAnsi="Arial" w:cs="Arial"/>
                <w:sz w:val="20"/>
                <w:szCs w:val="20"/>
              </w:rPr>
              <w:t xml:space="preserve">he UDIs for device and kit were successfully transmitted via HL7 messaging for most of the tests. As mentioned in the </w:t>
            </w:r>
            <w:r w:rsidR="005A45B8" w:rsidRPr="00B01F9E">
              <w:rPr>
                <w:rFonts w:ascii="Arial" w:hAnsi="Arial" w:cs="Arial"/>
                <w:sz w:val="20"/>
                <w:szCs w:val="20"/>
              </w:rPr>
              <w:t>G</w:t>
            </w:r>
            <w:r w:rsidRPr="00B01F9E">
              <w:rPr>
                <w:rFonts w:ascii="Arial" w:hAnsi="Arial" w:cs="Arial"/>
                <w:sz w:val="20"/>
                <w:szCs w:val="20"/>
              </w:rPr>
              <w:t xml:space="preserve">ap </w:t>
            </w:r>
            <w:r w:rsidR="005A45B8" w:rsidRPr="00B01F9E">
              <w:rPr>
                <w:rFonts w:ascii="Arial" w:hAnsi="Arial" w:cs="Arial"/>
                <w:sz w:val="20"/>
                <w:szCs w:val="20"/>
              </w:rPr>
              <w:t>Analysis</w:t>
            </w:r>
            <w:r w:rsidRPr="00B01F9E">
              <w:rPr>
                <w:rFonts w:ascii="Arial" w:hAnsi="Arial" w:cs="Arial"/>
                <w:sz w:val="20"/>
                <w:szCs w:val="20"/>
              </w:rPr>
              <w:t xml:space="preserve">, the formatting of the UDIs </w:t>
            </w:r>
            <w:r w:rsidR="004D0A0C" w:rsidRPr="00B01F9E">
              <w:rPr>
                <w:rFonts w:ascii="Arial" w:hAnsi="Arial" w:cs="Arial"/>
                <w:sz w:val="20"/>
                <w:szCs w:val="20"/>
              </w:rPr>
              <w:t>posed</w:t>
            </w:r>
            <w:r w:rsidRPr="00B01F9E">
              <w:rPr>
                <w:rFonts w:ascii="Arial" w:hAnsi="Arial" w:cs="Arial"/>
                <w:sz w:val="20"/>
                <w:szCs w:val="20"/>
              </w:rPr>
              <w:t xml:space="preserve"> a challenge to conform to the FDA required format. </w:t>
            </w:r>
          </w:p>
        </w:tc>
      </w:tr>
      <w:tr w:rsidR="001E26F7" w:rsidRPr="00B01F9E" w14:paraId="0662395B" w14:textId="77777777" w:rsidTr="00C93C67">
        <w:tc>
          <w:tcPr>
            <w:tcW w:w="3055" w:type="dxa"/>
          </w:tcPr>
          <w:p w14:paraId="78CDADDA" w14:textId="77777777" w:rsidR="001E26F7" w:rsidRPr="00B01F9E" w:rsidRDefault="001E26F7" w:rsidP="00C93C67">
            <w:pPr>
              <w:rPr>
                <w:rFonts w:ascii="Arial" w:hAnsi="Arial" w:cs="Arial"/>
                <w:sz w:val="20"/>
                <w:szCs w:val="20"/>
              </w:rPr>
            </w:pPr>
            <w:r w:rsidRPr="00B01F9E">
              <w:rPr>
                <w:rFonts w:ascii="Arial" w:hAnsi="Arial" w:cs="Arial"/>
                <w:sz w:val="20"/>
                <w:szCs w:val="20"/>
              </w:rPr>
              <w:t>Ability to encode and transmit the Units of Measure (UOM)</w:t>
            </w:r>
          </w:p>
        </w:tc>
        <w:tc>
          <w:tcPr>
            <w:tcW w:w="6930" w:type="dxa"/>
          </w:tcPr>
          <w:p w14:paraId="05937E55" w14:textId="286AB495" w:rsidR="001E26F7" w:rsidRPr="00B01F9E" w:rsidRDefault="00641493" w:rsidP="00C93C67">
            <w:pPr>
              <w:rPr>
                <w:rFonts w:ascii="Arial" w:hAnsi="Arial" w:cs="Arial"/>
                <w:sz w:val="20"/>
                <w:szCs w:val="20"/>
              </w:rPr>
            </w:pPr>
            <w:r w:rsidRPr="00B01F9E">
              <w:rPr>
                <w:rFonts w:ascii="Arial" w:hAnsi="Arial" w:cs="Arial"/>
                <w:sz w:val="20"/>
                <w:szCs w:val="20"/>
              </w:rPr>
              <w:t>T</w:t>
            </w:r>
            <w:r w:rsidR="001E26F7" w:rsidRPr="00B01F9E">
              <w:rPr>
                <w:rFonts w:ascii="Arial" w:hAnsi="Arial" w:cs="Arial"/>
                <w:sz w:val="20"/>
                <w:szCs w:val="20"/>
              </w:rPr>
              <w:t>he encoding and transmission of appropriate UOM with numeric test results</w:t>
            </w:r>
            <w:r w:rsidRPr="00B01F9E">
              <w:rPr>
                <w:rFonts w:ascii="Arial" w:hAnsi="Arial" w:cs="Arial"/>
                <w:sz w:val="20"/>
                <w:szCs w:val="20"/>
              </w:rPr>
              <w:t xml:space="preserve"> is a CLIA requirement</w:t>
            </w:r>
            <w:r w:rsidR="001E26F7" w:rsidRPr="00B01F9E">
              <w:rPr>
                <w:rFonts w:ascii="Arial" w:hAnsi="Arial" w:cs="Arial"/>
                <w:sz w:val="20"/>
                <w:szCs w:val="20"/>
              </w:rPr>
              <w:t>. Due to th</w:t>
            </w:r>
            <w:r w:rsidR="0029178D" w:rsidRPr="00B01F9E">
              <w:rPr>
                <w:rFonts w:ascii="Arial" w:hAnsi="Arial" w:cs="Arial"/>
                <w:sz w:val="20"/>
                <w:szCs w:val="20"/>
              </w:rPr>
              <w:t>is</w:t>
            </w:r>
            <w:r w:rsidR="001E26F7" w:rsidRPr="00B01F9E">
              <w:rPr>
                <w:rFonts w:ascii="Arial" w:hAnsi="Arial" w:cs="Arial"/>
                <w:sz w:val="20"/>
                <w:szCs w:val="20"/>
              </w:rPr>
              <w:t xml:space="preserve"> requirement, the</w:t>
            </w:r>
            <w:r w:rsidR="00684CD1" w:rsidRPr="00B01F9E">
              <w:rPr>
                <w:rFonts w:ascii="Arial" w:hAnsi="Arial" w:cs="Arial"/>
                <w:sz w:val="20"/>
                <w:szCs w:val="20"/>
              </w:rPr>
              <w:t>re was zero to minimal</w:t>
            </w:r>
            <w:r w:rsidR="001E26F7" w:rsidRPr="00B01F9E">
              <w:rPr>
                <w:rFonts w:ascii="Arial" w:hAnsi="Arial" w:cs="Arial"/>
                <w:sz w:val="20"/>
                <w:szCs w:val="20"/>
              </w:rPr>
              <w:t xml:space="preserve"> time spent encoding the units and the result interface to send these elements</w:t>
            </w:r>
            <w:r w:rsidR="00684CD1" w:rsidRPr="00B01F9E">
              <w:rPr>
                <w:rFonts w:ascii="Arial" w:hAnsi="Arial" w:cs="Arial"/>
                <w:sz w:val="20"/>
                <w:szCs w:val="20"/>
              </w:rPr>
              <w:t xml:space="preserve"> </w:t>
            </w:r>
            <w:r w:rsidR="001E26F7" w:rsidRPr="00B01F9E">
              <w:rPr>
                <w:rFonts w:ascii="Arial" w:hAnsi="Arial" w:cs="Arial"/>
                <w:sz w:val="20"/>
                <w:szCs w:val="20"/>
              </w:rPr>
              <w:t>as most tests ha</w:t>
            </w:r>
            <w:r w:rsidR="00297FEA" w:rsidRPr="00B01F9E">
              <w:rPr>
                <w:rFonts w:ascii="Arial" w:hAnsi="Arial" w:cs="Arial"/>
                <w:sz w:val="20"/>
                <w:szCs w:val="20"/>
              </w:rPr>
              <w:t>d</w:t>
            </w:r>
            <w:r w:rsidR="001E26F7" w:rsidRPr="00B01F9E">
              <w:rPr>
                <w:rFonts w:ascii="Arial" w:hAnsi="Arial" w:cs="Arial"/>
                <w:sz w:val="20"/>
                <w:szCs w:val="20"/>
              </w:rPr>
              <w:t xml:space="preserve"> units applied where needed.</w:t>
            </w:r>
          </w:p>
        </w:tc>
      </w:tr>
      <w:tr w:rsidR="001E26F7" w:rsidRPr="00B01F9E" w14:paraId="457CEB7D" w14:textId="77777777" w:rsidTr="00C93C67">
        <w:tc>
          <w:tcPr>
            <w:tcW w:w="3055" w:type="dxa"/>
          </w:tcPr>
          <w:p w14:paraId="013F0D90" w14:textId="77777777" w:rsidR="001E26F7" w:rsidRPr="00B01F9E" w:rsidRDefault="001E26F7" w:rsidP="00C93C67">
            <w:pPr>
              <w:rPr>
                <w:rFonts w:ascii="Arial" w:hAnsi="Arial" w:cs="Arial"/>
                <w:sz w:val="20"/>
                <w:szCs w:val="20"/>
              </w:rPr>
            </w:pPr>
            <w:r w:rsidRPr="00B01F9E">
              <w:rPr>
                <w:rStyle w:val="normaltextrun"/>
                <w:rFonts w:ascii="Arial" w:hAnsi="Arial" w:cs="Arial"/>
                <w:sz w:val="20"/>
                <w:szCs w:val="20"/>
                <w:shd w:val="clear" w:color="auto" w:fill="FFFFFF"/>
              </w:rPr>
              <w:t>Ability to encode and transmit qualitative results with SNOMED CT</w:t>
            </w:r>
            <w:r w:rsidRPr="00B01F9E">
              <w:rPr>
                <w:rStyle w:val="eop"/>
                <w:rFonts w:ascii="Arial" w:hAnsi="Arial" w:cs="Arial"/>
                <w:sz w:val="20"/>
                <w:szCs w:val="20"/>
                <w:shd w:val="clear" w:color="auto" w:fill="FFFFFF"/>
              </w:rPr>
              <w:t> </w:t>
            </w:r>
          </w:p>
        </w:tc>
        <w:tc>
          <w:tcPr>
            <w:tcW w:w="6930" w:type="dxa"/>
          </w:tcPr>
          <w:p w14:paraId="6AF7F4F3" w14:textId="7E88B6B8" w:rsidR="001E26F7" w:rsidRPr="00B01F9E" w:rsidRDefault="001E26F7" w:rsidP="00C93C67">
            <w:pPr>
              <w:rPr>
                <w:rFonts w:ascii="Arial" w:hAnsi="Arial" w:cs="Arial"/>
                <w:sz w:val="20"/>
                <w:szCs w:val="20"/>
              </w:rPr>
            </w:pPr>
            <w:r w:rsidRPr="00B01F9E">
              <w:rPr>
                <w:rFonts w:ascii="Arial" w:hAnsi="Arial" w:cs="Arial"/>
                <w:sz w:val="20"/>
                <w:szCs w:val="20"/>
              </w:rPr>
              <w:t xml:space="preserve">The process </w:t>
            </w:r>
            <w:r w:rsidR="00E13435" w:rsidRPr="00B01F9E">
              <w:rPr>
                <w:rFonts w:ascii="Arial" w:hAnsi="Arial" w:cs="Arial"/>
                <w:sz w:val="20"/>
                <w:szCs w:val="20"/>
              </w:rPr>
              <w:t>of</w:t>
            </w:r>
            <w:r w:rsidRPr="00B01F9E">
              <w:rPr>
                <w:rFonts w:ascii="Arial" w:hAnsi="Arial" w:cs="Arial"/>
                <w:sz w:val="20"/>
                <w:szCs w:val="20"/>
              </w:rPr>
              <w:t xml:space="preserve"> encod</w:t>
            </w:r>
            <w:r w:rsidR="00E13435" w:rsidRPr="00B01F9E">
              <w:rPr>
                <w:rFonts w:ascii="Arial" w:hAnsi="Arial" w:cs="Arial"/>
                <w:sz w:val="20"/>
                <w:szCs w:val="20"/>
              </w:rPr>
              <w:t>ing</w:t>
            </w:r>
            <w:r w:rsidRPr="00B01F9E">
              <w:rPr>
                <w:rFonts w:ascii="Arial" w:hAnsi="Arial" w:cs="Arial"/>
                <w:sz w:val="20"/>
                <w:szCs w:val="20"/>
              </w:rPr>
              <w:t xml:space="preserve"> qualitative results with SNOMED</w:t>
            </w:r>
            <w:r w:rsidR="00504972" w:rsidRPr="00B01F9E">
              <w:rPr>
                <w:rFonts w:ascii="Arial" w:hAnsi="Arial" w:cs="Arial"/>
                <w:sz w:val="20"/>
                <w:szCs w:val="20"/>
              </w:rPr>
              <w:t xml:space="preserve"> CT</w:t>
            </w:r>
            <w:r w:rsidRPr="00B01F9E">
              <w:rPr>
                <w:rFonts w:ascii="Arial" w:hAnsi="Arial" w:cs="Arial"/>
                <w:sz w:val="20"/>
                <w:szCs w:val="20"/>
              </w:rPr>
              <w:t xml:space="preserve"> in Epic </w:t>
            </w:r>
            <w:r w:rsidR="008F5C16" w:rsidRPr="00B01F9E">
              <w:rPr>
                <w:rFonts w:ascii="Arial" w:hAnsi="Arial" w:cs="Arial"/>
                <w:sz w:val="20"/>
                <w:szCs w:val="20"/>
              </w:rPr>
              <w:t>became</w:t>
            </w:r>
            <w:r w:rsidRPr="00B01F9E">
              <w:rPr>
                <w:rFonts w:ascii="Arial" w:hAnsi="Arial" w:cs="Arial"/>
                <w:sz w:val="20"/>
                <w:szCs w:val="20"/>
              </w:rPr>
              <w:t xml:space="preserve"> more familiar to Beaker analysts </w:t>
            </w:r>
            <w:r w:rsidR="00E13435" w:rsidRPr="00B01F9E">
              <w:rPr>
                <w:rFonts w:ascii="Arial" w:hAnsi="Arial" w:cs="Arial"/>
                <w:sz w:val="20"/>
                <w:szCs w:val="20"/>
              </w:rPr>
              <w:t xml:space="preserve">due to the necessity of </w:t>
            </w:r>
            <w:r w:rsidRPr="00B01F9E">
              <w:rPr>
                <w:rFonts w:ascii="Arial" w:hAnsi="Arial" w:cs="Arial"/>
                <w:sz w:val="20"/>
                <w:szCs w:val="20"/>
              </w:rPr>
              <w:t>provid</w:t>
            </w:r>
            <w:r w:rsidR="00E13435" w:rsidRPr="00B01F9E">
              <w:rPr>
                <w:rFonts w:ascii="Arial" w:hAnsi="Arial" w:cs="Arial"/>
                <w:sz w:val="20"/>
                <w:szCs w:val="20"/>
              </w:rPr>
              <w:t>ing</w:t>
            </w:r>
            <w:r w:rsidRPr="00B01F9E">
              <w:rPr>
                <w:rFonts w:ascii="Arial" w:hAnsi="Arial" w:cs="Arial"/>
                <w:sz w:val="20"/>
                <w:szCs w:val="20"/>
              </w:rPr>
              <w:t xml:space="preserve"> the</w:t>
            </w:r>
            <w:r w:rsidR="00E13435" w:rsidRPr="00B01F9E">
              <w:rPr>
                <w:rFonts w:ascii="Arial" w:hAnsi="Arial" w:cs="Arial"/>
                <w:sz w:val="20"/>
                <w:szCs w:val="20"/>
              </w:rPr>
              <w:t>se results</w:t>
            </w:r>
            <w:r w:rsidRPr="00B01F9E">
              <w:rPr>
                <w:rFonts w:ascii="Arial" w:hAnsi="Arial" w:cs="Arial"/>
                <w:sz w:val="20"/>
                <w:szCs w:val="20"/>
              </w:rPr>
              <w:t xml:space="preserve"> for COVID</w:t>
            </w:r>
            <w:r w:rsidR="0035513C" w:rsidRPr="00B01F9E">
              <w:rPr>
                <w:rFonts w:ascii="Arial" w:hAnsi="Arial" w:cs="Arial"/>
                <w:sz w:val="20"/>
                <w:szCs w:val="20"/>
              </w:rPr>
              <w:t>-19</w:t>
            </w:r>
            <w:r w:rsidRPr="00B01F9E">
              <w:rPr>
                <w:rFonts w:ascii="Arial" w:hAnsi="Arial" w:cs="Arial"/>
                <w:sz w:val="20"/>
                <w:szCs w:val="20"/>
              </w:rPr>
              <w:t xml:space="preserve"> reporting to public health </w:t>
            </w:r>
            <w:r w:rsidR="005D39C6" w:rsidRPr="00B01F9E">
              <w:rPr>
                <w:rFonts w:ascii="Arial" w:hAnsi="Arial" w:cs="Arial"/>
                <w:sz w:val="20"/>
                <w:szCs w:val="20"/>
              </w:rPr>
              <w:t>departments</w:t>
            </w:r>
            <w:r w:rsidRPr="00B01F9E">
              <w:rPr>
                <w:rFonts w:ascii="Arial" w:hAnsi="Arial" w:cs="Arial"/>
                <w:sz w:val="20"/>
                <w:szCs w:val="20"/>
              </w:rPr>
              <w:t xml:space="preserve">. </w:t>
            </w:r>
            <w:r w:rsidR="00975557" w:rsidRPr="00B01F9E">
              <w:rPr>
                <w:rFonts w:ascii="Arial" w:hAnsi="Arial" w:cs="Arial"/>
                <w:sz w:val="20"/>
                <w:szCs w:val="20"/>
              </w:rPr>
              <w:t xml:space="preserve">This encoding process </w:t>
            </w:r>
            <w:r w:rsidR="00E573A7" w:rsidRPr="00B01F9E">
              <w:rPr>
                <w:rFonts w:ascii="Arial" w:hAnsi="Arial" w:cs="Arial"/>
                <w:sz w:val="20"/>
                <w:szCs w:val="20"/>
              </w:rPr>
              <w:t>became</w:t>
            </w:r>
            <w:r w:rsidRPr="00B01F9E">
              <w:rPr>
                <w:rFonts w:ascii="Arial" w:hAnsi="Arial" w:cs="Arial"/>
                <w:sz w:val="20"/>
                <w:szCs w:val="20"/>
              </w:rPr>
              <w:t xml:space="preserve"> a standard for interfaces used to transmit infectious disease results. As mentioned in the </w:t>
            </w:r>
            <w:r w:rsidR="00975557" w:rsidRPr="00B01F9E">
              <w:rPr>
                <w:rFonts w:ascii="Arial" w:hAnsi="Arial" w:cs="Arial"/>
                <w:sz w:val="20"/>
                <w:szCs w:val="20"/>
              </w:rPr>
              <w:t>G</w:t>
            </w:r>
            <w:r w:rsidRPr="00B01F9E">
              <w:rPr>
                <w:rFonts w:ascii="Arial" w:hAnsi="Arial" w:cs="Arial"/>
                <w:sz w:val="20"/>
                <w:szCs w:val="20"/>
              </w:rPr>
              <w:t xml:space="preserve">ap </w:t>
            </w:r>
            <w:r w:rsidR="00975557" w:rsidRPr="00B01F9E">
              <w:rPr>
                <w:rFonts w:ascii="Arial" w:hAnsi="Arial" w:cs="Arial"/>
                <w:sz w:val="20"/>
                <w:szCs w:val="20"/>
              </w:rPr>
              <w:t>Analysis</w:t>
            </w:r>
            <w:r w:rsidRPr="00B01F9E">
              <w:rPr>
                <w:rFonts w:ascii="Arial" w:hAnsi="Arial" w:cs="Arial"/>
                <w:sz w:val="20"/>
                <w:szCs w:val="20"/>
              </w:rPr>
              <w:t>, this</w:t>
            </w:r>
            <w:r w:rsidR="00A33495" w:rsidRPr="00B01F9E">
              <w:rPr>
                <w:rFonts w:ascii="Arial" w:hAnsi="Arial" w:cs="Arial"/>
                <w:sz w:val="20"/>
                <w:szCs w:val="20"/>
              </w:rPr>
              <w:t xml:space="preserve"> task</w:t>
            </w:r>
            <w:r w:rsidRPr="00B01F9E">
              <w:rPr>
                <w:rFonts w:ascii="Arial" w:hAnsi="Arial" w:cs="Arial"/>
                <w:sz w:val="20"/>
                <w:szCs w:val="20"/>
              </w:rPr>
              <w:t xml:space="preserve"> was not fully completed during the POC implementation, primarily </w:t>
            </w:r>
            <w:r w:rsidR="00A33495" w:rsidRPr="00B01F9E">
              <w:rPr>
                <w:rFonts w:ascii="Arial" w:hAnsi="Arial" w:cs="Arial"/>
                <w:sz w:val="20"/>
                <w:szCs w:val="20"/>
              </w:rPr>
              <w:t>due</w:t>
            </w:r>
            <w:r w:rsidRPr="00B01F9E">
              <w:rPr>
                <w:rFonts w:ascii="Arial" w:hAnsi="Arial" w:cs="Arial"/>
                <w:sz w:val="20"/>
                <w:szCs w:val="20"/>
              </w:rPr>
              <w:t xml:space="preserve"> to time constraints f</w:t>
            </w:r>
            <w:r w:rsidR="00A33495" w:rsidRPr="00B01F9E">
              <w:rPr>
                <w:rFonts w:ascii="Arial" w:hAnsi="Arial" w:cs="Arial"/>
                <w:sz w:val="20"/>
                <w:szCs w:val="20"/>
              </w:rPr>
              <w:t>aced by</w:t>
            </w:r>
            <w:r w:rsidRPr="00B01F9E">
              <w:rPr>
                <w:rFonts w:ascii="Arial" w:hAnsi="Arial" w:cs="Arial"/>
                <w:sz w:val="20"/>
                <w:szCs w:val="20"/>
              </w:rPr>
              <w:t xml:space="preserve"> the LIS analyst. </w:t>
            </w:r>
            <w:r w:rsidR="00A33495" w:rsidRPr="00B01F9E">
              <w:rPr>
                <w:rFonts w:ascii="Arial" w:hAnsi="Arial" w:cs="Arial"/>
                <w:sz w:val="20"/>
                <w:szCs w:val="20"/>
              </w:rPr>
              <w:t xml:space="preserve">Given that </w:t>
            </w:r>
            <w:r w:rsidRPr="00B01F9E">
              <w:rPr>
                <w:rFonts w:ascii="Arial" w:hAnsi="Arial" w:cs="Arial"/>
                <w:sz w:val="20"/>
                <w:szCs w:val="20"/>
              </w:rPr>
              <w:t xml:space="preserve">this </w:t>
            </w:r>
            <w:r w:rsidR="00674796" w:rsidRPr="00B01F9E">
              <w:rPr>
                <w:rFonts w:ascii="Arial" w:hAnsi="Arial" w:cs="Arial"/>
                <w:sz w:val="20"/>
                <w:szCs w:val="20"/>
              </w:rPr>
              <w:t xml:space="preserve">was </w:t>
            </w:r>
            <w:r w:rsidRPr="00B01F9E">
              <w:rPr>
                <w:rFonts w:ascii="Arial" w:hAnsi="Arial" w:cs="Arial"/>
                <w:sz w:val="20"/>
                <w:szCs w:val="20"/>
              </w:rPr>
              <w:t xml:space="preserve">a </w:t>
            </w:r>
            <w:r w:rsidR="00EF009A" w:rsidRPr="00B01F9E">
              <w:rPr>
                <w:rFonts w:ascii="Arial" w:hAnsi="Arial" w:cs="Arial"/>
                <w:sz w:val="20"/>
                <w:szCs w:val="20"/>
              </w:rPr>
              <w:t>more recent</w:t>
            </w:r>
            <w:r w:rsidRPr="00B01F9E">
              <w:rPr>
                <w:rFonts w:ascii="Arial" w:hAnsi="Arial" w:cs="Arial"/>
                <w:sz w:val="20"/>
                <w:szCs w:val="20"/>
              </w:rPr>
              <w:t xml:space="preserve"> process for Beaker teams, it t</w:t>
            </w:r>
            <w:r w:rsidR="00674796" w:rsidRPr="00B01F9E">
              <w:rPr>
                <w:rFonts w:ascii="Arial" w:hAnsi="Arial" w:cs="Arial"/>
                <w:sz w:val="20"/>
                <w:szCs w:val="20"/>
              </w:rPr>
              <w:t>ook</w:t>
            </w:r>
            <w:r w:rsidRPr="00B01F9E">
              <w:rPr>
                <w:rFonts w:ascii="Arial" w:hAnsi="Arial" w:cs="Arial"/>
                <w:sz w:val="20"/>
                <w:szCs w:val="20"/>
              </w:rPr>
              <w:t xml:space="preserve"> </w:t>
            </w:r>
            <w:r w:rsidR="00EA197F" w:rsidRPr="00B01F9E">
              <w:rPr>
                <w:rFonts w:ascii="Arial" w:hAnsi="Arial" w:cs="Arial"/>
                <w:sz w:val="20"/>
                <w:szCs w:val="20"/>
              </w:rPr>
              <w:t xml:space="preserve">several </w:t>
            </w:r>
            <w:r w:rsidRPr="00B01F9E">
              <w:rPr>
                <w:rFonts w:ascii="Arial" w:hAnsi="Arial" w:cs="Arial"/>
                <w:sz w:val="20"/>
                <w:szCs w:val="20"/>
              </w:rPr>
              <w:t xml:space="preserve">iterative edits to ensure the encoding was correctly </w:t>
            </w:r>
            <w:r w:rsidR="00EA197F" w:rsidRPr="00B01F9E">
              <w:rPr>
                <w:rFonts w:ascii="Arial" w:hAnsi="Arial" w:cs="Arial"/>
                <w:sz w:val="20"/>
                <w:szCs w:val="20"/>
              </w:rPr>
              <w:t xml:space="preserve">applied </w:t>
            </w:r>
            <w:r w:rsidRPr="00B01F9E">
              <w:rPr>
                <w:rFonts w:ascii="Arial" w:hAnsi="Arial" w:cs="Arial"/>
                <w:sz w:val="20"/>
                <w:szCs w:val="20"/>
              </w:rPr>
              <w:t xml:space="preserve">to the result and </w:t>
            </w:r>
            <w:r w:rsidR="0094704D" w:rsidRPr="00B01F9E">
              <w:rPr>
                <w:rFonts w:ascii="Arial" w:hAnsi="Arial" w:cs="Arial"/>
                <w:sz w:val="20"/>
                <w:szCs w:val="20"/>
              </w:rPr>
              <w:t xml:space="preserve">was </w:t>
            </w:r>
            <w:r w:rsidRPr="00B01F9E">
              <w:rPr>
                <w:rFonts w:ascii="Arial" w:hAnsi="Arial" w:cs="Arial"/>
                <w:sz w:val="20"/>
                <w:szCs w:val="20"/>
              </w:rPr>
              <w:t>present in the interface message.</w:t>
            </w:r>
          </w:p>
        </w:tc>
      </w:tr>
      <w:tr w:rsidR="001E26F7" w:rsidRPr="00B01F9E" w14:paraId="6A750078" w14:textId="77777777" w:rsidTr="00C93C67">
        <w:tc>
          <w:tcPr>
            <w:tcW w:w="3055" w:type="dxa"/>
          </w:tcPr>
          <w:p w14:paraId="6462FE4A" w14:textId="3B194F5F" w:rsidR="001E26F7" w:rsidRPr="00B01F9E" w:rsidRDefault="001E26F7" w:rsidP="00C93C67">
            <w:pPr>
              <w:rPr>
                <w:rFonts w:ascii="Arial" w:hAnsi="Arial" w:cs="Arial"/>
                <w:sz w:val="20"/>
                <w:szCs w:val="20"/>
              </w:rPr>
            </w:pPr>
            <w:r w:rsidRPr="00B01F9E">
              <w:rPr>
                <w:rFonts w:ascii="Arial" w:hAnsi="Arial" w:cs="Arial"/>
                <w:sz w:val="20"/>
                <w:szCs w:val="20"/>
              </w:rPr>
              <w:t>Creation of the submitter record and ability to order non</w:t>
            </w:r>
            <w:r w:rsidR="0094704D" w:rsidRPr="00B01F9E">
              <w:rPr>
                <w:rFonts w:ascii="Arial" w:hAnsi="Arial" w:cs="Arial"/>
                <w:sz w:val="20"/>
                <w:szCs w:val="20"/>
              </w:rPr>
              <w:t>-</w:t>
            </w:r>
            <w:r w:rsidRPr="00B01F9E">
              <w:rPr>
                <w:rFonts w:ascii="Arial" w:hAnsi="Arial" w:cs="Arial"/>
                <w:sz w:val="20"/>
                <w:szCs w:val="20"/>
              </w:rPr>
              <w:t>patient tests and transmit the results</w:t>
            </w:r>
          </w:p>
        </w:tc>
        <w:tc>
          <w:tcPr>
            <w:tcW w:w="6930" w:type="dxa"/>
          </w:tcPr>
          <w:p w14:paraId="44C23B98" w14:textId="3404B946" w:rsidR="001E26F7" w:rsidRPr="00B01F9E" w:rsidRDefault="001E26F7" w:rsidP="00C93C67">
            <w:pPr>
              <w:rPr>
                <w:rFonts w:ascii="Arial" w:hAnsi="Arial" w:cs="Arial"/>
                <w:sz w:val="20"/>
                <w:szCs w:val="20"/>
              </w:rPr>
            </w:pPr>
            <w:r w:rsidRPr="00B01F9E">
              <w:rPr>
                <w:rFonts w:ascii="Arial" w:hAnsi="Arial" w:cs="Arial"/>
                <w:sz w:val="20"/>
                <w:szCs w:val="20"/>
              </w:rPr>
              <w:t xml:space="preserve">The </w:t>
            </w:r>
            <w:r w:rsidR="001D7BBD" w:rsidRPr="00B01F9E">
              <w:rPr>
                <w:rFonts w:ascii="Arial" w:hAnsi="Arial" w:cs="Arial"/>
                <w:sz w:val="20"/>
                <w:szCs w:val="20"/>
              </w:rPr>
              <w:t>use of</w:t>
            </w:r>
            <w:r w:rsidRPr="00B01F9E">
              <w:rPr>
                <w:rFonts w:ascii="Arial" w:hAnsi="Arial" w:cs="Arial"/>
                <w:sz w:val="20"/>
                <w:szCs w:val="20"/>
              </w:rPr>
              <w:t xml:space="preserve"> a submitter for ordering the tests for the Instance </w:t>
            </w:r>
            <w:r w:rsidR="00131FA7" w:rsidRPr="00B01F9E">
              <w:rPr>
                <w:rFonts w:ascii="Arial" w:hAnsi="Arial" w:cs="Arial"/>
                <w:sz w:val="20"/>
                <w:szCs w:val="20"/>
              </w:rPr>
              <w:t xml:space="preserve">Error </w:t>
            </w:r>
            <w:r w:rsidRPr="00B01F9E">
              <w:rPr>
                <w:rFonts w:ascii="Arial" w:hAnsi="Arial" w:cs="Arial"/>
                <w:sz w:val="20"/>
                <w:szCs w:val="20"/>
              </w:rPr>
              <w:t xml:space="preserve">Check workflow </w:t>
            </w:r>
            <w:r w:rsidR="00131FA7" w:rsidRPr="00B01F9E">
              <w:rPr>
                <w:rFonts w:ascii="Arial" w:hAnsi="Arial" w:cs="Arial"/>
                <w:sz w:val="20"/>
                <w:szCs w:val="20"/>
              </w:rPr>
              <w:t>was</w:t>
            </w:r>
            <w:r w:rsidRPr="00B01F9E">
              <w:rPr>
                <w:rFonts w:ascii="Arial" w:hAnsi="Arial" w:cs="Arial"/>
                <w:sz w:val="20"/>
                <w:szCs w:val="20"/>
              </w:rPr>
              <w:t xml:space="preserve"> </w:t>
            </w:r>
            <w:r w:rsidR="005E4C2D" w:rsidRPr="00B01F9E">
              <w:rPr>
                <w:rFonts w:ascii="Arial" w:hAnsi="Arial" w:cs="Arial"/>
                <w:sz w:val="20"/>
                <w:szCs w:val="20"/>
              </w:rPr>
              <w:t>already a familiar process</w:t>
            </w:r>
            <w:r w:rsidRPr="00B01F9E">
              <w:rPr>
                <w:rFonts w:ascii="Arial" w:hAnsi="Arial" w:cs="Arial"/>
                <w:sz w:val="20"/>
                <w:szCs w:val="20"/>
              </w:rPr>
              <w:t xml:space="preserve"> for most laboratory end users. </w:t>
            </w:r>
            <w:r w:rsidR="001D7BBD" w:rsidRPr="00B01F9E">
              <w:rPr>
                <w:rFonts w:ascii="Arial" w:hAnsi="Arial" w:cs="Arial"/>
                <w:sz w:val="20"/>
                <w:szCs w:val="20"/>
              </w:rPr>
              <w:t>Additionally, c</w:t>
            </w:r>
            <w:r w:rsidRPr="00B01F9E">
              <w:rPr>
                <w:rFonts w:ascii="Arial" w:hAnsi="Arial" w:cs="Arial"/>
                <w:sz w:val="20"/>
                <w:szCs w:val="20"/>
              </w:rPr>
              <w:t>reating submitter</w:t>
            </w:r>
            <w:r w:rsidR="00793C0D" w:rsidRPr="00B01F9E">
              <w:rPr>
                <w:rFonts w:ascii="Arial" w:hAnsi="Arial" w:cs="Arial"/>
                <w:sz w:val="20"/>
                <w:szCs w:val="20"/>
              </w:rPr>
              <w:t>s</w:t>
            </w:r>
            <w:r w:rsidRPr="00B01F9E">
              <w:rPr>
                <w:rFonts w:ascii="Arial" w:hAnsi="Arial" w:cs="Arial"/>
                <w:sz w:val="20"/>
                <w:szCs w:val="20"/>
              </w:rPr>
              <w:t xml:space="preserve"> for non-patient samples </w:t>
            </w:r>
            <w:r w:rsidR="005950E3" w:rsidRPr="00B01F9E">
              <w:rPr>
                <w:rFonts w:ascii="Arial" w:hAnsi="Arial" w:cs="Arial"/>
                <w:sz w:val="20"/>
                <w:szCs w:val="20"/>
              </w:rPr>
              <w:t>was</w:t>
            </w:r>
            <w:r w:rsidRPr="00B01F9E">
              <w:rPr>
                <w:rFonts w:ascii="Arial" w:hAnsi="Arial" w:cs="Arial"/>
                <w:sz w:val="20"/>
                <w:szCs w:val="20"/>
              </w:rPr>
              <w:t xml:space="preserve"> a routine build in Beaker. </w:t>
            </w:r>
            <w:r w:rsidR="00793C0D" w:rsidRPr="00B01F9E">
              <w:rPr>
                <w:rFonts w:ascii="Arial" w:hAnsi="Arial" w:cs="Arial"/>
                <w:sz w:val="20"/>
                <w:szCs w:val="20"/>
              </w:rPr>
              <w:t>While t</w:t>
            </w:r>
            <w:r w:rsidRPr="00B01F9E">
              <w:rPr>
                <w:rFonts w:ascii="Arial" w:hAnsi="Arial" w:cs="Arial"/>
                <w:sz w:val="20"/>
                <w:szCs w:val="20"/>
              </w:rPr>
              <w:t>he ability to define custom fields and create non</w:t>
            </w:r>
            <w:r w:rsidR="005950E3" w:rsidRPr="00B01F9E">
              <w:rPr>
                <w:rFonts w:ascii="Arial" w:hAnsi="Arial" w:cs="Arial"/>
                <w:sz w:val="20"/>
                <w:szCs w:val="20"/>
              </w:rPr>
              <w:t>-</w:t>
            </w:r>
            <w:r w:rsidRPr="00B01F9E">
              <w:rPr>
                <w:rFonts w:ascii="Arial" w:hAnsi="Arial" w:cs="Arial"/>
                <w:sz w:val="20"/>
                <w:szCs w:val="20"/>
              </w:rPr>
              <w:t xml:space="preserve">patient samples that can be resulted through the interface </w:t>
            </w:r>
            <w:r w:rsidR="005C36D2" w:rsidRPr="00B01F9E">
              <w:rPr>
                <w:rFonts w:ascii="Arial" w:hAnsi="Arial" w:cs="Arial"/>
                <w:sz w:val="20"/>
                <w:szCs w:val="20"/>
              </w:rPr>
              <w:t xml:space="preserve">was </w:t>
            </w:r>
            <w:r w:rsidRPr="00B01F9E">
              <w:rPr>
                <w:rFonts w:ascii="Arial" w:hAnsi="Arial" w:cs="Arial"/>
                <w:sz w:val="20"/>
                <w:szCs w:val="20"/>
              </w:rPr>
              <w:t xml:space="preserve">a </w:t>
            </w:r>
            <w:r w:rsidR="00EF009A" w:rsidRPr="00B01F9E">
              <w:rPr>
                <w:rFonts w:ascii="Arial" w:hAnsi="Arial" w:cs="Arial"/>
                <w:sz w:val="20"/>
                <w:szCs w:val="20"/>
              </w:rPr>
              <w:t>more recent</w:t>
            </w:r>
            <w:r w:rsidRPr="00B01F9E">
              <w:rPr>
                <w:rFonts w:ascii="Arial" w:hAnsi="Arial" w:cs="Arial"/>
                <w:sz w:val="20"/>
                <w:szCs w:val="20"/>
              </w:rPr>
              <w:t xml:space="preserve"> concept to some Beaker users</w:t>
            </w:r>
            <w:r w:rsidR="00793C0D" w:rsidRPr="00B01F9E">
              <w:rPr>
                <w:rFonts w:ascii="Arial" w:hAnsi="Arial" w:cs="Arial"/>
                <w:sz w:val="20"/>
                <w:szCs w:val="20"/>
              </w:rPr>
              <w:t>,</w:t>
            </w:r>
            <w:r w:rsidRPr="00B01F9E">
              <w:rPr>
                <w:rFonts w:ascii="Arial" w:hAnsi="Arial" w:cs="Arial"/>
                <w:sz w:val="20"/>
                <w:szCs w:val="20"/>
              </w:rPr>
              <w:t xml:space="preserve"> </w:t>
            </w:r>
            <w:r w:rsidR="00793C0D" w:rsidRPr="00B01F9E">
              <w:rPr>
                <w:rFonts w:ascii="Arial" w:hAnsi="Arial" w:cs="Arial"/>
                <w:sz w:val="20"/>
                <w:szCs w:val="20"/>
              </w:rPr>
              <w:t>it</w:t>
            </w:r>
            <w:r w:rsidRPr="00B01F9E">
              <w:rPr>
                <w:rFonts w:ascii="Arial" w:hAnsi="Arial" w:cs="Arial"/>
                <w:sz w:val="20"/>
                <w:szCs w:val="20"/>
              </w:rPr>
              <w:t xml:space="preserve"> </w:t>
            </w:r>
            <w:r w:rsidR="005C36D2" w:rsidRPr="00B01F9E">
              <w:rPr>
                <w:rFonts w:ascii="Arial" w:hAnsi="Arial" w:cs="Arial"/>
                <w:sz w:val="20"/>
                <w:szCs w:val="20"/>
              </w:rPr>
              <w:t xml:space="preserve">was </w:t>
            </w:r>
            <w:r w:rsidRPr="00B01F9E">
              <w:rPr>
                <w:rFonts w:ascii="Arial" w:hAnsi="Arial" w:cs="Arial"/>
                <w:sz w:val="20"/>
                <w:szCs w:val="20"/>
              </w:rPr>
              <w:t xml:space="preserve">not difficult to set up. A </w:t>
            </w:r>
            <w:r w:rsidR="005C36D2" w:rsidRPr="00B01F9E">
              <w:rPr>
                <w:rFonts w:ascii="Arial" w:hAnsi="Arial" w:cs="Arial"/>
                <w:sz w:val="20"/>
                <w:szCs w:val="20"/>
              </w:rPr>
              <w:t xml:space="preserve">related </w:t>
            </w:r>
            <w:r w:rsidRPr="00B01F9E">
              <w:rPr>
                <w:rFonts w:ascii="Arial" w:hAnsi="Arial" w:cs="Arial"/>
                <w:sz w:val="20"/>
                <w:szCs w:val="20"/>
              </w:rPr>
              <w:t xml:space="preserve">gap was identified </w:t>
            </w:r>
            <w:r w:rsidR="0030686A" w:rsidRPr="00B01F9E">
              <w:rPr>
                <w:rFonts w:ascii="Arial" w:hAnsi="Arial" w:cs="Arial"/>
                <w:sz w:val="20"/>
                <w:szCs w:val="20"/>
              </w:rPr>
              <w:t>with a proposed long</w:t>
            </w:r>
            <w:r w:rsidR="00033A9D" w:rsidRPr="00B01F9E">
              <w:rPr>
                <w:rFonts w:ascii="Arial" w:hAnsi="Arial" w:cs="Arial"/>
                <w:sz w:val="20"/>
                <w:szCs w:val="20"/>
              </w:rPr>
              <w:t>-</w:t>
            </w:r>
            <w:r w:rsidR="0030686A" w:rsidRPr="00B01F9E">
              <w:rPr>
                <w:rFonts w:ascii="Arial" w:hAnsi="Arial" w:cs="Arial"/>
                <w:sz w:val="20"/>
                <w:szCs w:val="20"/>
              </w:rPr>
              <w:t xml:space="preserve">term solution </w:t>
            </w:r>
            <w:r w:rsidR="004979D7" w:rsidRPr="00B01F9E">
              <w:rPr>
                <w:rFonts w:ascii="Arial" w:hAnsi="Arial" w:cs="Arial"/>
                <w:sz w:val="20"/>
                <w:szCs w:val="20"/>
              </w:rPr>
              <w:t xml:space="preserve">suggesting that </w:t>
            </w:r>
            <w:r w:rsidRPr="00B01F9E">
              <w:rPr>
                <w:rFonts w:ascii="Arial" w:hAnsi="Arial" w:cs="Arial"/>
                <w:sz w:val="20"/>
                <w:szCs w:val="20"/>
              </w:rPr>
              <w:t>Epic create specific records for the quality organization lab</w:t>
            </w:r>
            <w:r w:rsidR="003260DD" w:rsidRPr="00B01F9E">
              <w:rPr>
                <w:rFonts w:ascii="Arial" w:hAnsi="Arial" w:cs="Arial"/>
                <w:sz w:val="20"/>
                <w:szCs w:val="20"/>
              </w:rPr>
              <w:t>oratory</w:t>
            </w:r>
            <w:r w:rsidRPr="00B01F9E">
              <w:rPr>
                <w:rFonts w:ascii="Arial" w:hAnsi="Arial" w:cs="Arial"/>
                <w:sz w:val="20"/>
                <w:szCs w:val="20"/>
              </w:rPr>
              <w:t xml:space="preserve"> ID, kit ID</w:t>
            </w:r>
            <w:r w:rsidR="00FA0578" w:rsidRPr="00B01F9E">
              <w:rPr>
                <w:rFonts w:ascii="Arial" w:hAnsi="Arial" w:cs="Arial"/>
                <w:sz w:val="20"/>
                <w:szCs w:val="20"/>
              </w:rPr>
              <w:t>,</w:t>
            </w:r>
            <w:r w:rsidRPr="00B01F9E">
              <w:rPr>
                <w:rFonts w:ascii="Arial" w:hAnsi="Arial" w:cs="Arial"/>
                <w:sz w:val="20"/>
                <w:szCs w:val="20"/>
              </w:rPr>
              <w:t xml:space="preserve"> and specimen ID.</w:t>
            </w:r>
          </w:p>
        </w:tc>
      </w:tr>
      <w:tr w:rsidR="001E26F7" w:rsidRPr="00B01F9E" w14:paraId="215E19B8" w14:textId="77777777" w:rsidTr="00C93C67">
        <w:tc>
          <w:tcPr>
            <w:tcW w:w="3055" w:type="dxa"/>
          </w:tcPr>
          <w:p w14:paraId="259FFC06" w14:textId="1E774498" w:rsidR="001E26F7" w:rsidRPr="00B01F9E" w:rsidRDefault="001E26F7" w:rsidP="00C93C67">
            <w:pPr>
              <w:rPr>
                <w:rFonts w:ascii="Arial" w:hAnsi="Arial" w:cs="Arial"/>
                <w:sz w:val="20"/>
                <w:szCs w:val="20"/>
              </w:rPr>
            </w:pPr>
            <w:r w:rsidRPr="00B01F9E">
              <w:rPr>
                <w:rFonts w:ascii="Arial" w:hAnsi="Arial" w:cs="Arial"/>
                <w:sz w:val="20"/>
                <w:szCs w:val="20"/>
              </w:rPr>
              <w:t>Performing the Instance</w:t>
            </w:r>
            <w:r w:rsidR="002B6DF2" w:rsidRPr="00B01F9E">
              <w:rPr>
                <w:rFonts w:ascii="Arial" w:hAnsi="Arial" w:cs="Arial"/>
                <w:sz w:val="20"/>
                <w:szCs w:val="20"/>
              </w:rPr>
              <w:t xml:space="preserve"> Error</w:t>
            </w:r>
            <w:r w:rsidRPr="00B01F9E">
              <w:rPr>
                <w:rFonts w:ascii="Arial" w:hAnsi="Arial" w:cs="Arial"/>
                <w:sz w:val="20"/>
                <w:szCs w:val="20"/>
              </w:rPr>
              <w:t xml:space="preserve"> Check</w:t>
            </w:r>
          </w:p>
        </w:tc>
        <w:tc>
          <w:tcPr>
            <w:tcW w:w="6930" w:type="dxa"/>
          </w:tcPr>
          <w:p w14:paraId="05943266" w14:textId="56F341B8" w:rsidR="001E26F7" w:rsidRPr="00B01F9E" w:rsidRDefault="001E26F7" w:rsidP="00C93C67">
            <w:pPr>
              <w:rPr>
                <w:rFonts w:ascii="Arial" w:hAnsi="Arial" w:cs="Arial"/>
                <w:sz w:val="20"/>
                <w:szCs w:val="20"/>
              </w:rPr>
            </w:pPr>
            <w:r w:rsidRPr="00B01F9E">
              <w:rPr>
                <w:rFonts w:ascii="Arial" w:hAnsi="Arial" w:cs="Arial"/>
                <w:sz w:val="20"/>
                <w:szCs w:val="20"/>
              </w:rPr>
              <w:t>The end user workflow used for performing the Instance</w:t>
            </w:r>
            <w:r w:rsidR="00997FAD" w:rsidRPr="00B01F9E">
              <w:rPr>
                <w:rFonts w:ascii="Arial" w:hAnsi="Arial" w:cs="Arial"/>
                <w:sz w:val="20"/>
                <w:szCs w:val="20"/>
              </w:rPr>
              <w:t xml:space="preserve"> Error</w:t>
            </w:r>
            <w:r w:rsidRPr="00B01F9E">
              <w:rPr>
                <w:rFonts w:ascii="Arial" w:hAnsi="Arial" w:cs="Arial"/>
                <w:sz w:val="20"/>
                <w:szCs w:val="20"/>
              </w:rPr>
              <w:t xml:space="preserve"> Check </w:t>
            </w:r>
            <w:r w:rsidR="00997FAD" w:rsidRPr="00B01F9E">
              <w:rPr>
                <w:rFonts w:ascii="Arial" w:hAnsi="Arial" w:cs="Arial"/>
                <w:sz w:val="20"/>
                <w:szCs w:val="20"/>
              </w:rPr>
              <w:t xml:space="preserve">was </w:t>
            </w:r>
            <w:r w:rsidR="00162329" w:rsidRPr="00B01F9E">
              <w:rPr>
                <w:rFonts w:ascii="Arial" w:hAnsi="Arial" w:cs="Arial"/>
                <w:sz w:val="20"/>
                <w:szCs w:val="20"/>
              </w:rPr>
              <w:t>already</w:t>
            </w:r>
            <w:r w:rsidRPr="00B01F9E">
              <w:rPr>
                <w:rFonts w:ascii="Arial" w:hAnsi="Arial" w:cs="Arial"/>
                <w:sz w:val="20"/>
                <w:szCs w:val="20"/>
              </w:rPr>
              <w:t xml:space="preserve"> familiar to Beaker users. It </w:t>
            </w:r>
            <w:r w:rsidR="009402E8" w:rsidRPr="00B01F9E">
              <w:rPr>
                <w:rFonts w:ascii="Arial" w:hAnsi="Arial" w:cs="Arial"/>
                <w:sz w:val="20"/>
                <w:szCs w:val="20"/>
              </w:rPr>
              <w:t>involved</w:t>
            </w:r>
            <w:r w:rsidRPr="00B01F9E">
              <w:rPr>
                <w:rFonts w:ascii="Arial" w:hAnsi="Arial" w:cs="Arial"/>
                <w:sz w:val="20"/>
                <w:szCs w:val="20"/>
              </w:rPr>
              <w:t xml:space="preserve"> ordering a test using the requisition entry feature and resulting the test in Beaker with simulated </w:t>
            </w:r>
            <w:r w:rsidRPr="00B01F9E">
              <w:rPr>
                <w:rFonts w:ascii="Arial" w:hAnsi="Arial" w:cs="Arial"/>
                <w:sz w:val="20"/>
                <w:szCs w:val="20"/>
              </w:rPr>
              <w:lastRenderedPageBreak/>
              <w:t>results. A</w:t>
            </w:r>
            <w:r w:rsidR="009402E8" w:rsidRPr="00B01F9E">
              <w:rPr>
                <w:rFonts w:ascii="Arial" w:hAnsi="Arial" w:cs="Arial"/>
                <w:sz w:val="20"/>
                <w:szCs w:val="20"/>
              </w:rPr>
              <w:t>dditionally</w:t>
            </w:r>
            <w:r w:rsidRPr="00B01F9E">
              <w:rPr>
                <w:rFonts w:ascii="Arial" w:hAnsi="Arial" w:cs="Arial"/>
                <w:sz w:val="20"/>
                <w:szCs w:val="20"/>
              </w:rPr>
              <w:t>, if the lab</w:t>
            </w:r>
            <w:r w:rsidR="00CD3461" w:rsidRPr="00B01F9E">
              <w:rPr>
                <w:rFonts w:ascii="Arial" w:hAnsi="Arial" w:cs="Arial"/>
                <w:sz w:val="20"/>
                <w:szCs w:val="20"/>
              </w:rPr>
              <w:t>oratory</w:t>
            </w:r>
            <w:r w:rsidRPr="00B01F9E">
              <w:rPr>
                <w:rFonts w:ascii="Arial" w:hAnsi="Arial" w:cs="Arial"/>
                <w:sz w:val="20"/>
                <w:szCs w:val="20"/>
              </w:rPr>
              <w:t xml:space="preserve"> w</w:t>
            </w:r>
            <w:r w:rsidR="009402E8" w:rsidRPr="00B01F9E">
              <w:rPr>
                <w:rFonts w:ascii="Arial" w:hAnsi="Arial" w:cs="Arial"/>
                <w:sz w:val="20"/>
                <w:szCs w:val="20"/>
              </w:rPr>
              <w:t>ished</w:t>
            </w:r>
            <w:r w:rsidRPr="00B01F9E">
              <w:rPr>
                <w:rFonts w:ascii="Arial" w:hAnsi="Arial" w:cs="Arial"/>
                <w:sz w:val="20"/>
                <w:szCs w:val="20"/>
              </w:rPr>
              <w:t xml:space="preserve"> to test its entire compendium </w:t>
            </w:r>
            <w:r w:rsidR="009402E8" w:rsidRPr="00B01F9E">
              <w:rPr>
                <w:rFonts w:ascii="Arial" w:hAnsi="Arial" w:cs="Arial"/>
                <w:sz w:val="20"/>
                <w:szCs w:val="20"/>
              </w:rPr>
              <w:t>in this manner</w:t>
            </w:r>
            <w:r w:rsidRPr="00B01F9E">
              <w:rPr>
                <w:rFonts w:ascii="Arial" w:hAnsi="Arial" w:cs="Arial"/>
                <w:sz w:val="20"/>
                <w:szCs w:val="20"/>
              </w:rPr>
              <w:t xml:space="preserve">, </w:t>
            </w:r>
            <w:r w:rsidR="009402E8" w:rsidRPr="00B01F9E">
              <w:rPr>
                <w:rFonts w:ascii="Arial" w:hAnsi="Arial" w:cs="Arial"/>
                <w:sz w:val="20"/>
                <w:szCs w:val="20"/>
              </w:rPr>
              <w:t>Beaker provided</w:t>
            </w:r>
            <w:r w:rsidRPr="00B01F9E">
              <w:rPr>
                <w:rFonts w:ascii="Arial" w:hAnsi="Arial" w:cs="Arial"/>
                <w:sz w:val="20"/>
                <w:szCs w:val="20"/>
              </w:rPr>
              <w:t xml:space="preserve"> a tool that allow</w:t>
            </w:r>
            <w:r w:rsidR="00CD3461" w:rsidRPr="00B01F9E">
              <w:rPr>
                <w:rFonts w:ascii="Arial" w:hAnsi="Arial" w:cs="Arial"/>
                <w:sz w:val="20"/>
                <w:szCs w:val="20"/>
              </w:rPr>
              <w:t>ed</w:t>
            </w:r>
            <w:r w:rsidRPr="00B01F9E">
              <w:rPr>
                <w:rFonts w:ascii="Arial" w:hAnsi="Arial" w:cs="Arial"/>
                <w:sz w:val="20"/>
                <w:szCs w:val="20"/>
              </w:rPr>
              <w:t xml:space="preserve"> for multiple tests to be ordered and resulted automatically by the system. The use of Rosie the </w:t>
            </w:r>
            <w:proofErr w:type="spellStart"/>
            <w:r w:rsidRPr="00B01F9E">
              <w:rPr>
                <w:rFonts w:ascii="Arial" w:hAnsi="Arial" w:cs="Arial"/>
                <w:sz w:val="20"/>
                <w:szCs w:val="20"/>
              </w:rPr>
              <w:t>Resulter</w:t>
            </w:r>
            <w:proofErr w:type="spellEnd"/>
            <w:r w:rsidRPr="00B01F9E">
              <w:rPr>
                <w:rFonts w:ascii="Arial" w:hAnsi="Arial" w:cs="Arial"/>
                <w:sz w:val="20"/>
                <w:szCs w:val="20"/>
              </w:rPr>
              <w:t xml:space="preserve"> tool could be validated with Epic as a </w:t>
            </w:r>
            <w:r w:rsidR="009402E8" w:rsidRPr="00B01F9E">
              <w:rPr>
                <w:rFonts w:ascii="Arial" w:hAnsi="Arial" w:cs="Arial"/>
                <w:sz w:val="20"/>
                <w:szCs w:val="20"/>
              </w:rPr>
              <w:t>viable</w:t>
            </w:r>
            <w:r w:rsidRPr="00B01F9E">
              <w:rPr>
                <w:rFonts w:ascii="Arial" w:hAnsi="Arial" w:cs="Arial"/>
                <w:sz w:val="20"/>
                <w:szCs w:val="20"/>
              </w:rPr>
              <w:t xml:space="preserve"> future state </w:t>
            </w:r>
            <w:r w:rsidR="009402E8" w:rsidRPr="00B01F9E">
              <w:rPr>
                <w:rFonts w:ascii="Arial" w:hAnsi="Arial" w:cs="Arial"/>
                <w:sz w:val="20"/>
                <w:szCs w:val="20"/>
              </w:rPr>
              <w:t>solution for conducting</w:t>
            </w:r>
            <w:r w:rsidRPr="00B01F9E">
              <w:rPr>
                <w:rFonts w:ascii="Arial" w:hAnsi="Arial" w:cs="Arial"/>
                <w:sz w:val="20"/>
                <w:szCs w:val="20"/>
              </w:rPr>
              <w:t xml:space="preserve"> the full laboratory test compendium Instance Error Check.</w:t>
            </w:r>
          </w:p>
        </w:tc>
      </w:tr>
      <w:tr w:rsidR="00951F74" w:rsidRPr="00B01F9E" w14:paraId="793CA995" w14:textId="77777777" w:rsidTr="00C93C67">
        <w:tc>
          <w:tcPr>
            <w:tcW w:w="9985" w:type="dxa"/>
            <w:gridSpan w:val="2"/>
            <w:shd w:val="clear" w:color="auto" w:fill="C3C6C8" w:themeFill="background1"/>
          </w:tcPr>
          <w:p w14:paraId="49A27A5A" w14:textId="5BCF30BE" w:rsidR="00951F74" w:rsidRPr="00B01F9E" w:rsidRDefault="00951F74" w:rsidP="00C93C67">
            <w:pPr>
              <w:rPr>
                <w:rFonts w:ascii="Arial" w:hAnsi="Arial" w:cs="Arial"/>
                <w:sz w:val="20"/>
                <w:szCs w:val="20"/>
              </w:rPr>
            </w:pPr>
            <w:r w:rsidRPr="00B01F9E">
              <w:rPr>
                <w:rFonts w:ascii="Arial" w:hAnsi="Arial" w:cs="Arial"/>
                <w:b/>
                <w:bCs/>
                <w:sz w:val="20"/>
                <w:szCs w:val="20"/>
              </w:rPr>
              <w:lastRenderedPageBreak/>
              <w:t>Related to Analysis Process by CAP</w:t>
            </w:r>
          </w:p>
        </w:tc>
      </w:tr>
      <w:tr w:rsidR="001E26F7" w:rsidRPr="00B01F9E" w14:paraId="1B1EF11E" w14:textId="77777777" w:rsidTr="00C93C67">
        <w:tc>
          <w:tcPr>
            <w:tcW w:w="3055" w:type="dxa"/>
          </w:tcPr>
          <w:p w14:paraId="27429FA2" w14:textId="77777777" w:rsidR="001E26F7" w:rsidRPr="00B01F9E" w:rsidRDefault="001E26F7" w:rsidP="00C93C67">
            <w:pPr>
              <w:rPr>
                <w:rFonts w:ascii="Arial" w:hAnsi="Arial" w:cs="Arial"/>
                <w:sz w:val="20"/>
                <w:szCs w:val="20"/>
              </w:rPr>
            </w:pPr>
            <w:r w:rsidRPr="00B01F9E">
              <w:rPr>
                <w:rFonts w:ascii="Arial" w:hAnsi="Arial" w:cs="Arial"/>
                <w:sz w:val="20"/>
                <w:szCs w:val="20"/>
              </w:rPr>
              <w:t>Receiving the HL7 Interface messages</w:t>
            </w:r>
          </w:p>
        </w:tc>
        <w:tc>
          <w:tcPr>
            <w:tcW w:w="6930" w:type="dxa"/>
          </w:tcPr>
          <w:p w14:paraId="41F2CFE9" w14:textId="25947D87" w:rsidR="001E26F7" w:rsidRPr="00B01F9E" w:rsidRDefault="001E26F7" w:rsidP="00C93C67">
            <w:pPr>
              <w:rPr>
                <w:rFonts w:ascii="Arial" w:hAnsi="Arial" w:cs="Arial"/>
                <w:sz w:val="20"/>
                <w:szCs w:val="20"/>
              </w:rPr>
            </w:pPr>
            <w:r w:rsidRPr="00B01F9E">
              <w:rPr>
                <w:rFonts w:ascii="Arial" w:hAnsi="Arial" w:cs="Arial"/>
                <w:sz w:val="20"/>
                <w:szCs w:val="20"/>
              </w:rPr>
              <w:t xml:space="preserve">The front end of the CAP intake interface </w:t>
            </w:r>
            <w:r w:rsidR="00EA5C03" w:rsidRPr="00B01F9E">
              <w:rPr>
                <w:rFonts w:ascii="Arial" w:hAnsi="Arial" w:cs="Arial"/>
                <w:sz w:val="20"/>
                <w:szCs w:val="20"/>
              </w:rPr>
              <w:t xml:space="preserve">utilized </w:t>
            </w:r>
            <w:r w:rsidRPr="00B01F9E">
              <w:rPr>
                <w:rFonts w:ascii="Arial" w:hAnsi="Arial" w:cs="Arial"/>
                <w:sz w:val="20"/>
                <w:szCs w:val="20"/>
              </w:rPr>
              <w:t xml:space="preserve">the </w:t>
            </w:r>
            <w:r w:rsidR="00EC3012" w:rsidRPr="00B01F9E">
              <w:rPr>
                <w:rFonts w:ascii="Arial" w:hAnsi="Arial" w:cs="Arial"/>
                <w:sz w:val="20"/>
                <w:szCs w:val="20"/>
              </w:rPr>
              <w:t>ELLKAY</w:t>
            </w:r>
            <w:r w:rsidRPr="00B01F9E">
              <w:rPr>
                <w:rFonts w:ascii="Arial" w:hAnsi="Arial" w:cs="Arial"/>
                <w:sz w:val="20"/>
                <w:szCs w:val="20"/>
              </w:rPr>
              <w:t xml:space="preserve"> </w:t>
            </w:r>
            <w:proofErr w:type="spellStart"/>
            <w:r w:rsidRPr="00B01F9E">
              <w:rPr>
                <w:rFonts w:ascii="Arial" w:hAnsi="Arial" w:cs="Arial"/>
                <w:sz w:val="20"/>
                <w:szCs w:val="20"/>
              </w:rPr>
              <w:t>L</w:t>
            </w:r>
            <w:r w:rsidR="005F47BE" w:rsidRPr="00B01F9E">
              <w:rPr>
                <w:rFonts w:ascii="Arial" w:hAnsi="Arial" w:cs="Arial"/>
                <w:sz w:val="20"/>
                <w:szCs w:val="20"/>
              </w:rPr>
              <w:t>K</w:t>
            </w:r>
            <w:r w:rsidRPr="00B01F9E">
              <w:rPr>
                <w:rFonts w:ascii="Arial" w:hAnsi="Arial" w:cs="Arial"/>
                <w:sz w:val="20"/>
                <w:szCs w:val="20"/>
              </w:rPr>
              <w:t>Transfer</w:t>
            </w:r>
            <w:proofErr w:type="spellEnd"/>
            <w:r w:rsidRPr="00B01F9E">
              <w:rPr>
                <w:rFonts w:ascii="Arial" w:hAnsi="Arial" w:cs="Arial"/>
                <w:sz w:val="20"/>
                <w:szCs w:val="20"/>
              </w:rPr>
              <w:t xml:space="preserve"> tool. While this interface engine </w:t>
            </w:r>
            <w:r w:rsidR="00EA5C03" w:rsidRPr="00B01F9E">
              <w:rPr>
                <w:rFonts w:ascii="Arial" w:hAnsi="Arial" w:cs="Arial"/>
                <w:sz w:val="20"/>
                <w:szCs w:val="20"/>
              </w:rPr>
              <w:t xml:space="preserve">served </w:t>
            </w:r>
            <w:r w:rsidRPr="00B01F9E">
              <w:rPr>
                <w:rFonts w:ascii="Arial" w:hAnsi="Arial" w:cs="Arial"/>
                <w:sz w:val="20"/>
                <w:szCs w:val="20"/>
              </w:rPr>
              <w:t xml:space="preserve">as a pass through to the CAP when messages were received from the </w:t>
            </w:r>
            <w:proofErr w:type="gramStart"/>
            <w:r w:rsidRPr="00B01F9E">
              <w:rPr>
                <w:rFonts w:ascii="Arial" w:hAnsi="Arial" w:cs="Arial"/>
                <w:sz w:val="20"/>
                <w:szCs w:val="20"/>
              </w:rPr>
              <w:t>Duke</w:t>
            </w:r>
            <w:proofErr w:type="gramEnd"/>
            <w:r w:rsidRPr="00B01F9E">
              <w:rPr>
                <w:rFonts w:ascii="Arial" w:hAnsi="Arial" w:cs="Arial"/>
                <w:sz w:val="20"/>
                <w:szCs w:val="20"/>
              </w:rPr>
              <w:t xml:space="preserve"> interface engine, it </w:t>
            </w:r>
            <w:r w:rsidR="00EA5C03" w:rsidRPr="00B01F9E">
              <w:rPr>
                <w:rFonts w:ascii="Arial" w:hAnsi="Arial" w:cs="Arial"/>
                <w:sz w:val="20"/>
                <w:szCs w:val="20"/>
              </w:rPr>
              <w:t xml:space="preserve">also proved </w:t>
            </w:r>
            <w:r w:rsidRPr="00B01F9E">
              <w:rPr>
                <w:rFonts w:ascii="Arial" w:hAnsi="Arial" w:cs="Arial"/>
                <w:sz w:val="20"/>
                <w:szCs w:val="20"/>
              </w:rPr>
              <w:t xml:space="preserve">useful for resending result messages. This feature </w:t>
            </w:r>
            <w:r w:rsidR="00EA5C03" w:rsidRPr="00B01F9E">
              <w:rPr>
                <w:rFonts w:ascii="Arial" w:hAnsi="Arial" w:cs="Arial"/>
                <w:sz w:val="20"/>
                <w:szCs w:val="20"/>
              </w:rPr>
              <w:t xml:space="preserve">eliminated </w:t>
            </w:r>
            <w:r w:rsidRPr="00B01F9E">
              <w:rPr>
                <w:rFonts w:ascii="Arial" w:hAnsi="Arial" w:cs="Arial"/>
                <w:sz w:val="20"/>
                <w:szCs w:val="20"/>
              </w:rPr>
              <w:t xml:space="preserve">the need </w:t>
            </w:r>
            <w:r w:rsidR="00FE3A47" w:rsidRPr="00B01F9E">
              <w:rPr>
                <w:rFonts w:ascii="Arial" w:hAnsi="Arial" w:cs="Arial"/>
                <w:sz w:val="20"/>
                <w:szCs w:val="20"/>
              </w:rPr>
              <w:t>for</w:t>
            </w:r>
            <w:r w:rsidR="000D6086" w:rsidRPr="00B01F9E">
              <w:rPr>
                <w:rFonts w:ascii="Arial" w:hAnsi="Arial" w:cs="Arial"/>
                <w:sz w:val="20"/>
                <w:szCs w:val="20"/>
              </w:rPr>
              <w:t xml:space="preserve"> </w:t>
            </w:r>
            <w:r w:rsidRPr="00B01F9E">
              <w:rPr>
                <w:rFonts w:ascii="Arial" w:hAnsi="Arial" w:cs="Arial"/>
                <w:sz w:val="20"/>
                <w:szCs w:val="20"/>
              </w:rPr>
              <w:t>Duke to recreate a new order and result when troubleshooting issues</w:t>
            </w:r>
            <w:r w:rsidR="00242EED" w:rsidRPr="00B01F9E">
              <w:rPr>
                <w:rFonts w:ascii="Arial" w:hAnsi="Arial" w:cs="Arial"/>
                <w:sz w:val="20"/>
                <w:szCs w:val="20"/>
              </w:rPr>
              <w:t xml:space="preserve"> that arose</w:t>
            </w:r>
            <w:r w:rsidRPr="00B01F9E">
              <w:rPr>
                <w:rFonts w:ascii="Arial" w:hAnsi="Arial" w:cs="Arial"/>
                <w:sz w:val="20"/>
                <w:szCs w:val="20"/>
              </w:rPr>
              <w:t xml:space="preserve"> after</w:t>
            </w:r>
            <w:r w:rsidR="00242EED" w:rsidRPr="00B01F9E">
              <w:rPr>
                <w:rFonts w:ascii="Arial" w:hAnsi="Arial" w:cs="Arial"/>
                <w:sz w:val="20"/>
                <w:szCs w:val="20"/>
              </w:rPr>
              <w:t xml:space="preserve"> </w:t>
            </w:r>
            <w:r w:rsidR="00F158BA" w:rsidRPr="00B01F9E">
              <w:rPr>
                <w:rFonts w:ascii="Arial" w:hAnsi="Arial" w:cs="Arial"/>
                <w:sz w:val="20"/>
                <w:szCs w:val="20"/>
              </w:rPr>
              <w:t xml:space="preserve">CAP </w:t>
            </w:r>
            <w:r w:rsidR="00242EED" w:rsidRPr="00B01F9E">
              <w:rPr>
                <w:rFonts w:ascii="Arial" w:hAnsi="Arial" w:cs="Arial"/>
                <w:sz w:val="20"/>
                <w:szCs w:val="20"/>
              </w:rPr>
              <w:t>update</w:t>
            </w:r>
            <w:r w:rsidR="00C41CED" w:rsidRPr="00B01F9E">
              <w:rPr>
                <w:rFonts w:ascii="Arial" w:hAnsi="Arial" w:cs="Arial"/>
                <w:sz w:val="20"/>
                <w:szCs w:val="20"/>
              </w:rPr>
              <w:t>d</w:t>
            </w:r>
            <w:r w:rsidR="00242EED" w:rsidRPr="00B01F9E">
              <w:rPr>
                <w:rFonts w:ascii="Arial" w:hAnsi="Arial" w:cs="Arial"/>
                <w:sz w:val="20"/>
                <w:szCs w:val="20"/>
              </w:rPr>
              <w:t xml:space="preserve"> the</w:t>
            </w:r>
            <w:r w:rsidRPr="00B01F9E">
              <w:rPr>
                <w:rFonts w:ascii="Arial" w:hAnsi="Arial" w:cs="Arial"/>
                <w:sz w:val="20"/>
                <w:szCs w:val="20"/>
              </w:rPr>
              <w:t xml:space="preserve"> logic</w:t>
            </w:r>
            <w:r w:rsidR="00F158BA" w:rsidRPr="00B01F9E">
              <w:rPr>
                <w:rFonts w:ascii="Arial" w:hAnsi="Arial" w:cs="Arial"/>
                <w:sz w:val="20"/>
                <w:szCs w:val="20"/>
              </w:rPr>
              <w:t>.</w:t>
            </w:r>
            <w:r w:rsidRPr="00B01F9E">
              <w:rPr>
                <w:rFonts w:ascii="Arial" w:hAnsi="Arial" w:cs="Arial"/>
                <w:sz w:val="20"/>
                <w:szCs w:val="20"/>
              </w:rPr>
              <w:t xml:space="preserve">   </w:t>
            </w:r>
          </w:p>
        </w:tc>
      </w:tr>
      <w:tr w:rsidR="001E26F7" w:rsidRPr="00B01F9E" w14:paraId="41FE4FC9" w14:textId="77777777" w:rsidTr="00C93C67">
        <w:tc>
          <w:tcPr>
            <w:tcW w:w="3055" w:type="dxa"/>
          </w:tcPr>
          <w:p w14:paraId="0D14CCB7" w14:textId="6A854DAF" w:rsidR="001E26F7" w:rsidRPr="00B01F9E" w:rsidRDefault="001E26F7" w:rsidP="00C93C67">
            <w:pPr>
              <w:rPr>
                <w:rFonts w:ascii="Arial" w:hAnsi="Arial" w:cs="Arial"/>
                <w:sz w:val="20"/>
                <w:szCs w:val="20"/>
              </w:rPr>
            </w:pPr>
            <w:r w:rsidRPr="00B01F9E">
              <w:rPr>
                <w:rFonts w:ascii="Arial" w:hAnsi="Arial" w:cs="Arial"/>
                <w:sz w:val="20"/>
                <w:szCs w:val="20"/>
              </w:rPr>
              <w:t>Logic developed for parsing and analyzing the interface messages with encoded elements</w:t>
            </w:r>
          </w:p>
        </w:tc>
        <w:tc>
          <w:tcPr>
            <w:tcW w:w="6930" w:type="dxa"/>
          </w:tcPr>
          <w:p w14:paraId="71FE4086" w14:textId="32CCED2F" w:rsidR="001E26F7" w:rsidRPr="00B01F9E" w:rsidRDefault="001073BA" w:rsidP="00C93C67">
            <w:pPr>
              <w:rPr>
                <w:rFonts w:ascii="Arial" w:hAnsi="Arial" w:cs="Arial"/>
                <w:sz w:val="20"/>
                <w:szCs w:val="20"/>
              </w:rPr>
            </w:pPr>
            <w:r w:rsidRPr="00B01F9E">
              <w:rPr>
                <w:rFonts w:ascii="Arial" w:hAnsi="Arial" w:cs="Arial"/>
                <w:sz w:val="20"/>
                <w:szCs w:val="20"/>
              </w:rPr>
              <w:t>T</w:t>
            </w:r>
            <w:r w:rsidR="001E26F7" w:rsidRPr="00B01F9E">
              <w:rPr>
                <w:rFonts w:ascii="Arial" w:hAnsi="Arial" w:cs="Arial"/>
                <w:sz w:val="20"/>
                <w:szCs w:val="20"/>
              </w:rPr>
              <w:t xml:space="preserve">he development of this back end workflow </w:t>
            </w:r>
            <w:r w:rsidRPr="00B01F9E">
              <w:rPr>
                <w:rFonts w:ascii="Arial" w:hAnsi="Arial" w:cs="Arial"/>
                <w:sz w:val="20"/>
                <w:szCs w:val="20"/>
              </w:rPr>
              <w:t>was dependent on</w:t>
            </w:r>
            <w:r w:rsidR="001E26F7" w:rsidRPr="00B01F9E">
              <w:rPr>
                <w:rFonts w:ascii="Arial" w:hAnsi="Arial" w:cs="Arial"/>
                <w:sz w:val="20"/>
                <w:szCs w:val="20"/>
              </w:rPr>
              <w:t xml:space="preserve"> the CAP technical team understanding </w:t>
            </w:r>
            <w:r w:rsidR="00CC7783" w:rsidRPr="00B01F9E">
              <w:rPr>
                <w:rFonts w:ascii="Arial" w:hAnsi="Arial" w:cs="Arial"/>
                <w:sz w:val="20"/>
                <w:szCs w:val="20"/>
              </w:rPr>
              <w:t xml:space="preserve">of </w:t>
            </w:r>
            <w:r w:rsidR="001E26F7" w:rsidRPr="00B01F9E">
              <w:rPr>
                <w:rFonts w:ascii="Arial" w:hAnsi="Arial" w:cs="Arial"/>
                <w:sz w:val="20"/>
                <w:szCs w:val="20"/>
              </w:rPr>
              <w:t>the hierarchy of the data being submitted, how to parse the HL7 message, and having</w:t>
            </w:r>
            <w:r w:rsidR="00E01EDC" w:rsidRPr="00B01F9E">
              <w:rPr>
                <w:rFonts w:ascii="Arial" w:hAnsi="Arial" w:cs="Arial"/>
                <w:sz w:val="20"/>
                <w:szCs w:val="20"/>
              </w:rPr>
              <w:t xml:space="preserve"> access</w:t>
            </w:r>
            <w:r w:rsidR="001E26F7" w:rsidRPr="00B01F9E">
              <w:rPr>
                <w:rFonts w:ascii="Arial" w:hAnsi="Arial" w:cs="Arial"/>
                <w:sz w:val="20"/>
                <w:szCs w:val="20"/>
              </w:rPr>
              <w:t xml:space="preserve"> </w:t>
            </w:r>
            <w:r w:rsidR="00F67131" w:rsidRPr="00B01F9E">
              <w:rPr>
                <w:rFonts w:ascii="Arial" w:hAnsi="Arial" w:cs="Arial"/>
                <w:sz w:val="20"/>
                <w:szCs w:val="20"/>
              </w:rPr>
              <w:t xml:space="preserve">to </w:t>
            </w:r>
            <w:r w:rsidR="001E26F7" w:rsidRPr="00B01F9E">
              <w:rPr>
                <w:rFonts w:ascii="Arial" w:hAnsi="Arial" w:cs="Arial"/>
                <w:sz w:val="20"/>
                <w:szCs w:val="20"/>
              </w:rPr>
              <w:t xml:space="preserve">a static LIDR file. </w:t>
            </w:r>
            <w:r w:rsidR="00F67131" w:rsidRPr="00B01F9E">
              <w:rPr>
                <w:rFonts w:ascii="Arial" w:hAnsi="Arial" w:cs="Arial"/>
                <w:sz w:val="20"/>
                <w:szCs w:val="20"/>
              </w:rPr>
              <w:t xml:space="preserve">This </w:t>
            </w:r>
            <w:r w:rsidR="0037320C" w:rsidRPr="00B01F9E">
              <w:rPr>
                <w:rFonts w:ascii="Arial" w:hAnsi="Arial" w:cs="Arial"/>
                <w:sz w:val="20"/>
                <w:szCs w:val="20"/>
              </w:rPr>
              <w:t>allowed for</w:t>
            </w:r>
            <w:r w:rsidR="001E26F7" w:rsidRPr="00B01F9E">
              <w:rPr>
                <w:rFonts w:ascii="Arial" w:hAnsi="Arial" w:cs="Arial"/>
                <w:sz w:val="20"/>
                <w:szCs w:val="20"/>
              </w:rPr>
              <w:t xml:space="preserve"> accurate and comprehensive</w:t>
            </w:r>
            <w:r w:rsidR="00F67131" w:rsidRPr="00B01F9E">
              <w:rPr>
                <w:rFonts w:ascii="Arial" w:hAnsi="Arial" w:cs="Arial"/>
                <w:sz w:val="20"/>
                <w:szCs w:val="20"/>
              </w:rPr>
              <w:t xml:space="preserve"> analyses</w:t>
            </w:r>
            <w:r w:rsidR="001E26F7" w:rsidRPr="00B01F9E">
              <w:rPr>
                <w:rFonts w:ascii="Arial" w:hAnsi="Arial" w:cs="Arial"/>
                <w:sz w:val="20"/>
                <w:szCs w:val="20"/>
              </w:rPr>
              <w:t xml:space="preserve"> indicating the failed data element and identifying the element which was expected. This further assist</w:t>
            </w:r>
            <w:r w:rsidR="002B5F13" w:rsidRPr="00B01F9E">
              <w:rPr>
                <w:rFonts w:ascii="Arial" w:hAnsi="Arial" w:cs="Arial"/>
                <w:sz w:val="20"/>
                <w:szCs w:val="20"/>
              </w:rPr>
              <w:t>ed</w:t>
            </w:r>
            <w:r w:rsidR="001E26F7" w:rsidRPr="00B01F9E">
              <w:rPr>
                <w:rFonts w:ascii="Arial" w:hAnsi="Arial" w:cs="Arial"/>
                <w:sz w:val="20"/>
                <w:szCs w:val="20"/>
              </w:rPr>
              <w:t xml:space="preserve"> the participating lab in identifying where a correction to their encoding </w:t>
            </w:r>
            <w:r w:rsidR="002B5F13" w:rsidRPr="00B01F9E">
              <w:rPr>
                <w:rFonts w:ascii="Arial" w:hAnsi="Arial" w:cs="Arial"/>
                <w:sz w:val="20"/>
                <w:szCs w:val="20"/>
              </w:rPr>
              <w:t>was</w:t>
            </w:r>
            <w:r w:rsidR="001E26F7" w:rsidRPr="00B01F9E">
              <w:rPr>
                <w:rFonts w:ascii="Arial" w:hAnsi="Arial" w:cs="Arial"/>
                <w:sz w:val="20"/>
                <w:szCs w:val="20"/>
              </w:rPr>
              <w:t xml:space="preserve"> required. </w:t>
            </w:r>
            <w:r w:rsidR="00844CB0" w:rsidRPr="00B01F9E">
              <w:rPr>
                <w:rFonts w:ascii="Arial" w:hAnsi="Arial" w:cs="Arial"/>
                <w:sz w:val="20"/>
                <w:szCs w:val="20"/>
              </w:rPr>
              <w:t>This</w:t>
            </w:r>
            <w:r w:rsidR="001E26F7" w:rsidRPr="00B01F9E">
              <w:rPr>
                <w:rFonts w:ascii="Arial" w:hAnsi="Arial" w:cs="Arial"/>
                <w:sz w:val="20"/>
                <w:szCs w:val="20"/>
              </w:rPr>
              <w:t xml:space="preserve"> may be </w:t>
            </w:r>
            <w:r w:rsidR="0037320C" w:rsidRPr="00B01F9E">
              <w:rPr>
                <w:rFonts w:ascii="Arial" w:hAnsi="Arial" w:cs="Arial"/>
                <w:sz w:val="20"/>
                <w:szCs w:val="20"/>
              </w:rPr>
              <w:t xml:space="preserve">time consuming </w:t>
            </w:r>
            <w:r w:rsidR="00DE3D0D" w:rsidRPr="00B01F9E">
              <w:rPr>
                <w:rFonts w:ascii="Arial" w:hAnsi="Arial" w:cs="Arial"/>
                <w:sz w:val="20"/>
                <w:szCs w:val="20"/>
              </w:rPr>
              <w:t>if</w:t>
            </w:r>
            <w:r w:rsidR="001E26F7" w:rsidRPr="00B01F9E">
              <w:rPr>
                <w:rFonts w:ascii="Arial" w:hAnsi="Arial" w:cs="Arial"/>
                <w:sz w:val="20"/>
                <w:szCs w:val="20"/>
              </w:rPr>
              <w:t xml:space="preserve"> the logic to expand to a full LIDR file for every IVD test</w:t>
            </w:r>
            <w:r w:rsidR="00DE3D0D" w:rsidRPr="00B01F9E">
              <w:rPr>
                <w:rFonts w:ascii="Arial" w:hAnsi="Arial" w:cs="Arial"/>
                <w:sz w:val="20"/>
                <w:szCs w:val="20"/>
              </w:rPr>
              <w:t xml:space="preserve"> is required</w:t>
            </w:r>
            <w:r w:rsidR="0023021E" w:rsidRPr="00B01F9E">
              <w:rPr>
                <w:rFonts w:ascii="Arial" w:hAnsi="Arial" w:cs="Arial"/>
                <w:sz w:val="20"/>
                <w:szCs w:val="20"/>
              </w:rPr>
              <w:t xml:space="preserve"> </w:t>
            </w:r>
            <w:r w:rsidR="00D6709C" w:rsidRPr="00B01F9E">
              <w:rPr>
                <w:rFonts w:ascii="Arial" w:hAnsi="Arial" w:cs="Arial"/>
                <w:sz w:val="20"/>
                <w:szCs w:val="20"/>
              </w:rPr>
              <w:t>or when</w:t>
            </w:r>
            <w:r w:rsidR="0023021E" w:rsidRPr="00B01F9E">
              <w:rPr>
                <w:rFonts w:ascii="Arial" w:hAnsi="Arial" w:cs="Arial"/>
                <w:sz w:val="20"/>
                <w:szCs w:val="20"/>
              </w:rPr>
              <w:t xml:space="preserve"> there is a new release of the LIDR file</w:t>
            </w:r>
            <w:r w:rsidR="00C41CED" w:rsidRPr="00B01F9E">
              <w:rPr>
                <w:rFonts w:ascii="Arial" w:hAnsi="Arial" w:cs="Arial"/>
                <w:sz w:val="20"/>
                <w:szCs w:val="20"/>
              </w:rPr>
              <w:t>.</w:t>
            </w:r>
            <w:r w:rsidR="006F44B5" w:rsidRPr="00B01F9E">
              <w:rPr>
                <w:rFonts w:ascii="Arial" w:hAnsi="Arial" w:cs="Arial"/>
                <w:sz w:val="20"/>
                <w:szCs w:val="20"/>
              </w:rPr>
              <w:t xml:space="preserve"> </w:t>
            </w:r>
          </w:p>
        </w:tc>
      </w:tr>
      <w:tr w:rsidR="001E26F7" w:rsidRPr="00B01F9E" w14:paraId="6EBC901D" w14:textId="77777777" w:rsidTr="00C93C67">
        <w:tc>
          <w:tcPr>
            <w:tcW w:w="3055" w:type="dxa"/>
          </w:tcPr>
          <w:p w14:paraId="5447BCA4" w14:textId="79499710" w:rsidR="001E26F7" w:rsidRPr="00B01F9E" w:rsidRDefault="001E26F7" w:rsidP="00C93C67">
            <w:pPr>
              <w:rPr>
                <w:rFonts w:ascii="Arial" w:hAnsi="Arial" w:cs="Arial"/>
                <w:sz w:val="20"/>
                <w:szCs w:val="20"/>
              </w:rPr>
            </w:pPr>
            <w:r w:rsidRPr="00B01F9E">
              <w:rPr>
                <w:rFonts w:ascii="Arial" w:hAnsi="Arial" w:cs="Arial"/>
                <w:sz w:val="20"/>
                <w:szCs w:val="20"/>
              </w:rPr>
              <w:t xml:space="preserve">Email </w:t>
            </w:r>
            <w:r w:rsidR="002F51B1" w:rsidRPr="00B01F9E">
              <w:rPr>
                <w:rFonts w:ascii="Arial" w:hAnsi="Arial" w:cs="Arial"/>
                <w:sz w:val="20"/>
                <w:szCs w:val="20"/>
              </w:rPr>
              <w:t>notification</w:t>
            </w:r>
            <w:r w:rsidRPr="00B01F9E">
              <w:rPr>
                <w:rFonts w:ascii="Arial" w:hAnsi="Arial" w:cs="Arial"/>
                <w:sz w:val="20"/>
                <w:szCs w:val="20"/>
              </w:rPr>
              <w:t xml:space="preserve"> </w:t>
            </w:r>
            <w:r w:rsidR="00024352" w:rsidRPr="00B01F9E">
              <w:rPr>
                <w:rFonts w:ascii="Arial" w:hAnsi="Arial" w:cs="Arial"/>
                <w:sz w:val="20"/>
                <w:szCs w:val="20"/>
              </w:rPr>
              <w:t>was</w:t>
            </w:r>
            <w:r w:rsidRPr="00B01F9E">
              <w:rPr>
                <w:rFonts w:ascii="Arial" w:hAnsi="Arial" w:cs="Arial"/>
                <w:sz w:val="20"/>
                <w:szCs w:val="20"/>
              </w:rPr>
              <w:t xml:space="preserve"> the alternate to sending an interface error message</w:t>
            </w:r>
          </w:p>
        </w:tc>
        <w:tc>
          <w:tcPr>
            <w:tcW w:w="6930" w:type="dxa"/>
          </w:tcPr>
          <w:p w14:paraId="5F1CCBA0" w14:textId="26F85E02" w:rsidR="001E26F7" w:rsidRPr="00B01F9E" w:rsidRDefault="001E26F7" w:rsidP="00C93C67">
            <w:pPr>
              <w:rPr>
                <w:rFonts w:ascii="Arial" w:hAnsi="Arial" w:cs="Arial"/>
                <w:sz w:val="20"/>
                <w:szCs w:val="20"/>
              </w:rPr>
            </w:pPr>
            <w:r w:rsidRPr="00B01F9E">
              <w:rPr>
                <w:rFonts w:ascii="Arial" w:hAnsi="Arial" w:cs="Arial"/>
                <w:sz w:val="20"/>
                <w:szCs w:val="20"/>
              </w:rPr>
              <w:t xml:space="preserve">Once the HL7 message </w:t>
            </w:r>
            <w:r w:rsidR="009B7F09" w:rsidRPr="00B01F9E">
              <w:rPr>
                <w:rFonts w:ascii="Arial" w:hAnsi="Arial" w:cs="Arial"/>
                <w:sz w:val="20"/>
                <w:szCs w:val="20"/>
              </w:rPr>
              <w:t>was</w:t>
            </w:r>
            <w:r w:rsidRPr="00B01F9E">
              <w:rPr>
                <w:rFonts w:ascii="Arial" w:hAnsi="Arial" w:cs="Arial"/>
                <w:sz w:val="20"/>
                <w:szCs w:val="20"/>
              </w:rPr>
              <w:t xml:space="preserve"> filed and parsed, the analysis t</w:t>
            </w:r>
            <w:r w:rsidR="009B7F09" w:rsidRPr="00B01F9E">
              <w:rPr>
                <w:rFonts w:ascii="Arial" w:hAnsi="Arial" w:cs="Arial"/>
                <w:sz w:val="20"/>
                <w:szCs w:val="20"/>
              </w:rPr>
              <w:t>ook</w:t>
            </w:r>
            <w:r w:rsidRPr="00B01F9E">
              <w:rPr>
                <w:rFonts w:ascii="Arial" w:hAnsi="Arial" w:cs="Arial"/>
                <w:sz w:val="20"/>
                <w:szCs w:val="20"/>
              </w:rPr>
              <w:t xml:space="preserve"> a few minutes. The email </w:t>
            </w:r>
            <w:r w:rsidR="007D45DD" w:rsidRPr="00B01F9E">
              <w:rPr>
                <w:rFonts w:ascii="Arial" w:hAnsi="Arial" w:cs="Arial"/>
                <w:sz w:val="20"/>
                <w:szCs w:val="20"/>
              </w:rPr>
              <w:t xml:space="preserve">notification </w:t>
            </w:r>
            <w:r w:rsidRPr="00B01F9E">
              <w:rPr>
                <w:rFonts w:ascii="Arial" w:hAnsi="Arial" w:cs="Arial"/>
                <w:sz w:val="20"/>
                <w:szCs w:val="20"/>
              </w:rPr>
              <w:t>appear</w:t>
            </w:r>
            <w:r w:rsidR="00075302" w:rsidRPr="00B01F9E">
              <w:rPr>
                <w:rFonts w:ascii="Arial" w:hAnsi="Arial" w:cs="Arial"/>
                <w:sz w:val="20"/>
                <w:szCs w:val="20"/>
              </w:rPr>
              <w:t>ed</w:t>
            </w:r>
            <w:r w:rsidRPr="00B01F9E">
              <w:rPr>
                <w:rFonts w:ascii="Arial" w:hAnsi="Arial" w:cs="Arial"/>
                <w:sz w:val="20"/>
                <w:szCs w:val="20"/>
              </w:rPr>
              <w:t xml:space="preserve"> in the inbox of the recipient within a few minutes</w:t>
            </w:r>
            <w:r w:rsidR="00075302" w:rsidRPr="00B01F9E">
              <w:rPr>
                <w:rFonts w:ascii="Arial" w:hAnsi="Arial" w:cs="Arial"/>
                <w:sz w:val="20"/>
                <w:szCs w:val="20"/>
              </w:rPr>
              <w:t xml:space="preserve">, </w:t>
            </w:r>
            <w:r w:rsidR="009B7F09" w:rsidRPr="00B01F9E">
              <w:rPr>
                <w:rFonts w:ascii="Arial" w:hAnsi="Arial" w:cs="Arial"/>
                <w:sz w:val="20"/>
                <w:szCs w:val="20"/>
              </w:rPr>
              <w:t>depend</w:t>
            </w:r>
            <w:r w:rsidR="00075302" w:rsidRPr="00B01F9E">
              <w:rPr>
                <w:rFonts w:ascii="Arial" w:hAnsi="Arial" w:cs="Arial"/>
                <w:sz w:val="20"/>
                <w:szCs w:val="20"/>
              </w:rPr>
              <w:t>ing</w:t>
            </w:r>
            <w:r w:rsidRPr="00B01F9E">
              <w:rPr>
                <w:rFonts w:ascii="Arial" w:hAnsi="Arial" w:cs="Arial"/>
                <w:sz w:val="20"/>
                <w:szCs w:val="20"/>
              </w:rPr>
              <w:t xml:space="preserve"> on the security features and firewalls of the receiving email inbox.</w:t>
            </w:r>
          </w:p>
        </w:tc>
      </w:tr>
      <w:tr w:rsidR="001E26F7" w:rsidRPr="00B01F9E" w14:paraId="0AEE2AB9" w14:textId="77777777" w:rsidTr="00C93C67">
        <w:tc>
          <w:tcPr>
            <w:tcW w:w="3055" w:type="dxa"/>
          </w:tcPr>
          <w:p w14:paraId="52F1A451" w14:textId="17AEE6C1" w:rsidR="001E26F7" w:rsidRPr="00B01F9E" w:rsidRDefault="001E26F7" w:rsidP="00C93C67">
            <w:pPr>
              <w:rPr>
                <w:rFonts w:ascii="Arial" w:hAnsi="Arial" w:cs="Arial"/>
                <w:sz w:val="20"/>
                <w:szCs w:val="20"/>
              </w:rPr>
            </w:pPr>
            <w:r w:rsidRPr="00B01F9E">
              <w:rPr>
                <w:rFonts w:ascii="Arial" w:hAnsi="Arial" w:cs="Arial"/>
                <w:sz w:val="20"/>
                <w:szCs w:val="20"/>
              </w:rPr>
              <w:t xml:space="preserve">Emailing the LIDR Administrator when repeated failures may indicate an IVD </w:t>
            </w:r>
            <w:r w:rsidR="008A5CA1" w:rsidRPr="00B01F9E">
              <w:rPr>
                <w:rFonts w:ascii="Arial" w:hAnsi="Arial" w:cs="Arial"/>
                <w:sz w:val="20"/>
                <w:szCs w:val="20"/>
              </w:rPr>
              <w:t>v</w:t>
            </w:r>
            <w:r w:rsidRPr="00B01F9E">
              <w:rPr>
                <w:rFonts w:ascii="Arial" w:hAnsi="Arial" w:cs="Arial"/>
                <w:sz w:val="20"/>
                <w:szCs w:val="20"/>
              </w:rPr>
              <w:t>endor error</w:t>
            </w:r>
          </w:p>
        </w:tc>
        <w:tc>
          <w:tcPr>
            <w:tcW w:w="6930" w:type="dxa"/>
          </w:tcPr>
          <w:p w14:paraId="1B3993F7" w14:textId="7422C8EC" w:rsidR="001E26F7" w:rsidRPr="00B01F9E" w:rsidRDefault="001E26F7" w:rsidP="00C93C67">
            <w:pPr>
              <w:rPr>
                <w:rFonts w:ascii="Arial" w:hAnsi="Arial" w:cs="Arial"/>
                <w:sz w:val="20"/>
                <w:szCs w:val="20"/>
              </w:rPr>
            </w:pPr>
            <w:r w:rsidRPr="00B01F9E">
              <w:rPr>
                <w:rFonts w:ascii="Arial" w:hAnsi="Arial" w:cs="Arial"/>
                <w:sz w:val="20"/>
                <w:szCs w:val="20"/>
              </w:rPr>
              <w:t xml:space="preserve">The logic built for the CAP analyses of the encoded LIDR data </w:t>
            </w:r>
            <w:r w:rsidR="008A5CA1" w:rsidRPr="00B01F9E">
              <w:rPr>
                <w:rFonts w:ascii="Arial" w:hAnsi="Arial" w:cs="Arial"/>
                <w:sz w:val="20"/>
                <w:szCs w:val="20"/>
              </w:rPr>
              <w:t>was</w:t>
            </w:r>
            <w:r w:rsidRPr="00B01F9E">
              <w:rPr>
                <w:rFonts w:ascii="Arial" w:hAnsi="Arial" w:cs="Arial"/>
                <w:sz w:val="20"/>
                <w:szCs w:val="20"/>
              </w:rPr>
              <w:t xml:space="preserve"> developed to monitor the recurrence of data element failures for tests performed by the same IVD test </w:t>
            </w:r>
            <w:r w:rsidR="00AD42A8" w:rsidRPr="00B01F9E">
              <w:rPr>
                <w:rFonts w:ascii="Arial" w:hAnsi="Arial" w:cs="Arial"/>
                <w:sz w:val="20"/>
                <w:szCs w:val="20"/>
              </w:rPr>
              <w:t>manufacturer</w:t>
            </w:r>
            <w:r w:rsidR="00F152F7" w:rsidRPr="00B01F9E">
              <w:rPr>
                <w:rFonts w:ascii="Arial" w:hAnsi="Arial" w:cs="Arial"/>
                <w:sz w:val="20"/>
                <w:szCs w:val="20"/>
              </w:rPr>
              <w:t xml:space="preserve"> </w:t>
            </w:r>
            <w:r w:rsidRPr="00B01F9E">
              <w:rPr>
                <w:rFonts w:ascii="Arial" w:hAnsi="Arial" w:cs="Arial"/>
                <w:sz w:val="20"/>
                <w:szCs w:val="20"/>
              </w:rPr>
              <w:t xml:space="preserve">method and from multiple laboratories. The compilation of failures from both the Instance Error Check and the </w:t>
            </w:r>
            <w:r w:rsidR="00394552" w:rsidRPr="00B01F9E">
              <w:rPr>
                <w:rFonts w:ascii="Arial" w:hAnsi="Arial" w:cs="Arial"/>
                <w:sz w:val="20"/>
                <w:szCs w:val="20"/>
              </w:rPr>
              <w:t xml:space="preserve">LIDR </w:t>
            </w:r>
            <w:r w:rsidRPr="00B01F9E">
              <w:rPr>
                <w:rFonts w:ascii="Arial" w:hAnsi="Arial" w:cs="Arial"/>
                <w:sz w:val="20"/>
                <w:szCs w:val="20"/>
              </w:rPr>
              <w:t xml:space="preserve">Test Compendium Error Check </w:t>
            </w:r>
            <w:r w:rsidR="00523F96" w:rsidRPr="00B01F9E">
              <w:rPr>
                <w:rFonts w:ascii="Arial" w:hAnsi="Arial" w:cs="Arial"/>
                <w:sz w:val="20"/>
                <w:szCs w:val="20"/>
              </w:rPr>
              <w:t xml:space="preserve">were </w:t>
            </w:r>
            <w:r w:rsidRPr="00B01F9E">
              <w:rPr>
                <w:rFonts w:ascii="Arial" w:hAnsi="Arial" w:cs="Arial"/>
                <w:sz w:val="20"/>
                <w:szCs w:val="20"/>
              </w:rPr>
              <w:t xml:space="preserve">used to trigger an email to the LIDR </w:t>
            </w:r>
            <w:r w:rsidR="009B7F09" w:rsidRPr="00B01F9E">
              <w:rPr>
                <w:rFonts w:ascii="Arial" w:hAnsi="Arial" w:cs="Arial"/>
                <w:sz w:val="20"/>
                <w:szCs w:val="20"/>
              </w:rPr>
              <w:t>A</w:t>
            </w:r>
            <w:r w:rsidRPr="00B01F9E">
              <w:rPr>
                <w:rFonts w:ascii="Arial" w:hAnsi="Arial" w:cs="Arial"/>
                <w:sz w:val="20"/>
                <w:szCs w:val="20"/>
              </w:rPr>
              <w:t xml:space="preserve">dministrator when a threshold of errors is exceeded for a reported test data element from an IVD </w:t>
            </w:r>
            <w:r w:rsidR="002D3C25" w:rsidRPr="00B01F9E">
              <w:rPr>
                <w:rFonts w:ascii="Arial" w:hAnsi="Arial" w:cs="Arial"/>
                <w:sz w:val="20"/>
                <w:szCs w:val="20"/>
              </w:rPr>
              <w:t xml:space="preserve">test manufacturer </w:t>
            </w:r>
            <w:r w:rsidRPr="00B01F9E">
              <w:rPr>
                <w:rFonts w:ascii="Arial" w:hAnsi="Arial" w:cs="Arial"/>
                <w:sz w:val="20"/>
                <w:szCs w:val="20"/>
              </w:rPr>
              <w:t>method. The purpose</w:t>
            </w:r>
            <w:r w:rsidR="002E09B2" w:rsidRPr="00B01F9E">
              <w:rPr>
                <w:rFonts w:ascii="Arial" w:hAnsi="Arial" w:cs="Arial"/>
                <w:sz w:val="20"/>
                <w:szCs w:val="20"/>
              </w:rPr>
              <w:t xml:space="preserve"> was </w:t>
            </w:r>
            <w:r w:rsidRPr="00B01F9E">
              <w:rPr>
                <w:rFonts w:ascii="Arial" w:hAnsi="Arial" w:cs="Arial"/>
                <w:sz w:val="20"/>
                <w:szCs w:val="20"/>
              </w:rPr>
              <w:t xml:space="preserve">to notify the LIDR </w:t>
            </w:r>
            <w:r w:rsidR="002E09B2" w:rsidRPr="00B01F9E">
              <w:rPr>
                <w:rFonts w:ascii="Arial" w:hAnsi="Arial" w:cs="Arial"/>
                <w:sz w:val="20"/>
                <w:szCs w:val="20"/>
              </w:rPr>
              <w:t>A</w:t>
            </w:r>
            <w:r w:rsidRPr="00B01F9E">
              <w:rPr>
                <w:rFonts w:ascii="Arial" w:hAnsi="Arial" w:cs="Arial"/>
                <w:sz w:val="20"/>
                <w:szCs w:val="20"/>
              </w:rPr>
              <w:t xml:space="preserve">dministrator that the </w:t>
            </w:r>
            <w:r w:rsidR="006A4205" w:rsidRPr="00B01F9E">
              <w:rPr>
                <w:rFonts w:ascii="Arial" w:hAnsi="Arial" w:cs="Arial"/>
                <w:sz w:val="20"/>
                <w:szCs w:val="20"/>
              </w:rPr>
              <w:t xml:space="preserve">failed </w:t>
            </w:r>
            <w:r w:rsidRPr="00B01F9E">
              <w:rPr>
                <w:rFonts w:ascii="Arial" w:hAnsi="Arial" w:cs="Arial"/>
                <w:sz w:val="20"/>
                <w:szCs w:val="20"/>
              </w:rPr>
              <w:t xml:space="preserve">element may be due to </w:t>
            </w:r>
            <w:r w:rsidR="00863C24" w:rsidRPr="00B01F9E">
              <w:rPr>
                <w:rFonts w:ascii="Arial" w:hAnsi="Arial" w:cs="Arial"/>
                <w:sz w:val="20"/>
                <w:szCs w:val="20"/>
              </w:rPr>
              <w:t>a</w:t>
            </w:r>
            <w:r w:rsidR="00664730" w:rsidRPr="00B01F9E">
              <w:rPr>
                <w:rFonts w:ascii="Arial" w:hAnsi="Arial" w:cs="Arial"/>
                <w:sz w:val="20"/>
                <w:szCs w:val="20"/>
              </w:rPr>
              <w:t>n</w:t>
            </w:r>
            <w:r w:rsidR="006569BA" w:rsidRPr="00B01F9E">
              <w:rPr>
                <w:rFonts w:ascii="Arial" w:hAnsi="Arial" w:cs="Arial"/>
                <w:sz w:val="20"/>
                <w:szCs w:val="20"/>
              </w:rPr>
              <w:t xml:space="preserve"> IVD manufacturer </w:t>
            </w:r>
            <w:r w:rsidR="00863C24" w:rsidRPr="00B01F9E">
              <w:rPr>
                <w:rFonts w:ascii="Arial" w:hAnsi="Arial" w:cs="Arial"/>
                <w:sz w:val="20"/>
                <w:szCs w:val="20"/>
              </w:rPr>
              <w:t>communication issue to clients.</w:t>
            </w:r>
          </w:p>
        </w:tc>
      </w:tr>
      <w:tr w:rsidR="00951F74" w:rsidRPr="00B01F9E" w14:paraId="1CE48C80" w14:textId="77777777" w:rsidTr="00C93C67">
        <w:tc>
          <w:tcPr>
            <w:tcW w:w="9985" w:type="dxa"/>
            <w:gridSpan w:val="2"/>
            <w:shd w:val="clear" w:color="auto" w:fill="C3C6C8" w:themeFill="background1"/>
          </w:tcPr>
          <w:p w14:paraId="3991793B" w14:textId="166B2A2C" w:rsidR="00951F74" w:rsidRPr="00B01F9E" w:rsidRDefault="00951F74" w:rsidP="00C93C67">
            <w:pPr>
              <w:rPr>
                <w:rFonts w:ascii="Arial" w:hAnsi="Arial" w:cs="Arial"/>
                <w:sz w:val="20"/>
                <w:szCs w:val="20"/>
              </w:rPr>
            </w:pPr>
            <w:r w:rsidRPr="00B01F9E">
              <w:rPr>
                <w:rFonts w:ascii="Arial" w:hAnsi="Arial" w:cs="Arial"/>
                <w:b/>
                <w:bCs/>
                <w:sz w:val="20"/>
                <w:szCs w:val="20"/>
              </w:rPr>
              <w:t>Related to Training and Education</w:t>
            </w:r>
          </w:p>
        </w:tc>
      </w:tr>
      <w:tr w:rsidR="001E26F7" w:rsidRPr="00B01F9E" w14:paraId="6DB16537" w14:textId="77777777" w:rsidTr="00C93C67">
        <w:tc>
          <w:tcPr>
            <w:tcW w:w="3055" w:type="dxa"/>
          </w:tcPr>
          <w:p w14:paraId="06EEC998" w14:textId="61B2195B" w:rsidR="001E26F7" w:rsidRPr="00B01F9E" w:rsidRDefault="001E26F7" w:rsidP="00C93C67">
            <w:pPr>
              <w:rPr>
                <w:rFonts w:ascii="Arial" w:hAnsi="Arial" w:cs="Arial"/>
                <w:sz w:val="20"/>
                <w:szCs w:val="20"/>
              </w:rPr>
            </w:pPr>
            <w:r w:rsidRPr="00B01F9E">
              <w:rPr>
                <w:rFonts w:ascii="Arial" w:hAnsi="Arial" w:cs="Arial"/>
                <w:sz w:val="20"/>
                <w:szCs w:val="20"/>
              </w:rPr>
              <w:t xml:space="preserve">Creating </w:t>
            </w:r>
            <w:r w:rsidR="00F04319" w:rsidRPr="00B01F9E">
              <w:rPr>
                <w:rFonts w:ascii="Arial" w:hAnsi="Arial" w:cs="Arial"/>
                <w:sz w:val="20"/>
                <w:szCs w:val="20"/>
              </w:rPr>
              <w:t>T</w:t>
            </w:r>
            <w:r w:rsidRPr="00B01F9E">
              <w:rPr>
                <w:rFonts w:ascii="Arial" w:hAnsi="Arial" w:cs="Arial"/>
                <w:sz w:val="20"/>
                <w:szCs w:val="20"/>
              </w:rPr>
              <w:t xml:space="preserve">echnical </w:t>
            </w:r>
            <w:r w:rsidR="00F04319" w:rsidRPr="00B01F9E">
              <w:rPr>
                <w:rFonts w:ascii="Arial" w:hAnsi="Arial" w:cs="Arial"/>
                <w:sz w:val="20"/>
                <w:szCs w:val="20"/>
              </w:rPr>
              <w:t>G</w:t>
            </w:r>
            <w:r w:rsidRPr="00B01F9E">
              <w:rPr>
                <w:rFonts w:ascii="Arial" w:hAnsi="Arial" w:cs="Arial"/>
                <w:sz w:val="20"/>
                <w:szCs w:val="20"/>
              </w:rPr>
              <w:t>uide utilizing Epic screenshots</w:t>
            </w:r>
          </w:p>
        </w:tc>
        <w:tc>
          <w:tcPr>
            <w:tcW w:w="6930" w:type="dxa"/>
          </w:tcPr>
          <w:p w14:paraId="11B87D73" w14:textId="088395DF" w:rsidR="001E26F7" w:rsidRPr="00B01F9E" w:rsidRDefault="001E26F7" w:rsidP="00C93C67">
            <w:pPr>
              <w:rPr>
                <w:rFonts w:ascii="Arial" w:hAnsi="Arial" w:cs="Arial"/>
                <w:sz w:val="20"/>
                <w:szCs w:val="20"/>
              </w:rPr>
            </w:pPr>
            <w:r w:rsidRPr="00B01F9E">
              <w:rPr>
                <w:rFonts w:ascii="Arial" w:hAnsi="Arial" w:cs="Arial"/>
                <w:sz w:val="20"/>
                <w:szCs w:val="20"/>
              </w:rPr>
              <w:t xml:space="preserve">Epic </w:t>
            </w:r>
            <w:r w:rsidR="00831EF8" w:rsidRPr="00B01F9E">
              <w:rPr>
                <w:rFonts w:ascii="Arial" w:hAnsi="Arial" w:cs="Arial"/>
                <w:sz w:val="20"/>
                <w:szCs w:val="20"/>
              </w:rPr>
              <w:t>approved use of select inte</w:t>
            </w:r>
            <w:r w:rsidR="00EE41F3" w:rsidRPr="00B01F9E">
              <w:rPr>
                <w:rFonts w:ascii="Arial" w:hAnsi="Arial" w:cs="Arial"/>
                <w:sz w:val="20"/>
                <w:szCs w:val="20"/>
              </w:rPr>
              <w:t xml:space="preserve">llectual property </w:t>
            </w:r>
            <w:r w:rsidR="00685945" w:rsidRPr="00B01F9E">
              <w:rPr>
                <w:rFonts w:ascii="Arial" w:hAnsi="Arial" w:cs="Arial"/>
                <w:sz w:val="20"/>
                <w:szCs w:val="20"/>
              </w:rPr>
              <w:t>for use in the</w:t>
            </w:r>
            <w:r w:rsidR="00801527" w:rsidRPr="00B01F9E">
              <w:rPr>
                <w:rFonts w:ascii="Arial" w:hAnsi="Arial" w:cs="Arial"/>
                <w:sz w:val="20"/>
                <w:szCs w:val="20"/>
              </w:rPr>
              <w:t xml:space="preserve"> QA Program</w:t>
            </w:r>
            <w:r w:rsidR="00685945" w:rsidRPr="00B01F9E">
              <w:rPr>
                <w:rFonts w:ascii="Arial" w:hAnsi="Arial" w:cs="Arial"/>
                <w:sz w:val="20"/>
                <w:szCs w:val="20"/>
              </w:rPr>
              <w:t xml:space="preserve"> training </w:t>
            </w:r>
            <w:r w:rsidR="00801527" w:rsidRPr="00B01F9E">
              <w:rPr>
                <w:rFonts w:ascii="Arial" w:hAnsi="Arial" w:cs="Arial"/>
                <w:sz w:val="20"/>
                <w:szCs w:val="20"/>
              </w:rPr>
              <w:t xml:space="preserve">and education </w:t>
            </w:r>
            <w:r w:rsidR="00685945" w:rsidRPr="00B01F9E">
              <w:rPr>
                <w:rFonts w:ascii="Arial" w:hAnsi="Arial" w:cs="Arial"/>
                <w:sz w:val="20"/>
                <w:szCs w:val="20"/>
              </w:rPr>
              <w:t xml:space="preserve">materials. </w:t>
            </w:r>
            <w:r w:rsidRPr="00B01F9E">
              <w:rPr>
                <w:rFonts w:ascii="Arial" w:hAnsi="Arial" w:cs="Arial"/>
                <w:sz w:val="20"/>
                <w:szCs w:val="20"/>
              </w:rPr>
              <w:t>They developed a formal process for content approval and allow</w:t>
            </w:r>
            <w:r w:rsidR="00823BC6" w:rsidRPr="00B01F9E">
              <w:rPr>
                <w:rFonts w:ascii="Arial" w:hAnsi="Arial" w:cs="Arial"/>
                <w:sz w:val="20"/>
                <w:szCs w:val="20"/>
              </w:rPr>
              <w:t>ed</w:t>
            </w:r>
            <w:r w:rsidRPr="00B01F9E">
              <w:rPr>
                <w:rFonts w:ascii="Arial" w:hAnsi="Arial" w:cs="Arial"/>
                <w:sz w:val="20"/>
                <w:szCs w:val="20"/>
              </w:rPr>
              <w:t xml:space="preserve"> the </w:t>
            </w:r>
            <w:r w:rsidR="00C41CED" w:rsidRPr="00B01F9E">
              <w:rPr>
                <w:rFonts w:ascii="Arial" w:hAnsi="Arial" w:cs="Arial"/>
                <w:sz w:val="20"/>
                <w:szCs w:val="20"/>
              </w:rPr>
              <w:t>T</w:t>
            </w:r>
            <w:r w:rsidRPr="00B01F9E">
              <w:rPr>
                <w:rFonts w:ascii="Arial" w:hAnsi="Arial" w:cs="Arial"/>
                <w:sz w:val="20"/>
                <w:szCs w:val="20"/>
              </w:rPr>
              <w:t xml:space="preserve">echnical </w:t>
            </w:r>
            <w:r w:rsidR="00C41CED" w:rsidRPr="00B01F9E">
              <w:rPr>
                <w:rFonts w:ascii="Arial" w:hAnsi="Arial" w:cs="Arial"/>
                <w:sz w:val="20"/>
                <w:szCs w:val="20"/>
              </w:rPr>
              <w:t>G</w:t>
            </w:r>
            <w:r w:rsidRPr="00B01F9E">
              <w:rPr>
                <w:rFonts w:ascii="Arial" w:hAnsi="Arial" w:cs="Arial"/>
                <w:sz w:val="20"/>
                <w:szCs w:val="20"/>
              </w:rPr>
              <w:t xml:space="preserve">uide to be stored by Epic with the appropriate administrative screenshots available. </w:t>
            </w:r>
            <w:r w:rsidR="00702D72" w:rsidRPr="00B01F9E">
              <w:rPr>
                <w:rFonts w:ascii="Arial" w:hAnsi="Arial" w:cs="Arial"/>
                <w:sz w:val="20"/>
                <w:szCs w:val="20"/>
              </w:rPr>
              <w:t>The guide</w:t>
            </w:r>
            <w:r w:rsidR="002C382F" w:rsidRPr="00B01F9E">
              <w:rPr>
                <w:rFonts w:ascii="Arial" w:hAnsi="Arial" w:cs="Arial"/>
                <w:sz w:val="20"/>
                <w:szCs w:val="20"/>
              </w:rPr>
              <w:t xml:space="preserve"> can be accessed by Epic customers via a link should the implementation of the QA Program go forward. </w:t>
            </w:r>
          </w:p>
        </w:tc>
      </w:tr>
    </w:tbl>
    <w:p w14:paraId="15ABF897" w14:textId="77777777" w:rsidR="00C95E74" w:rsidRPr="00B01F9E" w:rsidRDefault="00C95E74">
      <w:pPr>
        <w:rPr>
          <w:rFonts w:ascii="Arial" w:eastAsiaTheme="majorEastAsia" w:hAnsi="Arial" w:cs="Arial"/>
          <w:b/>
          <w:bCs/>
          <w:color w:val="009BBF"/>
          <w:sz w:val="20"/>
          <w:szCs w:val="20"/>
        </w:rPr>
      </w:pPr>
      <w:r w:rsidRPr="00B01F9E">
        <w:rPr>
          <w:rFonts w:ascii="Arial" w:hAnsi="Arial" w:cs="Arial"/>
          <w:b/>
          <w:bCs/>
          <w:color w:val="009BBF"/>
          <w:sz w:val="20"/>
          <w:szCs w:val="20"/>
        </w:rPr>
        <w:br w:type="page"/>
      </w:r>
    </w:p>
    <w:p w14:paraId="46555715" w14:textId="643D96DE" w:rsidR="00546F1D" w:rsidRPr="00B01F9E" w:rsidRDefault="009F1F82" w:rsidP="009C7574">
      <w:pPr>
        <w:pStyle w:val="Heading2"/>
        <w:spacing w:before="120" w:after="120"/>
        <w:rPr>
          <w:rFonts w:ascii="Arial" w:hAnsi="Arial" w:cs="Arial"/>
          <w:b/>
          <w:bCs/>
          <w:color w:val="009BBF"/>
          <w:sz w:val="20"/>
          <w:szCs w:val="20"/>
        </w:rPr>
      </w:pPr>
      <w:bookmarkStart w:id="357" w:name="_Toc177137003"/>
      <w:r w:rsidRPr="00B01F9E">
        <w:rPr>
          <w:rFonts w:ascii="Arial" w:hAnsi="Arial" w:cs="Arial"/>
          <w:b/>
          <w:bCs/>
          <w:color w:val="009BBF"/>
          <w:sz w:val="20"/>
          <w:szCs w:val="20"/>
        </w:rPr>
        <w:lastRenderedPageBreak/>
        <w:t>3</w:t>
      </w:r>
      <w:r w:rsidR="00546F1D" w:rsidRPr="00B01F9E">
        <w:rPr>
          <w:rFonts w:ascii="Arial" w:hAnsi="Arial" w:cs="Arial"/>
          <w:b/>
          <w:bCs/>
          <w:color w:val="009BBF"/>
          <w:sz w:val="20"/>
          <w:szCs w:val="20"/>
        </w:rPr>
        <w:t>.</w:t>
      </w:r>
      <w:r w:rsidR="00A83026" w:rsidRPr="00B01F9E">
        <w:rPr>
          <w:rFonts w:ascii="Arial" w:hAnsi="Arial" w:cs="Arial"/>
          <w:b/>
          <w:bCs/>
          <w:color w:val="009BBF"/>
          <w:sz w:val="20"/>
          <w:szCs w:val="20"/>
        </w:rPr>
        <w:t>9</w:t>
      </w:r>
      <w:r w:rsidR="00546F1D" w:rsidRPr="00B01F9E">
        <w:rPr>
          <w:rFonts w:ascii="Arial" w:hAnsi="Arial" w:cs="Arial"/>
          <w:b/>
          <w:bCs/>
          <w:color w:val="009BBF"/>
          <w:sz w:val="20"/>
          <w:szCs w:val="20"/>
        </w:rPr>
        <w:t xml:space="preserve"> Lessons Learned</w:t>
      </w:r>
      <w:bookmarkEnd w:id="357"/>
      <w:r w:rsidR="00546F1D" w:rsidRPr="00B01F9E">
        <w:rPr>
          <w:rFonts w:ascii="Arial" w:hAnsi="Arial" w:cs="Arial"/>
          <w:b/>
          <w:bCs/>
          <w:color w:val="009BBF"/>
          <w:sz w:val="20"/>
          <w:szCs w:val="20"/>
        </w:rPr>
        <w:t xml:space="preserve"> </w:t>
      </w:r>
    </w:p>
    <w:p w14:paraId="1F2498DE" w14:textId="774AD43C" w:rsidR="00FE203E" w:rsidRPr="00B01F9E" w:rsidRDefault="002542F9" w:rsidP="00FB088B">
      <w:pPr>
        <w:spacing w:after="120"/>
        <w:rPr>
          <w:rFonts w:ascii="Arial" w:hAnsi="Arial" w:cs="Arial"/>
          <w:sz w:val="20"/>
          <w:szCs w:val="20"/>
        </w:rPr>
      </w:pPr>
      <w:r w:rsidRPr="00B01F9E">
        <w:rPr>
          <w:rFonts w:ascii="Arial" w:hAnsi="Arial" w:cs="Arial"/>
          <w:sz w:val="20"/>
          <w:szCs w:val="20"/>
        </w:rPr>
        <w:t>To encourage continuous improvement and progress for the QA Program POC, the CAP utilized resources such as test</w:t>
      </w:r>
      <w:r w:rsidR="006B7D20" w:rsidRPr="00B01F9E">
        <w:rPr>
          <w:rFonts w:ascii="Arial" w:hAnsi="Arial" w:cs="Arial"/>
          <w:sz w:val="20"/>
          <w:szCs w:val="20"/>
        </w:rPr>
        <w:t>ing</w:t>
      </w:r>
      <w:r w:rsidRPr="00B01F9E">
        <w:rPr>
          <w:rFonts w:ascii="Arial" w:hAnsi="Arial" w:cs="Arial"/>
          <w:sz w:val="20"/>
          <w:szCs w:val="20"/>
        </w:rPr>
        <w:t xml:space="preserve"> results, vendor feedback surveys, and open discussions to identify opportunities for enhancing future work, design, and collaboration. </w:t>
      </w:r>
      <w:r w:rsidR="00DA2825" w:rsidRPr="00B01F9E">
        <w:rPr>
          <w:rFonts w:ascii="Arial" w:hAnsi="Arial" w:cs="Arial"/>
          <w:sz w:val="20"/>
          <w:szCs w:val="20"/>
        </w:rPr>
        <w:t>T</w:t>
      </w:r>
      <w:r w:rsidRPr="00B01F9E">
        <w:rPr>
          <w:rFonts w:ascii="Arial" w:hAnsi="Arial" w:cs="Arial"/>
          <w:sz w:val="20"/>
          <w:szCs w:val="20"/>
        </w:rPr>
        <w:t>he CAP,</w:t>
      </w:r>
      <w:r w:rsidR="004A7FD8" w:rsidRPr="00B01F9E">
        <w:rPr>
          <w:rFonts w:ascii="Arial" w:hAnsi="Arial" w:cs="Arial"/>
          <w:sz w:val="20"/>
          <w:szCs w:val="20"/>
        </w:rPr>
        <w:t xml:space="preserve"> </w:t>
      </w:r>
      <w:r w:rsidR="00EC3012" w:rsidRPr="00B01F9E">
        <w:rPr>
          <w:rFonts w:ascii="Arial" w:hAnsi="Arial" w:cs="Arial"/>
          <w:sz w:val="20"/>
          <w:szCs w:val="20"/>
        </w:rPr>
        <w:t>ELLKAY</w:t>
      </w:r>
      <w:r w:rsidR="004A7FD8" w:rsidRPr="00B01F9E">
        <w:rPr>
          <w:rFonts w:ascii="Arial" w:hAnsi="Arial" w:cs="Arial"/>
          <w:sz w:val="20"/>
          <w:szCs w:val="20"/>
        </w:rPr>
        <w:t xml:space="preserve">, and </w:t>
      </w:r>
      <w:r w:rsidRPr="00B01F9E">
        <w:rPr>
          <w:rFonts w:ascii="Arial" w:hAnsi="Arial" w:cs="Arial"/>
          <w:sz w:val="20"/>
          <w:szCs w:val="20"/>
        </w:rPr>
        <w:t>Duke laboratory</w:t>
      </w:r>
      <w:r w:rsidR="0078289D" w:rsidRPr="00B01F9E">
        <w:rPr>
          <w:rFonts w:ascii="Arial" w:hAnsi="Arial" w:cs="Arial"/>
          <w:sz w:val="20"/>
          <w:szCs w:val="20"/>
        </w:rPr>
        <w:t xml:space="preserve"> team</w:t>
      </w:r>
      <w:r w:rsidR="00101959" w:rsidRPr="00B01F9E">
        <w:rPr>
          <w:rFonts w:ascii="Arial" w:hAnsi="Arial" w:cs="Arial"/>
          <w:sz w:val="20"/>
          <w:szCs w:val="20"/>
        </w:rPr>
        <w:t>s</w:t>
      </w:r>
      <w:r w:rsidRPr="00B01F9E">
        <w:rPr>
          <w:rFonts w:ascii="Arial" w:hAnsi="Arial" w:cs="Arial"/>
          <w:sz w:val="20"/>
          <w:szCs w:val="20"/>
        </w:rPr>
        <w:t xml:space="preserve"> provided their perspectives on the lessons learned from the Year 2 POC efforts. </w:t>
      </w:r>
    </w:p>
    <w:p w14:paraId="732CB7CD" w14:textId="330C98A9" w:rsidR="00904880" w:rsidRPr="00B01F9E" w:rsidRDefault="00FE203E" w:rsidP="00FB088B">
      <w:pPr>
        <w:spacing w:after="120"/>
        <w:rPr>
          <w:rFonts w:ascii="Arial" w:hAnsi="Arial" w:cs="Arial"/>
          <w:sz w:val="20"/>
          <w:szCs w:val="20"/>
        </w:rPr>
      </w:pPr>
      <w:r w:rsidRPr="00B01F9E">
        <w:rPr>
          <w:rFonts w:ascii="Arial" w:hAnsi="Arial" w:cs="Arial"/>
          <w:sz w:val="20"/>
          <w:szCs w:val="20"/>
        </w:rPr>
        <w:t xml:space="preserve">Please note that </w:t>
      </w:r>
      <w:r w:rsidR="00BC5528" w:rsidRPr="00B01F9E">
        <w:rPr>
          <w:rFonts w:ascii="Arial" w:hAnsi="Arial" w:cs="Arial"/>
          <w:sz w:val="20"/>
          <w:szCs w:val="20"/>
        </w:rPr>
        <w:t>the feedback provided</w:t>
      </w:r>
      <w:r w:rsidRPr="00B01F9E">
        <w:rPr>
          <w:rFonts w:ascii="Arial" w:hAnsi="Arial" w:cs="Arial"/>
          <w:sz w:val="20"/>
          <w:szCs w:val="20"/>
        </w:rPr>
        <w:t xml:space="preserve"> reflect</w:t>
      </w:r>
      <w:r w:rsidR="008B32DB" w:rsidRPr="00B01F9E">
        <w:rPr>
          <w:rFonts w:ascii="Arial" w:hAnsi="Arial" w:cs="Arial"/>
          <w:sz w:val="20"/>
          <w:szCs w:val="20"/>
        </w:rPr>
        <w:t>s</w:t>
      </w:r>
      <w:r w:rsidRPr="00B01F9E">
        <w:rPr>
          <w:rFonts w:ascii="Arial" w:hAnsi="Arial" w:cs="Arial"/>
          <w:sz w:val="20"/>
          <w:szCs w:val="20"/>
        </w:rPr>
        <w:t xml:space="preserve"> the experience </w:t>
      </w:r>
      <w:r w:rsidR="00B30615" w:rsidRPr="00B01F9E">
        <w:rPr>
          <w:rFonts w:ascii="Arial" w:hAnsi="Arial" w:cs="Arial"/>
          <w:sz w:val="20"/>
          <w:szCs w:val="20"/>
        </w:rPr>
        <w:t>of</w:t>
      </w:r>
      <w:r w:rsidR="001005A4" w:rsidRPr="00B01F9E">
        <w:rPr>
          <w:rFonts w:ascii="Arial" w:hAnsi="Arial" w:cs="Arial"/>
          <w:sz w:val="20"/>
          <w:szCs w:val="20"/>
        </w:rPr>
        <w:t xml:space="preserve"> </w:t>
      </w:r>
      <w:r w:rsidR="004F0C5A" w:rsidRPr="00B01F9E">
        <w:rPr>
          <w:rFonts w:ascii="Arial" w:hAnsi="Arial" w:cs="Arial"/>
          <w:sz w:val="20"/>
          <w:szCs w:val="20"/>
        </w:rPr>
        <w:t xml:space="preserve">implementing a </w:t>
      </w:r>
      <w:r w:rsidRPr="00B01F9E">
        <w:rPr>
          <w:rFonts w:ascii="Arial" w:hAnsi="Arial" w:cs="Arial"/>
          <w:sz w:val="20"/>
          <w:szCs w:val="20"/>
        </w:rPr>
        <w:t>POC using a simulated LIDR and subset of six laboratory tests. The</w:t>
      </w:r>
      <w:r w:rsidR="00A36D60" w:rsidRPr="00B01F9E">
        <w:rPr>
          <w:rFonts w:ascii="Arial" w:hAnsi="Arial" w:cs="Arial"/>
          <w:sz w:val="20"/>
          <w:szCs w:val="20"/>
        </w:rPr>
        <w:t xml:space="preserve"> lessons learned</w:t>
      </w:r>
      <w:r w:rsidRPr="00B01F9E">
        <w:rPr>
          <w:rFonts w:ascii="Arial" w:hAnsi="Arial" w:cs="Arial"/>
          <w:sz w:val="20"/>
          <w:szCs w:val="20"/>
        </w:rPr>
        <w:t xml:space="preserve"> are intended to </w:t>
      </w:r>
      <w:r w:rsidR="00E73A77" w:rsidRPr="00B01F9E">
        <w:rPr>
          <w:rFonts w:ascii="Arial" w:hAnsi="Arial" w:cs="Arial"/>
          <w:sz w:val="20"/>
          <w:szCs w:val="20"/>
        </w:rPr>
        <w:t>promote</w:t>
      </w:r>
      <w:r w:rsidR="004D5875" w:rsidRPr="00B01F9E">
        <w:rPr>
          <w:rFonts w:ascii="Arial" w:hAnsi="Arial" w:cs="Arial"/>
          <w:sz w:val="20"/>
          <w:szCs w:val="20"/>
        </w:rPr>
        <w:t xml:space="preserve"> ongoing enhancements</w:t>
      </w:r>
      <w:r w:rsidRPr="00B01F9E">
        <w:rPr>
          <w:rFonts w:ascii="Arial" w:hAnsi="Arial" w:cs="Arial"/>
          <w:sz w:val="20"/>
          <w:szCs w:val="20"/>
        </w:rPr>
        <w:t xml:space="preserve"> should the POC continue in the future and to provide high-level perspectives on an ideal state for the QA Program. </w:t>
      </w:r>
      <w:r w:rsidR="002542F9" w:rsidRPr="00B01F9E">
        <w:rPr>
          <w:rFonts w:ascii="Arial" w:hAnsi="Arial" w:cs="Arial"/>
          <w:sz w:val="20"/>
          <w:szCs w:val="20"/>
        </w:rPr>
        <w:t>The lessons learned for each group a</w:t>
      </w:r>
      <w:r w:rsidR="0078289D" w:rsidRPr="00B01F9E">
        <w:rPr>
          <w:rFonts w:ascii="Arial" w:hAnsi="Arial" w:cs="Arial"/>
          <w:sz w:val="20"/>
          <w:szCs w:val="20"/>
        </w:rPr>
        <w:t>re</w:t>
      </w:r>
      <w:r w:rsidR="002542F9" w:rsidRPr="00B01F9E">
        <w:rPr>
          <w:rFonts w:ascii="Arial" w:hAnsi="Arial" w:cs="Arial"/>
          <w:sz w:val="20"/>
          <w:szCs w:val="20"/>
        </w:rPr>
        <w:t xml:space="preserve"> summarized in subsequent sections. </w:t>
      </w:r>
    </w:p>
    <w:p w14:paraId="334B6EEF" w14:textId="6C3BD8C0" w:rsidR="000E483C" w:rsidRPr="00B01F9E" w:rsidRDefault="009F1F82" w:rsidP="00FB088B">
      <w:pPr>
        <w:pStyle w:val="Heading3"/>
        <w:spacing w:before="0" w:after="120"/>
        <w:rPr>
          <w:rFonts w:ascii="Arial" w:hAnsi="Arial" w:cs="Arial"/>
          <w:i/>
          <w:iCs/>
          <w:color w:val="009BBF"/>
          <w:sz w:val="20"/>
          <w:szCs w:val="20"/>
        </w:rPr>
      </w:pPr>
      <w:bookmarkStart w:id="358" w:name="_Toc177137004"/>
      <w:r w:rsidRPr="00B01F9E">
        <w:rPr>
          <w:rFonts w:ascii="Arial" w:hAnsi="Arial" w:cs="Arial"/>
          <w:b/>
          <w:i/>
          <w:color w:val="009BBF"/>
          <w:sz w:val="20"/>
          <w:szCs w:val="20"/>
        </w:rPr>
        <w:t>3</w:t>
      </w:r>
      <w:r w:rsidR="000E483C" w:rsidRPr="00B01F9E">
        <w:rPr>
          <w:rFonts w:ascii="Arial" w:hAnsi="Arial" w:cs="Arial"/>
          <w:b/>
          <w:i/>
          <w:color w:val="009BBF"/>
          <w:sz w:val="20"/>
          <w:szCs w:val="20"/>
        </w:rPr>
        <w:t>.</w:t>
      </w:r>
      <w:r w:rsidR="00A83026" w:rsidRPr="00B01F9E">
        <w:rPr>
          <w:rFonts w:ascii="Arial" w:hAnsi="Arial" w:cs="Arial"/>
          <w:b/>
          <w:i/>
          <w:color w:val="009BBF"/>
          <w:sz w:val="20"/>
          <w:szCs w:val="20"/>
        </w:rPr>
        <w:t>9</w:t>
      </w:r>
      <w:r w:rsidR="000E483C" w:rsidRPr="00B01F9E">
        <w:rPr>
          <w:rFonts w:ascii="Arial" w:hAnsi="Arial" w:cs="Arial"/>
          <w:b/>
          <w:i/>
          <w:color w:val="009BBF"/>
          <w:sz w:val="20"/>
          <w:szCs w:val="20"/>
        </w:rPr>
        <w:t>.1 CAP Perspective</w:t>
      </w:r>
      <w:bookmarkEnd w:id="358"/>
      <w:r w:rsidR="000E483C" w:rsidRPr="00B01F9E">
        <w:rPr>
          <w:rFonts w:ascii="Arial" w:hAnsi="Arial" w:cs="Arial"/>
          <w:b/>
          <w:i/>
          <w:color w:val="009BBF"/>
          <w:sz w:val="20"/>
          <w:szCs w:val="20"/>
        </w:rPr>
        <w:t xml:space="preserve"> </w:t>
      </w:r>
    </w:p>
    <w:p w14:paraId="327A6B5D" w14:textId="03FB3E68" w:rsidR="00B9005D" w:rsidRPr="00B01F9E" w:rsidRDefault="006B7D20" w:rsidP="00FB088B">
      <w:pPr>
        <w:spacing w:after="120"/>
        <w:rPr>
          <w:rFonts w:ascii="Arial" w:hAnsi="Arial" w:cs="Arial"/>
          <w:sz w:val="20"/>
          <w:szCs w:val="20"/>
        </w:rPr>
      </w:pPr>
      <w:r w:rsidRPr="00B01F9E">
        <w:rPr>
          <w:rFonts w:ascii="Arial" w:hAnsi="Arial" w:cs="Arial"/>
          <w:sz w:val="20"/>
          <w:szCs w:val="20"/>
        </w:rPr>
        <w:t>Throughout</w:t>
      </w:r>
      <w:r w:rsidR="000E483C" w:rsidRPr="00B01F9E">
        <w:rPr>
          <w:rFonts w:ascii="Arial" w:hAnsi="Arial" w:cs="Arial"/>
          <w:sz w:val="20"/>
          <w:szCs w:val="20"/>
        </w:rPr>
        <w:t xml:space="preserve"> Year 2 development and testing of the POC, the CAP team identified several key takeaways to enhance design and collaboration.</w:t>
      </w:r>
      <w:r w:rsidR="00B9005D" w:rsidRPr="00B01F9E">
        <w:rPr>
          <w:rFonts w:ascii="Arial" w:hAnsi="Arial" w:cs="Arial"/>
          <w:sz w:val="20"/>
          <w:szCs w:val="20"/>
        </w:rPr>
        <w:t xml:space="preserve"> </w:t>
      </w:r>
      <w:r w:rsidR="00D503EA" w:rsidRPr="00B01F9E">
        <w:rPr>
          <w:rFonts w:ascii="Arial" w:hAnsi="Arial" w:cs="Arial"/>
          <w:sz w:val="20"/>
          <w:szCs w:val="20"/>
        </w:rPr>
        <w:t xml:space="preserve">The lessons learned </w:t>
      </w:r>
      <w:r w:rsidR="007732BB" w:rsidRPr="00B01F9E">
        <w:rPr>
          <w:rFonts w:ascii="Arial" w:hAnsi="Arial" w:cs="Arial"/>
          <w:sz w:val="20"/>
          <w:szCs w:val="20"/>
        </w:rPr>
        <w:t>undersc</w:t>
      </w:r>
      <w:r w:rsidR="008E7483" w:rsidRPr="00B01F9E">
        <w:rPr>
          <w:rFonts w:ascii="Arial" w:hAnsi="Arial" w:cs="Arial"/>
          <w:sz w:val="20"/>
          <w:szCs w:val="20"/>
        </w:rPr>
        <w:t>ore the importance of meticulous planning and clear communication to ensure project success.</w:t>
      </w:r>
      <w:r w:rsidR="00B24565" w:rsidRPr="00B01F9E">
        <w:rPr>
          <w:rFonts w:ascii="Arial" w:hAnsi="Arial" w:cs="Arial"/>
          <w:sz w:val="20"/>
          <w:szCs w:val="20"/>
        </w:rPr>
        <w:t xml:space="preserve"> </w:t>
      </w:r>
      <w:r w:rsidR="00F953F8" w:rsidRPr="00B01F9E">
        <w:rPr>
          <w:rFonts w:ascii="Arial" w:hAnsi="Arial" w:cs="Arial"/>
          <w:sz w:val="20"/>
          <w:szCs w:val="20"/>
        </w:rPr>
        <w:t xml:space="preserve">One major takeaway </w:t>
      </w:r>
      <w:r w:rsidR="00B9005D" w:rsidRPr="00B01F9E">
        <w:rPr>
          <w:rFonts w:ascii="Arial" w:hAnsi="Arial" w:cs="Arial"/>
          <w:sz w:val="20"/>
          <w:szCs w:val="20"/>
        </w:rPr>
        <w:t>was</w:t>
      </w:r>
      <w:r w:rsidR="002A6D10" w:rsidRPr="00B01F9E">
        <w:rPr>
          <w:rFonts w:ascii="Arial" w:hAnsi="Arial" w:cs="Arial"/>
          <w:sz w:val="20"/>
          <w:szCs w:val="20"/>
        </w:rPr>
        <w:t xml:space="preserve"> the necessity of planning for rework due to the iterative nature of POC development, which often involves continuous updates and adjustments.</w:t>
      </w:r>
      <w:r w:rsidR="006E5A02" w:rsidRPr="00B01F9E">
        <w:rPr>
          <w:rFonts w:ascii="Arial" w:hAnsi="Arial" w:cs="Arial"/>
          <w:sz w:val="20"/>
          <w:szCs w:val="20"/>
        </w:rPr>
        <w:t xml:space="preserve"> </w:t>
      </w:r>
      <w:r w:rsidR="00B24565" w:rsidRPr="00B01F9E">
        <w:rPr>
          <w:rFonts w:ascii="Arial" w:hAnsi="Arial" w:cs="Arial"/>
          <w:sz w:val="20"/>
          <w:szCs w:val="20"/>
        </w:rPr>
        <w:t>Furthermore, the project highlighted the need for utilizing expert resources from the outset</w:t>
      </w:r>
      <w:r w:rsidR="00B9005D" w:rsidRPr="00B01F9E">
        <w:rPr>
          <w:rFonts w:ascii="Arial" w:hAnsi="Arial" w:cs="Arial"/>
          <w:sz w:val="20"/>
          <w:szCs w:val="20"/>
        </w:rPr>
        <w:t xml:space="preserve"> to ensure smooth development</w:t>
      </w:r>
      <w:r w:rsidR="00604D5C" w:rsidRPr="00B01F9E">
        <w:rPr>
          <w:rFonts w:ascii="Arial" w:hAnsi="Arial" w:cs="Arial"/>
          <w:sz w:val="20"/>
          <w:szCs w:val="20"/>
        </w:rPr>
        <w:t xml:space="preserve">. </w:t>
      </w:r>
    </w:p>
    <w:p w14:paraId="45FF9563" w14:textId="36B6E851" w:rsidR="00101959" w:rsidRPr="00B01F9E" w:rsidRDefault="00101959" w:rsidP="00FB088B">
      <w:pPr>
        <w:spacing w:after="120"/>
        <w:rPr>
          <w:rStyle w:val="cf01"/>
          <w:rFonts w:ascii="Arial" w:hAnsi="Arial" w:cs="Arial"/>
          <w:sz w:val="20"/>
          <w:szCs w:val="20"/>
        </w:rPr>
      </w:pPr>
      <w:r w:rsidRPr="00B01F9E">
        <w:rPr>
          <w:rStyle w:val="cf01"/>
          <w:rFonts w:ascii="Arial" w:hAnsi="Arial" w:cs="Arial"/>
          <w:sz w:val="20"/>
          <w:szCs w:val="20"/>
        </w:rPr>
        <w:t>The POC employed a hybrid agile approach which proved to be an effective strategy for analyzing, learning, and implementing the POC. While the project adhered to the necessary steps, there were opportunities to further optimize the process and reduce rework by</w:t>
      </w:r>
      <w:r w:rsidR="009406EB" w:rsidRPr="00B01F9E">
        <w:rPr>
          <w:rStyle w:val="cf01"/>
          <w:rFonts w:ascii="Arial" w:hAnsi="Arial" w:cs="Arial"/>
          <w:sz w:val="20"/>
          <w:szCs w:val="20"/>
        </w:rPr>
        <w:t xml:space="preserve"> implementing </w:t>
      </w:r>
      <w:r w:rsidR="0090482A" w:rsidRPr="00B01F9E">
        <w:rPr>
          <w:rStyle w:val="cf01"/>
          <w:rFonts w:ascii="Arial" w:hAnsi="Arial" w:cs="Arial"/>
          <w:sz w:val="20"/>
          <w:szCs w:val="20"/>
        </w:rPr>
        <w:t>standard CAP IT project methodologies</w:t>
      </w:r>
      <w:r w:rsidRPr="00B01F9E">
        <w:rPr>
          <w:rStyle w:val="cf01"/>
          <w:rFonts w:ascii="Arial" w:hAnsi="Arial" w:cs="Arial"/>
          <w:sz w:val="20"/>
          <w:szCs w:val="20"/>
        </w:rPr>
        <w:t>.</w:t>
      </w:r>
    </w:p>
    <w:p w14:paraId="2181E88C" w14:textId="53F935D9" w:rsidR="00D503EA" w:rsidRPr="00B01F9E" w:rsidRDefault="00604D5C" w:rsidP="00FB088B">
      <w:pPr>
        <w:spacing w:after="120"/>
        <w:rPr>
          <w:rFonts w:ascii="Arial" w:hAnsi="Arial" w:cs="Arial"/>
          <w:sz w:val="20"/>
          <w:szCs w:val="20"/>
        </w:rPr>
      </w:pPr>
      <w:r w:rsidRPr="00B01F9E">
        <w:rPr>
          <w:rFonts w:ascii="Arial" w:hAnsi="Arial" w:cs="Arial"/>
          <w:sz w:val="20"/>
          <w:szCs w:val="20"/>
        </w:rPr>
        <w:t>The</w:t>
      </w:r>
      <w:r w:rsidR="00D503EA" w:rsidRPr="00B01F9E">
        <w:rPr>
          <w:rFonts w:ascii="Arial" w:hAnsi="Arial" w:cs="Arial"/>
          <w:sz w:val="20"/>
          <w:szCs w:val="20"/>
        </w:rPr>
        <w:t xml:space="preserve"> </w:t>
      </w:r>
      <w:r w:rsidRPr="00B01F9E">
        <w:rPr>
          <w:rFonts w:ascii="Arial" w:hAnsi="Arial" w:cs="Arial"/>
          <w:sz w:val="20"/>
          <w:szCs w:val="20"/>
        </w:rPr>
        <w:t>lessons learned</w:t>
      </w:r>
      <w:r w:rsidR="009A1558" w:rsidRPr="00B01F9E">
        <w:rPr>
          <w:rFonts w:ascii="Arial" w:hAnsi="Arial" w:cs="Arial"/>
          <w:sz w:val="20"/>
          <w:szCs w:val="20"/>
        </w:rPr>
        <w:t xml:space="preserve"> by the technical team</w:t>
      </w:r>
      <w:r w:rsidR="00D503EA" w:rsidRPr="00B01F9E">
        <w:rPr>
          <w:rFonts w:ascii="Arial" w:hAnsi="Arial" w:cs="Arial"/>
          <w:sz w:val="20"/>
          <w:szCs w:val="20"/>
        </w:rPr>
        <w:t xml:space="preserve"> highlight a need for improved requirements clarity and adherence to standard project processes. While the current project is limited in scope, the lack of a structured requirements gathering and tracking process presented challenges during implementation. To mitigate future risks and ensure project success, it is recommended to adopt a more rigorous approach, such as utilizing a project management tool (e.g., Jira™) for requirements management.</w:t>
      </w:r>
      <w:r w:rsidR="0095498E" w:rsidRPr="00B01F9E">
        <w:rPr>
          <w:rFonts w:ascii="Arial" w:hAnsi="Arial" w:cs="Arial"/>
          <w:sz w:val="20"/>
          <w:szCs w:val="20"/>
        </w:rPr>
        <w:t xml:space="preserve"> </w:t>
      </w:r>
    </w:p>
    <w:p w14:paraId="65454D66" w14:textId="28D2E857" w:rsidR="00B9005D" w:rsidRPr="00B01F9E" w:rsidRDefault="00B9005D" w:rsidP="00D503EA">
      <w:pPr>
        <w:rPr>
          <w:rFonts w:ascii="Arial" w:hAnsi="Arial" w:cs="Arial"/>
          <w:sz w:val="20"/>
          <w:szCs w:val="20"/>
        </w:rPr>
      </w:pPr>
      <w:r w:rsidRPr="00B01F9E">
        <w:rPr>
          <w:rFonts w:ascii="Arial" w:hAnsi="Arial" w:cs="Arial"/>
          <w:sz w:val="20"/>
          <w:szCs w:val="20"/>
        </w:rPr>
        <w:t>By focusing on these key areas, the team can enhance its ability to navigate complexities and deliver successful project outcomes.</w:t>
      </w:r>
    </w:p>
    <w:p w14:paraId="6FEB8D1B" w14:textId="653BBAE4" w:rsidR="000E483C" w:rsidRPr="00B01F9E" w:rsidRDefault="000E483C" w:rsidP="00FB088B">
      <w:pPr>
        <w:spacing w:after="120"/>
        <w:rPr>
          <w:rFonts w:ascii="Arial" w:hAnsi="Arial" w:cs="Arial"/>
          <w:sz w:val="20"/>
          <w:szCs w:val="20"/>
        </w:rPr>
      </w:pPr>
      <w:r w:rsidRPr="00B01F9E">
        <w:rPr>
          <w:rFonts w:ascii="Arial" w:hAnsi="Arial" w:cs="Arial"/>
          <w:sz w:val="20"/>
          <w:szCs w:val="20"/>
        </w:rPr>
        <w:t>The key lessons learned are summarized below</w:t>
      </w:r>
      <w:r w:rsidR="004A7FD8" w:rsidRPr="00B01F9E">
        <w:rPr>
          <w:rFonts w:ascii="Arial" w:hAnsi="Arial" w:cs="Arial"/>
          <w:sz w:val="20"/>
          <w:szCs w:val="20"/>
        </w:rPr>
        <w:t>.</w:t>
      </w:r>
      <w:r w:rsidRPr="00B01F9E">
        <w:rPr>
          <w:rFonts w:ascii="Arial" w:hAnsi="Arial" w:cs="Arial"/>
          <w:sz w:val="20"/>
          <w:szCs w:val="20"/>
        </w:rPr>
        <w:t xml:space="preserve"> </w:t>
      </w:r>
    </w:p>
    <w:p w14:paraId="3A912D2F" w14:textId="77777777" w:rsidR="000E483C" w:rsidRPr="00B01F9E" w:rsidRDefault="000E483C" w:rsidP="00FB088B">
      <w:pPr>
        <w:spacing w:after="120"/>
        <w:rPr>
          <w:rFonts w:ascii="Arial" w:hAnsi="Arial" w:cs="Arial"/>
          <w:b/>
          <w:sz w:val="20"/>
          <w:szCs w:val="20"/>
        </w:rPr>
      </w:pPr>
      <w:r w:rsidRPr="00B01F9E">
        <w:rPr>
          <w:rFonts w:ascii="Arial" w:hAnsi="Arial" w:cs="Arial"/>
          <w:b/>
          <w:sz w:val="20"/>
          <w:szCs w:val="20"/>
        </w:rPr>
        <w:t>Lessons Learned</w:t>
      </w:r>
      <w:r w:rsidRPr="00B01F9E">
        <w:rPr>
          <w:rFonts w:ascii="Arial" w:hAnsi="Arial" w:cs="Arial"/>
          <w:b/>
          <w:bCs/>
          <w:sz w:val="20"/>
          <w:szCs w:val="20"/>
        </w:rPr>
        <w:t>:</w:t>
      </w:r>
      <w:r w:rsidRPr="00B01F9E">
        <w:rPr>
          <w:rFonts w:ascii="Arial" w:hAnsi="Arial" w:cs="Arial"/>
          <w:b/>
          <w:sz w:val="20"/>
          <w:szCs w:val="20"/>
        </w:rPr>
        <w:t xml:space="preserve"> </w:t>
      </w:r>
    </w:p>
    <w:p w14:paraId="1D994C8E" w14:textId="5CADF74A" w:rsidR="009E491B" w:rsidRPr="00B01F9E" w:rsidRDefault="000E483C" w:rsidP="001D3FD7">
      <w:pPr>
        <w:pStyle w:val="ListParagraph"/>
        <w:numPr>
          <w:ilvl w:val="0"/>
          <w:numId w:val="22"/>
        </w:numPr>
        <w:spacing w:before="120" w:after="120"/>
        <w:ind w:left="720"/>
        <w:rPr>
          <w:rFonts w:ascii="Arial" w:hAnsi="Arial" w:cs="Arial"/>
          <w:sz w:val="20"/>
          <w:szCs w:val="20"/>
        </w:rPr>
      </w:pPr>
      <w:r w:rsidRPr="00B01F9E">
        <w:rPr>
          <w:rFonts w:ascii="Arial" w:hAnsi="Arial" w:cs="Arial"/>
          <w:b/>
          <w:sz w:val="20"/>
          <w:szCs w:val="20"/>
        </w:rPr>
        <w:t xml:space="preserve">Plan </w:t>
      </w:r>
      <w:r w:rsidR="004342CF" w:rsidRPr="00B01F9E">
        <w:rPr>
          <w:rFonts w:ascii="Arial" w:hAnsi="Arial" w:cs="Arial"/>
          <w:b/>
          <w:sz w:val="20"/>
          <w:szCs w:val="20"/>
        </w:rPr>
        <w:t>for</w:t>
      </w:r>
      <w:r w:rsidR="00AF0AF1" w:rsidRPr="00B01F9E">
        <w:rPr>
          <w:rFonts w:ascii="Arial" w:hAnsi="Arial" w:cs="Arial"/>
          <w:b/>
          <w:sz w:val="20"/>
          <w:szCs w:val="20"/>
        </w:rPr>
        <w:t xml:space="preserve"> </w:t>
      </w:r>
      <w:r w:rsidR="0035693F" w:rsidRPr="00B01F9E">
        <w:rPr>
          <w:rFonts w:ascii="Arial" w:hAnsi="Arial" w:cs="Arial"/>
          <w:b/>
          <w:sz w:val="20"/>
          <w:szCs w:val="20"/>
        </w:rPr>
        <w:t>R</w:t>
      </w:r>
      <w:r w:rsidRPr="00B01F9E">
        <w:rPr>
          <w:rFonts w:ascii="Arial" w:hAnsi="Arial" w:cs="Arial"/>
          <w:b/>
          <w:sz w:val="20"/>
          <w:szCs w:val="20"/>
        </w:rPr>
        <w:t>ework:</w:t>
      </w:r>
      <w:r w:rsidR="004342CF" w:rsidRPr="00B01F9E">
        <w:rPr>
          <w:rFonts w:ascii="Arial" w:hAnsi="Arial" w:cs="Arial"/>
          <w:b/>
          <w:sz w:val="20"/>
          <w:szCs w:val="20"/>
        </w:rPr>
        <w:t xml:space="preserve"> </w:t>
      </w:r>
      <w:r w:rsidR="00E51436" w:rsidRPr="00B01F9E">
        <w:rPr>
          <w:rFonts w:ascii="Arial" w:hAnsi="Arial" w:cs="Arial"/>
          <w:bCs/>
          <w:sz w:val="20"/>
          <w:szCs w:val="20"/>
        </w:rPr>
        <w:t>The</w:t>
      </w:r>
      <w:r w:rsidR="00E51436" w:rsidRPr="00B01F9E">
        <w:rPr>
          <w:rFonts w:ascii="Arial" w:hAnsi="Arial" w:cs="Arial"/>
          <w:b/>
          <w:sz w:val="20"/>
          <w:szCs w:val="20"/>
        </w:rPr>
        <w:t xml:space="preserve"> </w:t>
      </w:r>
      <w:r w:rsidR="00E51436" w:rsidRPr="00B01F9E">
        <w:rPr>
          <w:rFonts w:ascii="Arial" w:hAnsi="Arial" w:cs="Arial"/>
          <w:bCs/>
          <w:sz w:val="20"/>
          <w:szCs w:val="20"/>
        </w:rPr>
        <w:t>t</w:t>
      </w:r>
      <w:r w:rsidR="004342CF" w:rsidRPr="00B01F9E">
        <w:rPr>
          <w:rFonts w:ascii="Arial" w:hAnsi="Arial" w:cs="Arial"/>
          <w:bCs/>
          <w:sz w:val="20"/>
          <w:szCs w:val="20"/>
        </w:rPr>
        <w:t>eam should anticipate</w:t>
      </w:r>
      <w:r w:rsidR="004342CF" w:rsidRPr="00B01F9E">
        <w:rPr>
          <w:rFonts w:ascii="Arial" w:hAnsi="Arial" w:cs="Arial"/>
          <w:sz w:val="20"/>
          <w:szCs w:val="20"/>
        </w:rPr>
        <w:t xml:space="preserve"> an iterative </w:t>
      </w:r>
      <w:r w:rsidR="00E51436" w:rsidRPr="00B01F9E">
        <w:rPr>
          <w:rFonts w:ascii="Arial" w:hAnsi="Arial" w:cs="Arial"/>
          <w:sz w:val="20"/>
          <w:szCs w:val="20"/>
        </w:rPr>
        <w:t xml:space="preserve">POC development </w:t>
      </w:r>
      <w:r w:rsidR="004342CF" w:rsidRPr="00B01F9E">
        <w:rPr>
          <w:rFonts w:ascii="Arial" w:hAnsi="Arial" w:cs="Arial"/>
          <w:sz w:val="20"/>
          <w:szCs w:val="20"/>
        </w:rPr>
        <w:t>process</w:t>
      </w:r>
      <w:r w:rsidR="00E51436" w:rsidRPr="00B01F9E">
        <w:rPr>
          <w:rFonts w:ascii="Arial" w:hAnsi="Arial" w:cs="Arial"/>
          <w:sz w:val="20"/>
          <w:szCs w:val="20"/>
        </w:rPr>
        <w:t xml:space="preserve">. </w:t>
      </w:r>
      <w:r w:rsidRPr="00B01F9E">
        <w:rPr>
          <w:rFonts w:ascii="Arial" w:hAnsi="Arial" w:cs="Arial"/>
          <w:sz w:val="20"/>
          <w:szCs w:val="20"/>
        </w:rPr>
        <w:t xml:space="preserve">Continuous updates </w:t>
      </w:r>
      <w:r w:rsidR="00E51436" w:rsidRPr="00B01F9E">
        <w:rPr>
          <w:rFonts w:ascii="Arial" w:hAnsi="Arial" w:cs="Arial"/>
          <w:sz w:val="20"/>
          <w:szCs w:val="20"/>
        </w:rPr>
        <w:t>to the mock LIDR file</w:t>
      </w:r>
      <w:r w:rsidR="009E2BE4" w:rsidRPr="00B01F9E">
        <w:rPr>
          <w:rFonts w:ascii="Arial" w:hAnsi="Arial" w:cs="Arial"/>
          <w:sz w:val="20"/>
          <w:szCs w:val="20"/>
        </w:rPr>
        <w:t xml:space="preserve"> resulted</w:t>
      </w:r>
      <w:r w:rsidRPr="00B01F9E">
        <w:rPr>
          <w:rFonts w:ascii="Arial" w:hAnsi="Arial" w:cs="Arial"/>
          <w:sz w:val="20"/>
          <w:szCs w:val="20"/>
        </w:rPr>
        <w:t xml:space="preserve"> in downstream rework, as LIDR development depend</w:t>
      </w:r>
      <w:r w:rsidR="00BB7CE2" w:rsidRPr="00B01F9E">
        <w:rPr>
          <w:rFonts w:ascii="Arial" w:hAnsi="Arial" w:cs="Arial"/>
          <w:sz w:val="20"/>
          <w:szCs w:val="20"/>
        </w:rPr>
        <w:t>ed</w:t>
      </w:r>
      <w:r w:rsidRPr="00B01F9E">
        <w:rPr>
          <w:rFonts w:ascii="Arial" w:hAnsi="Arial" w:cs="Arial"/>
          <w:sz w:val="20"/>
          <w:szCs w:val="20"/>
        </w:rPr>
        <w:t xml:space="preserve"> on accurate methods and reporting information from the participating laboratory. </w:t>
      </w:r>
      <w:r w:rsidR="00C70B08" w:rsidRPr="00B01F9E">
        <w:rPr>
          <w:rFonts w:ascii="Arial" w:hAnsi="Arial" w:cs="Arial"/>
          <w:sz w:val="20"/>
          <w:szCs w:val="20"/>
        </w:rPr>
        <w:t>Additionally, an absence of laboratory technical capabilities required unexpected workarounds or non-scalable solutions that were noted as gap</w:t>
      </w:r>
      <w:r w:rsidR="0087661B" w:rsidRPr="00B01F9E">
        <w:rPr>
          <w:rFonts w:ascii="Arial" w:hAnsi="Arial" w:cs="Arial"/>
          <w:sz w:val="20"/>
          <w:szCs w:val="20"/>
        </w:rPr>
        <w:t>s</w:t>
      </w:r>
      <w:r w:rsidR="00C70B08" w:rsidRPr="00B01F9E">
        <w:rPr>
          <w:rFonts w:ascii="Arial" w:hAnsi="Arial" w:cs="Arial"/>
          <w:sz w:val="20"/>
          <w:szCs w:val="20"/>
        </w:rPr>
        <w:t>.</w:t>
      </w:r>
    </w:p>
    <w:p w14:paraId="7B12A358" w14:textId="7C614038" w:rsidR="009E491B" w:rsidRPr="00B01F9E" w:rsidRDefault="009E491B" w:rsidP="001D3FD7">
      <w:pPr>
        <w:pStyle w:val="ListParagraph"/>
        <w:numPr>
          <w:ilvl w:val="0"/>
          <w:numId w:val="22"/>
        </w:numPr>
        <w:spacing w:before="120" w:after="120"/>
        <w:ind w:left="720"/>
        <w:rPr>
          <w:rFonts w:ascii="Arial" w:hAnsi="Arial" w:cs="Arial"/>
          <w:sz w:val="20"/>
          <w:szCs w:val="20"/>
        </w:rPr>
      </w:pPr>
      <w:r w:rsidRPr="00B01F9E">
        <w:rPr>
          <w:rFonts w:ascii="Arial" w:hAnsi="Arial" w:cs="Arial"/>
          <w:b/>
          <w:bCs/>
          <w:sz w:val="20"/>
          <w:szCs w:val="20"/>
        </w:rPr>
        <w:t xml:space="preserve">Ongoing </w:t>
      </w:r>
      <w:r w:rsidR="0035693F" w:rsidRPr="00B01F9E">
        <w:rPr>
          <w:rFonts w:ascii="Arial" w:hAnsi="Arial" w:cs="Arial"/>
          <w:b/>
          <w:bCs/>
          <w:sz w:val="20"/>
          <w:szCs w:val="20"/>
        </w:rPr>
        <w:t>C</w:t>
      </w:r>
      <w:r w:rsidRPr="00B01F9E">
        <w:rPr>
          <w:rFonts w:ascii="Arial" w:hAnsi="Arial" w:cs="Arial"/>
          <w:b/>
          <w:bCs/>
          <w:sz w:val="20"/>
          <w:szCs w:val="20"/>
        </w:rPr>
        <w:t xml:space="preserve">ommunication: </w:t>
      </w:r>
      <w:r w:rsidR="001D3FD7" w:rsidRPr="00B01F9E">
        <w:rPr>
          <w:rFonts w:ascii="Arial" w:hAnsi="Arial" w:cs="Arial"/>
          <w:sz w:val="20"/>
          <w:szCs w:val="20"/>
        </w:rPr>
        <w:t>It is critical to</w:t>
      </w:r>
      <w:r w:rsidR="001D3FD7" w:rsidRPr="00B01F9E">
        <w:rPr>
          <w:rFonts w:ascii="Arial" w:hAnsi="Arial" w:cs="Arial"/>
          <w:b/>
          <w:bCs/>
          <w:sz w:val="20"/>
          <w:szCs w:val="20"/>
        </w:rPr>
        <w:t xml:space="preserve"> </w:t>
      </w:r>
      <w:r w:rsidR="001D3FD7" w:rsidRPr="00B01F9E">
        <w:rPr>
          <w:rFonts w:ascii="Arial" w:hAnsi="Arial" w:cs="Arial"/>
          <w:sz w:val="20"/>
          <w:szCs w:val="20"/>
        </w:rPr>
        <w:t>m</w:t>
      </w:r>
      <w:r w:rsidRPr="00B01F9E">
        <w:rPr>
          <w:rFonts w:ascii="Arial" w:hAnsi="Arial" w:cs="Arial"/>
          <w:sz w:val="20"/>
          <w:szCs w:val="20"/>
        </w:rPr>
        <w:t>aintain open and transparent communication with stakeholders throughout the project lifecycle to address any questions or concerns.</w:t>
      </w:r>
    </w:p>
    <w:p w14:paraId="62E6B7FC" w14:textId="29BAD48F" w:rsidR="000E483C" w:rsidRPr="00B01F9E" w:rsidRDefault="000E483C" w:rsidP="00104559">
      <w:pPr>
        <w:pStyle w:val="ListParagraph"/>
        <w:numPr>
          <w:ilvl w:val="0"/>
          <w:numId w:val="22"/>
        </w:numPr>
        <w:spacing w:before="120" w:after="120"/>
        <w:ind w:left="720"/>
        <w:rPr>
          <w:rFonts w:ascii="Arial" w:hAnsi="Arial" w:cs="Arial"/>
          <w:sz w:val="20"/>
          <w:szCs w:val="20"/>
        </w:rPr>
      </w:pPr>
      <w:r w:rsidRPr="00B01F9E">
        <w:rPr>
          <w:rFonts w:ascii="Arial" w:hAnsi="Arial" w:cs="Arial"/>
          <w:b/>
          <w:sz w:val="20"/>
          <w:szCs w:val="20"/>
        </w:rPr>
        <w:t xml:space="preserve">Investigate LIS </w:t>
      </w:r>
      <w:r w:rsidR="0035693F" w:rsidRPr="00B01F9E">
        <w:rPr>
          <w:rFonts w:ascii="Arial" w:hAnsi="Arial" w:cs="Arial"/>
          <w:b/>
          <w:sz w:val="20"/>
          <w:szCs w:val="20"/>
        </w:rPr>
        <w:t>A</w:t>
      </w:r>
      <w:r w:rsidRPr="00B01F9E">
        <w:rPr>
          <w:rFonts w:ascii="Arial" w:hAnsi="Arial" w:cs="Arial"/>
          <w:b/>
          <w:sz w:val="20"/>
          <w:szCs w:val="20"/>
        </w:rPr>
        <w:t xml:space="preserve">ccess </w:t>
      </w:r>
      <w:r w:rsidR="0035693F" w:rsidRPr="00B01F9E">
        <w:rPr>
          <w:rFonts w:ascii="Arial" w:hAnsi="Arial" w:cs="Arial"/>
          <w:b/>
          <w:sz w:val="20"/>
          <w:szCs w:val="20"/>
        </w:rPr>
        <w:t>O</w:t>
      </w:r>
      <w:r w:rsidRPr="00B01F9E">
        <w:rPr>
          <w:rFonts w:ascii="Arial" w:hAnsi="Arial" w:cs="Arial"/>
          <w:b/>
          <w:sz w:val="20"/>
          <w:szCs w:val="20"/>
        </w:rPr>
        <w:t>ptions:</w:t>
      </w:r>
      <w:r w:rsidRPr="00B01F9E">
        <w:rPr>
          <w:rFonts w:ascii="Arial" w:hAnsi="Arial" w:cs="Arial"/>
          <w:sz w:val="20"/>
          <w:szCs w:val="20"/>
        </w:rPr>
        <w:t xml:space="preserve"> The lack of access to the</w:t>
      </w:r>
      <w:r w:rsidR="005C2CC5" w:rsidRPr="00B01F9E">
        <w:rPr>
          <w:rFonts w:ascii="Arial" w:hAnsi="Arial" w:cs="Arial"/>
          <w:sz w:val="20"/>
          <w:szCs w:val="20"/>
        </w:rPr>
        <w:t xml:space="preserve"> partnering laboratory</w:t>
      </w:r>
      <w:r w:rsidR="00373F69" w:rsidRPr="00B01F9E">
        <w:rPr>
          <w:rFonts w:ascii="Arial" w:hAnsi="Arial" w:cs="Arial"/>
          <w:sz w:val="20"/>
          <w:szCs w:val="20"/>
        </w:rPr>
        <w:t>’s</w:t>
      </w:r>
      <w:r w:rsidRPr="00B01F9E">
        <w:rPr>
          <w:rFonts w:ascii="Arial" w:hAnsi="Arial" w:cs="Arial"/>
          <w:sz w:val="20"/>
          <w:szCs w:val="20"/>
        </w:rPr>
        <w:t xml:space="preserve"> LIS proved problematic and caused significant delays in troubleshooting</w:t>
      </w:r>
      <w:r w:rsidR="00C832E6" w:rsidRPr="00B01F9E">
        <w:rPr>
          <w:rFonts w:ascii="Arial" w:hAnsi="Arial" w:cs="Arial"/>
          <w:sz w:val="20"/>
          <w:szCs w:val="20"/>
        </w:rPr>
        <w:t xml:space="preserve"> because the CAP team could not </w:t>
      </w:r>
      <w:r w:rsidR="006D00DE" w:rsidRPr="00B01F9E">
        <w:rPr>
          <w:rFonts w:ascii="Arial" w:hAnsi="Arial" w:cs="Arial"/>
          <w:sz w:val="20"/>
          <w:szCs w:val="20"/>
        </w:rPr>
        <w:t>view Duke</w:t>
      </w:r>
      <w:r w:rsidR="006A3018" w:rsidRPr="00B01F9E">
        <w:rPr>
          <w:rFonts w:ascii="Arial" w:hAnsi="Arial" w:cs="Arial"/>
          <w:sz w:val="20"/>
          <w:szCs w:val="20"/>
        </w:rPr>
        <w:t>’s</w:t>
      </w:r>
      <w:r w:rsidR="006D00DE" w:rsidRPr="00B01F9E">
        <w:rPr>
          <w:rFonts w:ascii="Arial" w:hAnsi="Arial" w:cs="Arial"/>
          <w:sz w:val="20"/>
          <w:szCs w:val="20"/>
        </w:rPr>
        <w:t xml:space="preserve"> </w:t>
      </w:r>
      <w:r w:rsidR="005C3476" w:rsidRPr="00B01F9E">
        <w:rPr>
          <w:rFonts w:ascii="Arial" w:hAnsi="Arial" w:cs="Arial"/>
          <w:sz w:val="20"/>
          <w:szCs w:val="20"/>
        </w:rPr>
        <w:t>progress in parallel</w:t>
      </w:r>
      <w:r w:rsidRPr="00B01F9E">
        <w:rPr>
          <w:rFonts w:ascii="Arial" w:hAnsi="Arial" w:cs="Arial"/>
          <w:sz w:val="20"/>
          <w:szCs w:val="20"/>
        </w:rPr>
        <w:t>.</w:t>
      </w:r>
      <w:r w:rsidR="00AF5DAC" w:rsidRPr="00B01F9E">
        <w:rPr>
          <w:rFonts w:ascii="Arial" w:hAnsi="Arial" w:cs="Arial"/>
          <w:sz w:val="20"/>
          <w:szCs w:val="20"/>
        </w:rPr>
        <w:t xml:space="preserve"> This </w:t>
      </w:r>
      <w:r w:rsidR="00B35640" w:rsidRPr="00B01F9E">
        <w:rPr>
          <w:rFonts w:ascii="Arial" w:hAnsi="Arial" w:cs="Arial"/>
          <w:sz w:val="20"/>
          <w:szCs w:val="20"/>
        </w:rPr>
        <w:t xml:space="preserve">challenge </w:t>
      </w:r>
      <w:r w:rsidR="00AF5DAC" w:rsidRPr="00B01F9E">
        <w:rPr>
          <w:rFonts w:ascii="Arial" w:hAnsi="Arial" w:cs="Arial"/>
          <w:sz w:val="20"/>
          <w:szCs w:val="20"/>
        </w:rPr>
        <w:t xml:space="preserve">is expected to </w:t>
      </w:r>
      <w:r w:rsidR="00B35640" w:rsidRPr="00B01F9E">
        <w:rPr>
          <w:rFonts w:ascii="Arial" w:hAnsi="Arial" w:cs="Arial"/>
          <w:sz w:val="20"/>
          <w:szCs w:val="20"/>
        </w:rPr>
        <w:t xml:space="preserve">persist in future </w:t>
      </w:r>
      <w:r w:rsidR="002A7F2E" w:rsidRPr="00B01F9E">
        <w:rPr>
          <w:rFonts w:ascii="Arial" w:hAnsi="Arial" w:cs="Arial"/>
          <w:sz w:val="20"/>
          <w:szCs w:val="20"/>
        </w:rPr>
        <w:t xml:space="preserve">implementations, </w:t>
      </w:r>
      <w:r w:rsidR="002A7F2E" w:rsidRPr="00B01F9E">
        <w:rPr>
          <w:rFonts w:ascii="Arial" w:hAnsi="Arial" w:cs="Arial"/>
          <w:sz w:val="20"/>
          <w:szCs w:val="20"/>
        </w:rPr>
        <w:lastRenderedPageBreak/>
        <w:t>as it is unlikely to have direct access to the L</w:t>
      </w:r>
      <w:r w:rsidR="0067795A" w:rsidRPr="00B01F9E">
        <w:rPr>
          <w:rFonts w:ascii="Arial" w:hAnsi="Arial" w:cs="Arial"/>
          <w:sz w:val="20"/>
          <w:szCs w:val="20"/>
        </w:rPr>
        <w:t xml:space="preserve">IS. </w:t>
      </w:r>
      <w:r w:rsidR="00D503EA" w:rsidRPr="00B01F9E">
        <w:rPr>
          <w:rFonts w:ascii="Arial" w:hAnsi="Arial" w:cs="Arial"/>
          <w:sz w:val="20"/>
          <w:szCs w:val="20"/>
        </w:rPr>
        <w:t xml:space="preserve">Increased </w:t>
      </w:r>
      <w:r w:rsidR="0067795A" w:rsidRPr="00B01F9E">
        <w:rPr>
          <w:rFonts w:ascii="Arial" w:hAnsi="Arial" w:cs="Arial"/>
          <w:sz w:val="20"/>
          <w:szCs w:val="20"/>
        </w:rPr>
        <w:t>collaboration</w:t>
      </w:r>
      <w:r w:rsidR="00D503EA" w:rsidRPr="00B01F9E">
        <w:rPr>
          <w:rFonts w:ascii="Arial" w:hAnsi="Arial" w:cs="Arial"/>
          <w:sz w:val="20"/>
          <w:szCs w:val="20"/>
        </w:rPr>
        <w:t xml:space="preserve"> strategies</w:t>
      </w:r>
      <w:r w:rsidR="0067795A" w:rsidRPr="00B01F9E">
        <w:rPr>
          <w:rFonts w:ascii="Arial" w:hAnsi="Arial" w:cs="Arial"/>
          <w:sz w:val="20"/>
          <w:szCs w:val="20"/>
        </w:rPr>
        <w:t xml:space="preserve"> could mitigate this issue. </w:t>
      </w:r>
    </w:p>
    <w:p w14:paraId="2F7F01BF" w14:textId="676483FB" w:rsidR="00463172" w:rsidRPr="00B01F9E" w:rsidRDefault="00463172" w:rsidP="001D3FD7">
      <w:pPr>
        <w:pStyle w:val="ListParagraph"/>
        <w:numPr>
          <w:ilvl w:val="0"/>
          <w:numId w:val="22"/>
        </w:numPr>
        <w:spacing w:before="120" w:after="120"/>
        <w:ind w:left="720"/>
        <w:rPr>
          <w:rFonts w:ascii="Arial" w:hAnsi="Arial" w:cs="Arial"/>
          <w:sz w:val="20"/>
          <w:szCs w:val="20"/>
        </w:rPr>
      </w:pPr>
      <w:r w:rsidRPr="00B01F9E">
        <w:rPr>
          <w:rFonts w:ascii="Arial" w:hAnsi="Arial" w:cs="Arial"/>
          <w:b/>
          <w:sz w:val="20"/>
          <w:szCs w:val="20"/>
        </w:rPr>
        <w:t xml:space="preserve">Complete </w:t>
      </w:r>
      <w:r w:rsidR="0035693F" w:rsidRPr="00B01F9E">
        <w:rPr>
          <w:rFonts w:ascii="Arial" w:hAnsi="Arial" w:cs="Arial"/>
          <w:b/>
          <w:sz w:val="20"/>
          <w:szCs w:val="20"/>
        </w:rPr>
        <w:t>I</w:t>
      </w:r>
      <w:r w:rsidRPr="00B01F9E">
        <w:rPr>
          <w:rFonts w:ascii="Arial" w:hAnsi="Arial" w:cs="Arial"/>
          <w:b/>
          <w:sz w:val="20"/>
          <w:szCs w:val="20"/>
        </w:rPr>
        <w:t xml:space="preserve">nterface </w:t>
      </w:r>
      <w:r w:rsidR="0035693F" w:rsidRPr="00B01F9E">
        <w:rPr>
          <w:rFonts w:ascii="Arial" w:hAnsi="Arial" w:cs="Arial"/>
          <w:b/>
          <w:sz w:val="20"/>
          <w:szCs w:val="20"/>
        </w:rPr>
        <w:t>S</w:t>
      </w:r>
      <w:r w:rsidRPr="00B01F9E">
        <w:rPr>
          <w:rFonts w:ascii="Arial" w:hAnsi="Arial" w:cs="Arial"/>
          <w:b/>
          <w:sz w:val="20"/>
          <w:szCs w:val="20"/>
        </w:rPr>
        <w:t>et</w:t>
      </w:r>
      <w:r w:rsidR="0035693F" w:rsidRPr="00B01F9E">
        <w:rPr>
          <w:rFonts w:ascii="Arial" w:hAnsi="Arial" w:cs="Arial"/>
          <w:b/>
          <w:sz w:val="20"/>
          <w:szCs w:val="20"/>
        </w:rPr>
        <w:t>-U</w:t>
      </w:r>
      <w:r w:rsidRPr="00B01F9E">
        <w:rPr>
          <w:rFonts w:ascii="Arial" w:hAnsi="Arial" w:cs="Arial"/>
          <w:b/>
          <w:sz w:val="20"/>
          <w:szCs w:val="20"/>
        </w:rPr>
        <w:t xml:space="preserve">p and LIS </w:t>
      </w:r>
      <w:r w:rsidR="0035693F" w:rsidRPr="00B01F9E">
        <w:rPr>
          <w:rFonts w:ascii="Arial" w:hAnsi="Arial" w:cs="Arial"/>
          <w:b/>
          <w:sz w:val="20"/>
          <w:szCs w:val="20"/>
        </w:rPr>
        <w:t>B</w:t>
      </w:r>
      <w:r w:rsidRPr="00B01F9E">
        <w:rPr>
          <w:rFonts w:ascii="Arial" w:hAnsi="Arial" w:cs="Arial"/>
          <w:b/>
          <w:sz w:val="20"/>
          <w:szCs w:val="20"/>
        </w:rPr>
        <w:t xml:space="preserve">uild </w:t>
      </w:r>
      <w:r w:rsidR="0035693F" w:rsidRPr="00B01F9E">
        <w:rPr>
          <w:rFonts w:ascii="Arial" w:hAnsi="Arial" w:cs="Arial"/>
          <w:b/>
          <w:sz w:val="20"/>
          <w:szCs w:val="20"/>
        </w:rPr>
        <w:t>F</w:t>
      </w:r>
      <w:r w:rsidRPr="00B01F9E">
        <w:rPr>
          <w:rFonts w:ascii="Arial" w:hAnsi="Arial" w:cs="Arial"/>
          <w:b/>
          <w:sz w:val="20"/>
          <w:szCs w:val="20"/>
        </w:rPr>
        <w:t>irst:</w:t>
      </w:r>
      <w:r w:rsidRPr="00B01F9E">
        <w:rPr>
          <w:rFonts w:ascii="Arial" w:hAnsi="Arial" w:cs="Arial"/>
          <w:sz w:val="20"/>
          <w:szCs w:val="20"/>
        </w:rPr>
        <w:t xml:space="preserve"> Concurrent development of back-end technology was inefficient due to </w:t>
      </w:r>
      <w:r w:rsidR="00CF4D8A" w:rsidRPr="00B01F9E">
        <w:rPr>
          <w:rFonts w:ascii="Arial" w:hAnsi="Arial" w:cs="Arial"/>
          <w:sz w:val="20"/>
          <w:szCs w:val="20"/>
        </w:rPr>
        <w:t xml:space="preserve">a </w:t>
      </w:r>
      <w:r w:rsidRPr="00B01F9E">
        <w:rPr>
          <w:rFonts w:ascii="Arial" w:hAnsi="Arial" w:cs="Arial"/>
          <w:sz w:val="20"/>
          <w:szCs w:val="20"/>
        </w:rPr>
        <w:t>poor underst</w:t>
      </w:r>
      <w:r w:rsidR="00C14612" w:rsidRPr="00B01F9E">
        <w:rPr>
          <w:rFonts w:ascii="Arial" w:hAnsi="Arial" w:cs="Arial"/>
          <w:sz w:val="20"/>
          <w:szCs w:val="20"/>
        </w:rPr>
        <w:t>anding</w:t>
      </w:r>
      <w:r w:rsidRPr="00B01F9E">
        <w:rPr>
          <w:rFonts w:ascii="Arial" w:hAnsi="Arial" w:cs="Arial"/>
          <w:sz w:val="20"/>
          <w:szCs w:val="20"/>
        </w:rPr>
        <w:t xml:space="preserve"> </w:t>
      </w:r>
      <w:r w:rsidR="008A7944" w:rsidRPr="00B01F9E">
        <w:rPr>
          <w:rFonts w:ascii="Arial" w:hAnsi="Arial" w:cs="Arial"/>
          <w:sz w:val="20"/>
          <w:szCs w:val="20"/>
        </w:rPr>
        <w:t xml:space="preserve">of </w:t>
      </w:r>
      <w:r w:rsidRPr="00B01F9E">
        <w:rPr>
          <w:rFonts w:ascii="Arial" w:hAnsi="Arial" w:cs="Arial"/>
          <w:sz w:val="20"/>
          <w:szCs w:val="20"/>
        </w:rPr>
        <w:t>input</w:t>
      </w:r>
      <w:r w:rsidR="00CF4D8A" w:rsidRPr="00B01F9E">
        <w:rPr>
          <w:rFonts w:ascii="Arial" w:hAnsi="Arial" w:cs="Arial"/>
          <w:sz w:val="20"/>
          <w:szCs w:val="20"/>
        </w:rPr>
        <w:t>s</w:t>
      </w:r>
      <w:r w:rsidRPr="00B01F9E">
        <w:rPr>
          <w:rFonts w:ascii="Arial" w:hAnsi="Arial" w:cs="Arial"/>
          <w:sz w:val="20"/>
          <w:szCs w:val="20"/>
        </w:rPr>
        <w:t xml:space="preserve"> from external systems. It is crucial to complete the interface set up and LIS build prior to developing the technical solutions designed and implemented by the CAP.</w:t>
      </w:r>
    </w:p>
    <w:p w14:paraId="79637AA2" w14:textId="19E84B45" w:rsidR="00546F1D" w:rsidRPr="00B01F9E" w:rsidRDefault="0067795A" w:rsidP="001D3FD7">
      <w:pPr>
        <w:pStyle w:val="ListParagraph"/>
        <w:numPr>
          <w:ilvl w:val="0"/>
          <w:numId w:val="22"/>
        </w:numPr>
        <w:spacing w:before="120" w:after="120"/>
        <w:ind w:left="720"/>
        <w:rPr>
          <w:rFonts w:ascii="Arial" w:hAnsi="Arial" w:cs="Arial"/>
          <w:b/>
          <w:bCs/>
          <w:color w:val="009BBF"/>
          <w:sz w:val="20"/>
          <w:szCs w:val="20"/>
        </w:rPr>
      </w:pPr>
      <w:r w:rsidRPr="00B01F9E">
        <w:rPr>
          <w:rFonts w:ascii="Arial" w:hAnsi="Arial" w:cs="Arial"/>
          <w:b/>
          <w:sz w:val="20"/>
          <w:szCs w:val="20"/>
        </w:rPr>
        <w:t xml:space="preserve">Resource </w:t>
      </w:r>
      <w:r w:rsidR="0035693F" w:rsidRPr="00B01F9E">
        <w:rPr>
          <w:rFonts w:ascii="Arial" w:hAnsi="Arial" w:cs="Arial"/>
          <w:b/>
          <w:sz w:val="20"/>
          <w:szCs w:val="20"/>
        </w:rPr>
        <w:t>A</w:t>
      </w:r>
      <w:r w:rsidRPr="00B01F9E">
        <w:rPr>
          <w:rFonts w:ascii="Arial" w:hAnsi="Arial" w:cs="Arial"/>
          <w:b/>
          <w:sz w:val="20"/>
          <w:szCs w:val="20"/>
        </w:rPr>
        <w:t>llocation:</w:t>
      </w:r>
      <w:r w:rsidR="009521D8" w:rsidRPr="00B01F9E">
        <w:rPr>
          <w:rFonts w:ascii="Arial" w:hAnsi="Arial" w:cs="Arial"/>
          <w:sz w:val="20"/>
          <w:szCs w:val="20"/>
        </w:rPr>
        <w:t xml:space="preserve"> </w:t>
      </w:r>
      <w:r w:rsidR="009521D8" w:rsidRPr="00B01F9E">
        <w:rPr>
          <w:rFonts w:ascii="Arial" w:hAnsi="Arial" w:cs="Arial"/>
          <w:bCs/>
          <w:sz w:val="20"/>
          <w:szCs w:val="20"/>
        </w:rPr>
        <w:t>The implementing laboratory needs to have expert resources available at the start of the project to avoid delays caused while waiting to onboard appropriate resources</w:t>
      </w:r>
      <w:r w:rsidR="00DE0125" w:rsidRPr="00B01F9E">
        <w:rPr>
          <w:rFonts w:ascii="Arial" w:hAnsi="Arial" w:cs="Arial"/>
          <w:bCs/>
          <w:sz w:val="20"/>
          <w:szCs w:val="20"/>
        </w:rPr>
        <w:t>.</w:t>
      </w:r>
      <w:r w:rsidR="00BD6CB9" w:rsidRPr="00B01F9E">
        <w:rPr>
          <w:rFonts w:ascii="Arial" w:hAnsi="Arial" w:cs="Arial"/>
          <w:sz w:val="20"/>
          <w:szCs w:val="20"/>
        </w:rPr>
        <w:t xml:space="preserve"> </w:t>
      </w:r>
    </w:p>
    <w:p w14:paraId="159D2228" w14:textId="033A5197" w:rsidR="00FF0C12" w:rsidRPr="00B01F9E" w:rsidRDefault="001D0FAB" w:rsidP="001D3FD7">
      <w:pPr>
        <w:pStyle w:val="ListParagraph"/>
        <w:numPr>
          <w:ilvl w:val="0"/>
          <w:numId w:val="79"/>
        </w:numPr>
        <w:spacing w:before="120" w:after="120"/>
        <w:rPr>
          <w:rFonts w:ascii="Arial" w:hAnsi="Arial" w:cs="Arial"/>
          <w:sz w:val="20"/>
          <w:szCs w:val="20"/>
        </w:rPr>
      </w:pPr>
      <w:r w:rsidRPr="00B01F9E">
        <w:rPr>
          <w:rFonts w:ascii="Arial" w:hAnsi="Arial" w:cs="Arial"/>
          <w:b/>
          <w:bCs/>
          <w:sz w:val="20"/>
          <w:szCs w:val="20"/>
        </w:rPr>
        <w:t>Evolving</w:t>
      </w:r>
      <w:r w:rsidR="00FF0C12" w:rsidRPr="00B01F9E">
        <w:rPr>
          <w:rFonts w:ascii="Arial" w:hAnsi="Arial" w:cs="Arial"/>
          <w:b/>
          <w:bCs/>
          <w:sz w:val="20"/>
          <w:szCs w:val="20"/>
        </w:rPr>
        <w:t xml:space="preserve"> </w:t>
      </w:r>
      <w:r w:rsidR="0035693F" w:rsidRPr="00B01F9E">
        <w:rPr>
          <w:rFonts w:ascii="Arial" w:hAnsi="Arial" w:cs="Arial"/>
          <w:b/>
          <w:bCs/>
          <w:sz w:val="20"/>
          <w:szCs w:val="20"/>
        </w:rPr>
        <w:t>R</w:t>
      </w:r>
      <w:r w:rsidR="00FF0C12" w:rsidRPr="00B01F9E">
        <w:rPr>
          <w:rFonts w:ascii="Arial" w:hAnsi="Arial" w:cs="Arial"/>
          <w:b/>
          <w:bCs/>
          <w:sz w:val="20"/>
          <w:szCs w:val="20"/>
        </w:rPr>
        <w:t xml:space="preserve">equirements: </w:t>
      </w:r>
      <w:r w:rsidR="00FF0C12" w:rsidRPr="00B01F9E">
        <w:rPr>
          <w:rFonts w:ascii="Arial" w:hAnsi="Arial" w:cs="Arial"/>
          <w:sz w:val="20"/>
          <w:szCs w:val="20"/>
        </w:rPr>
        <w:t xml:space="preserve">The requirements </w:t>
      </w:r>
      <w:r w:rsidR="00330AC3" w:rsidRPr="00B01F9E">
        <w:rPr>
          <w:rFonts w:ascii="Arial" w:hAnsi="Arial" w:cs="Arial"/>
          <w:sz w:val="20"/>
          <w:szCs w:val="20"/>
        </w:rPr>
        <w:t>were</w:t>
      </w:r>
      <w:r w:rsidR="00FF0C12" w:rsidRPr="00B01F9E">
        <w:rPr>
          <w:rFonts w:ascii="Arial" w:hAnsi="Arial" w:cs="Arial"/>
          <w:sz w:val="20"/>
          <w:szCs w:val="20"/>
        </w:rPr>
        <w:t xml:space="preserve"> </w:t>
      </w:r>
      <w:r w:rsidR="006E0830" w:rsidRPr="00B01F9E">
        <w:rPr>
          <w:rFonts w:ascii="Arial" w:hAnsi="Arial" w:cs="Arial"/>
          <w:sz w:val="20"/>
          <w:szCs w:val="20"/>
        </w:rPr>
        <w:t xml:space="preserve">initially </w:t>
      </w:r>
      <w:r w:rsidR="00FF0C12" w:rsidRPr="00B01F9E">
        <w:rPr>
          <w:rFonts w:ascii="Arial" w:hAnsi="Arial" w:cs="Arial"/>
          <w:sz w:val="20"/>
          <w:szCs w:val="20"/>
        </w:rPr>
        <w:t>at a high</w:t>
      </w:r>
      <w:r w:rsidR="001E2731" w:rsidRPr="00B01F9E">
        <w:rPr>
          <w:rFonts w:ascii="Arial" w:hAnsi="Arial" w:cs="Arial"/>
          <w:sz w:val="20"/>
          <w:szCs w:val="20"/>
        </w:rPr>
        <w:t>-</w:t>
      </w:r>
      <w:r w:rsidR="00FF0C12" w:rsidRPr="00B01F9E">
        <w:rPr>
          <w:rFonts w:ascii="Arial" w:hAnsi="Arial" w:cs="Arial"/>
          <w:sz w:val="20"/>
          <w:szCs w:val="20"/>
        </w:rPr>
        <w:t>level</w:t>
      </w:r>
      <w:r w:rsidR="006E0830" w:rsidRPr="00B01F9E">
        <w:rPr>
          <w:rFonts w:ascii="Arial" w:hAnsi="Arial" w:cs="Arial"/>
          <w:sz w:val="20"/>
          <w:szCs w:val="20"/>
        </w:rPr>
        <w:t xml:space="preserve"> </w:t>
      </w:r>
      <w:r w:rsidR="00DC1AB2" w:rsidRPr="00B01F9E">
        <w:rPr>
          <w:rFonts w:ascii="Arial" w:hAnsi="Arial" w:cs="Arial"/>
          <w:sz w:val="20"/>
          <w:szCs w:val="20"/>
        </w:rPr>
        <w:t>b</w:t>
      </w:r>
      <w:r w:rsidR="00B6038E" w:rsidRPr="00B01F9E">
        <w:rPr>
          <w:rFonts w:ascii="Arial" w:hAnsi="Arial" w:cs="Arial"/>
          <w:sz w:val="20"/>
          <w:szCs w:val="20"/>
        </w:rPr>
        <w:t>ut</w:t>
      </w:r>
      <w:r w:rsidR="006E0830" w:rsidRPr="00B01F9E">
        <w:rPr>
          <w:rFonts w:ascii="Arial" w:hAnsi="Arial" w:cs="Arial"/>
          <w:sz w:val="20"/>
          <w:szCs w:val="20"/>
        </w:rPr>
        <w:t xml:space="preserve"> evolved</w:t>
      </w:r>
      <w:r w:rsidR="00B6038E" w:rsidRPr="00B01F9E">
        <w:rPr>
          <w:rFonts w:ascii="Arial" w:hAnsi="Arial" w:cs="Arial"/>
          <w:sz w:val="20"/>
          <w:szCs w:val="20"/>
        </w:rPr>
        <w:t xml:space="preserve"> and matured</w:t>
      </w:r>
      <w:r w:rsidR="006E0830" w:rsidRPr="00B01F9E">
        <w:rPr>
          <w:rFonts w:ascii="Arial" w:hAnsi="Arial" w:cs="Arial"/>
          <w:sz w:val="20"/>
          <w:szCs w:val="20"/>
        </w:rPr>
        <w:t xml:space="preserve"> into more detailed requirements. </w:t>
      </w:r>
      <w:r w:rsidR="00B6038E" w:rsidRPr="00B01F9E">
        <w:rPr>
          <w:rFonts w:ascii="Arial" w:hAnsi="Arial" w:cs="Arial"/>
          <w:sz w:val="20"/>
          <w:szCs w:val="20"/>
        </w:rPr>
        <w:t xml:space="preserve">This </w:t>
      </w:r>
      <w:r w:rsidR="006E0830" w:rsidRPr="00B01F9E">
        <w:rPr>
          <w:rFonts w:ascii="Arial" w:hAnsi="Arial" w:cs="Arial"/>
          <w:sz w:val="20"/>
          <w:szCs w:val="20"/>
        </w:rPr>
        <w:t>le</w:t>
      </w:r>
      <w:r w:rsidR="00B6038E" w:rsidRPr="00B01F9E">
        <w:rPr>
          <w:rFonts w:ascii="Arial" w:hAnsi="Arial" w:cs="Arial"/>
          <w:sz w:val="20"/>
          <w:szCs w:val="20"/>
        </w:rPr>
        <w:t>d</w:t>
      </w:r>
      <w:r w:rsidR="006E0830" w:rsidRPr="00B01F9E">
        <w:rPr>
          <w:rFonts w:ascii="Arial" w:hAnsi="Arial" w:cs="Arial"/>
          <w:sz w:val="20"/>
          <w:szCs w:val="20"/>
        </w:rPr>
        <w:t xml:space="preserve"> to revision of </w:t>
      </w:r>
      <w:r w:rsidR="00B6038E" w:rsidRPr="00B01F9E">
        <w:rPr>
          <w:rFonts w:ascii="Arial" w:hAnsi="Arial" w:cs="Arial"/>
          <w:sz w:val="20"/>
          <w:szCs w:val="20"/>
        </w:rPr>
        <w:t>CAP’s</w:t>
      </w:r>
      <w:r w:rsidR="00FF0C12" w:rsidRPr="00B01F9E">
        <w:rPr>
          <w:rFonts w:ascii="Arial" w:hAnsi="Arial" w:cs="Arial"/>
          <w:sz w:val="20"/>
          <w:szCs w:val="20"/>
        </w:rPr>
        <w:t xml:space="preserve"> technical design and development efforts.</w:t>
      </w:r>
      <w:r w:rsidR="00DC1AB2" w:rsidRPr="00B01F9E">
        <w:rPr>
          <w:rFonts w:ascii="Arial" w:hAnsi="Arial" w:cs="Arial"/>
          <w:sz w:val="20"/>
          <w:szCs w:val="20"/>
        </w:rPr>
        <w:t xml:space="preserve"> </w:t>
      </w:r>
      <w:r w:rsidR="005B058A" w:rsidRPr="00B01F9E">
        <w:rPr>
          <w:rFonts w:ascii="Arial" w:hAnsi="Arial" w:cs="Arial"/>
          <w:sz w:val="20"/>
          <w:szCs w:val="20"/>
        </w:rPr>
        <w:t>The team</w:t>
      </w:r>
      <w:r w:rsidR="00DC1AB2" w:rsidRPr="00B01F9E">
        <w:rPr>
          <w:rFonts w:ascii="Arial" w:hAnsi="Arial" w:cs="Arial"/>
          <w:sz w:val="20"/>
          <w:szCs w:val="20"/>
        </w:rPr>
        <w:t xml:space="preserve"> w</w:t>
      </w:r>
      <w:r w:rsidR="00C85057" w:rsidRPr="00B01F9E">
        <w:rPr>
          <w:rFonts w:ascii="Arial" w:hAnsi="Arial" w:cs="Arial"/>
          <w:sz w:val="20"/>
          <w:szCs w:val="20"/>
        </w:rPr>
        <w:t>as</w:t>
      </w:r>
      <w:r w:rsidR="00DC1AB2" w:rsidRPr="00B01F9E">
        <w:rPr>
          <w:rFonts w:ascii="Arial" w:hAnsi="Arial" w:cs="Arial"/>
          <w:sz w:val="20"/>
          <w:szCs w:val="20"/>
        </w:rPr>
        <w:t xml:space="preserve"> not able to fully </w:t>
      </w:r>
      <w:r w:rsidR="00FF0C12" w:rsidRPr="00B01F9E">
        <w:rPr>
          <w:rFonts w:ascii="Arial" w:hAnsi="Arial" w:cs="Arial"/>
          <w:sz w:val="20"/>
          <w:szCs w:val="20"/>
        </w:rPr>
        <w:t>understand nuances and track changes effectively</w:t>
      </w:r>
      <w:r w:rsidR="00DC1AB2" w:rsidRPr="00B01F9E">
        <w:rPr>
          <w:rFonts w:ascii="Arial" w:hAnsi="Arial" w:cs="Arial"/>
          <w:sz w:val="20"/>
          <w:szCs w:val="20"/>
        </w:rPr>
        <w:t xml:space="preserve"> until the detailed requirements were available. </w:t>
      </w:r>
      <w:r w:rsidR="00033184" w:rsidRPr="00B01F9E">
        <w:rPr>
          <w:rFonts w:ascii="Arial" w:hAnsi="Arial" w:cs="Arial"/>
          <w:sz w:val="20"/>
          <w:szCs w:val="20"/>
        </w:rPr>
        <w:t>In future implementations, t</w:t>
      </w:r>
      <w:r w:rsidR="00DC1AB2" w:rsidRPr="00B01F9E">
        <w:rPr>
          <w:rFonts w:ascii="Arial" w:hAnsi="Arial" w:cs="Arial"/>
          <w:sz w:val="20"/>
          <w:szCs w:val="20"/>
        </w:rPr>
        <w:t xml:space="preserve">he team </w:t>
      </w:r>
      <w:r w:rsidR="00D503EA" w:rsidRPr="00B01F9E">
        <w:rPr>
          <w:rFonts w:ascii="Arial" w:hAnsi="Arial" w:cs="Arial"/>
          <w:sz w:val="20"/>
          <w:szCs w:val="20"/>
        </w:rPr>
        <w:t xml:space="preserve">should adopt a standardized approach, such as using </w:t>
      </w:r>
      <w:r w:rsidR="00292CFD" w:rsidRPr="00B01F9E">
        <w:rPr>
          <w:rFonts w:ascii="Arial" w:hAnsi="Arial" w:cs="Arial"/>
          <w:sz w:val="20"/>
          <w:szCs w:val="20"/>
        </w:rPr>
        <w:t>a project management tool (e.g.,</w:t>
      </w:r>
      <w:r w:rsidR="00942AC2" w:rsidRPr="00B01F9E">
        <w:rPr>
          <w:rFonts w:ascii="Arial" w:hAnsi="Arial" w:cs="Arial"/>
          <w:sz w:val="20"/>
          <w:szCs w:val="20"/>
        </w:rPr>
        <w:t xml:space="preserve"> </w:t>
      </w:r>
      <w:r w:rsidR="00D503EA" w:rsidRPr="00B01F9E">
        <w:rPr>
          <w:rFonts w:ascii="Arial" w:hAnsi="Arial" w:cs="Arial"/>
          <w:sz w:val="20"/>
          <w:szCs w:val="20"/>
        </w:rPr>
        <w:t>Jira</w:t>
      </w:r>
      <w:r w:rsidR="00292CFD" w:rsidRPr="00B01F9E">
        <w:rPr>
          <w:rFonts w:ascii="Arial" w:hAnsi="Arial" w:cs="Arial"/>
          <w:sz w:val="20"/>
          <w:szCs w:val="20"/>
        </w:rPr>
        <w:t>)</w:t>
      </w:r>
      <w:r w:rsidR="00D503EA" w:rsidRPr="00B01F9E">
        <w:rPr>
          <w:rFonts w:ascii="Arial" w:hAnsi="Arial" w:cs="Arial"/>
          <w:sz w:val="20"/>
          <w:szCs w:val="20"/>
        </w:rPr>
        <w:t xml:space="preserve"> to capture, </w:t>
      </w:r>
      <w:r w:rsidR="00B359C0" w:rsidRPr="00B01F9E">
        <w:rPr>
          <w:rFonts w:ascii="Arial" w:hAnsi="Arial" w:cs="Arial"/>
          <w:sz w:val="20"/>
          <w:szCs w:val="20"/>
        </w:rPr>
        <w:t>review,</w:t>
      </w:r>
      <w:r w:rsidR="00DC1AB2" w:rsidRPr="00B01F9E">
        <w:rPr>
          <w:rFonts w:ascii="Arial" w:hAnsi="Arial" w:cs="Arial"/>
          <w:sz w:val="20"/>
          <w:szCs w:val="20"/>
        </w:rPr>
        <w:t xml:space="preserve"> </w:t>
      </w:r>
      <w:r w:rsidR="00D503EA" w:rsidRPr="00B01F9E">
        <w:rPr>
          <w:rFonts w:ascii="Arial" w:hAnsi="Arial" w:cs="Arial"/>
          <w:sz w:val="20"/>
          <w:szCs w:val="20"/>
        </w:rPr>
        <w:t>document, track</w:t>
      </w:r>
      <w:r w:rsidR="00DC1AB2" w:rsidRPr="00B01F9E">
        <w:rPr>
          <w:rFonts w:ascii="Arial" w:hAnsi="Arial" w:cs="Arial"/>
          <w:sz w:val="20"/>
          <w:szCs w:val="20"/>
        </w:rPr>
        <w:t>, and update</w:t>
      </w:r>
      <w:r w:rsidR="00D503EA" w:rsidRPr="00B01F9E">
        <w:rPr>
          <w:rFonts w:ascii="Arial" w:hAnsi="Arial" w:cs="Arial"/>
          <w:sz w:val="20"/>
          <w:szCs w:val="20"/>
        </w:rPr>
        <w:t xml:space="preserve"> requirements</w:t>
      </w:r>
      <w:r w:rsidR="00DC1AB2" w:rsidRPr="00B01F9E">
        <w:rPr>
          <w:rFonts w:ascii="Arial" w:hAnsi="Arial" w:cs="Arial"/>
          <w:sz w:val="20"/>
          <w:szCs w:val="20"/>
        </w:rPr>
        <w:t>.</w:t>
      </w:r>
      <w:r w:rsidR="009E491B" w:rsidRPr="00B01F9E">
        <w:rPr>
          <w:rFonts w:ascii="Arial" w:hAnsi="Arial" w:cs="Arial"/>
          <w:sz w:val="20"/>
          <w:szCs w:val="20"/>
        </w:rPr>
        <w:t xml:space="preserve"> Additionally, </w:t>
      </w:r>
      <w:r w:rsidR="00A6367F" w:rsidRPr="00B01F9E">
        <w:rPr>
          <w:rFonts w:ascii="Arial" w:hAnsi="Arial" w:cs="Arial"/>
          <w:sz w:val="20"/>
          <w:szCs w:val="20"/>
        </w:rPr>
        <w:t xml:space="preserve">the team should </w:t>
      </w:r>
      <w:r w:rsidR="009E491B" w:rsidRPr="00B01F9E">
        <w:rPr>
          <w:rFonts w:ascii="Arial" w:hAnsi="Arial" w:cs="Arial"/>
          <w:sz w:val="20"/>
          <w:szCs w:val="20"/>
        </w:rPr>
        <w:t>conduct periodic reviews to assess the accuracy and relevance of requirements and make necessary adjustments.</w:t>
      </w:r>
    </w:p>
    <w:p w14:paraId="710F4120" w14:textId="5DC6B05C" w:rsidR="00965386" w:rsidRPr="00B01F9E" w:rsidRDefault="00FF0C12" w:rsidP="001D3FD7">
      <w:pPr>
        <w:pStyle w:val="ListParagraph"/>
        <w:numPr>
          <w:ilvl w:val="0"/>
          <w:numId w:val="78"/>
        </w:numPr>
        <w:spacing w:before="120" w:after="120" w:line="240" w:lineRule="auto"/>
        <w:rPr>
          <w:rFonts w:ascii="Arial" w:eastAsia="Times New Roman" w:hAnsi="Arial" w:cs="Arial"/>
          <w:sz w:val="20"/>
          <w:szCs w:val="20"/>
        </w:rPr>
      </w:pPr>
      <w:r w:rsidRPr="00B01F9E">
        <w:rPr>
          <w:rFonts w:ascii="Arial" w:hAnsi="Arial" w:cs="Arial"/>
          <w:b/>
          <w:bCs/>
          <w:sz w:val="20"/>
          <w:szCs w:val="20"/>
        </w:rPr>
        <w:t xml:space="preserve">Limited </w:t>
      </w:r>
      <w:r w:rsidR="0035693F" w:rsidRPr="00B01F9E">
        <w:rPr>
          <w:rFonts w:ascii="Arial" w:hAnsi="Arial" w:cs="Arial"/>
          <w:b/>
          <w:bCs/>
          <w:sz w:val="20"/>
          <w:szCs w:val="20"/>
        </w:rPr>
        <w:t>P</w:t>
      </w:r>
      <w:r w:rsidRPr="00B01F9E">
        <w:rPr>
          <w:rFonts w:ascii="Arial" w:hAnsi="Arial" w:cs="Arial"/>
          <w:b/>
          <w:bCs/>
          <w:sz w:val="20"/>
          <w:szCs w:val="20"/>
        </w:rPr>
        <w:t xml:space="preserve">roject </w:t>
      </w:r>
      <w:r w:rsidR="0035693F" w:rsidRPr="00B01F9E">
        <w:rPr>
          <w:rFonts w:ascii="Arial" w:hAnsi="Arial" w:cs="Arial"/>
          <w:b/>
          <w:bCs/>
          <w:sz w:val="20"/>
          <w:szCs w:val="20"/>
        </w:rPr>
        <w:t>S</w:t>
      </w:r>
      <w:r w:rsidRPr="00B01F9E">
        <w:rPr>
          <w:rFonts w:ascii="Arial" w:hAnsi="Arial" w:cs="Arial"/>
          <w:b/>
          <w:bCs/>
          <w:sz w:val="20"/>
          <w:szCs w:val="20"/>
        </w:rPr>
        <w:t xml:space="preserve">cope: </w:t>
      </w:r>
      <w:r w:rsidRPr="00B01F9E">
        <w:rPr>
          <w:rFonts w:ascii="Arial" w:hAnsi="Arial" w:cs="Arial"/>
          <w:sz w:val="20"/>
          <w:szCs w:val="20"/>
        </w:rPr>
        <w:t xml:space="preserve">While the impact </w:t>
      </w:r>
      <w:r w:rsidR="00A97D79" w:rsidRPr="00B01F9E">
        <w:rPr>
          <w:rFonts w:ascii="Arial" w:hAnsi="Arial" w:cs="Arial"/>
          <w:sz w:val="20"/>
          <w:szCs w:val="20"/>
        </w:rPr>
        <w:t>was</w:t>
      </w:r>
      <w:r w:rsidRPr="00B01F9E">
        <w:rPr>
          <w:rFonts w:ascii="Arial" w:hAnsi="Arial" w:cs="Arial"/>
          <w:sz w:val="20"/>
          <w:szCs w:val="20"/>
        </w:rPr>
        <w:t xml:space="preserve"> minimal for this proof of concept, the absence of a robust requirements process could pose risks in larger projects.</w:t>
      </w:r>
    </w:p>
    <w:p w14:paraId="080A396A" w14:textId="024F92A3" w:rsidR="00203857" w:rsidRPr="00B01F9E" w:rsidRDefault="00330AC3" w:rsidP="001D3FD7">
      <w:pPr>
        <w:pStyle w:val="ListParagraph"/>
        <w:numPr>
          <w:ilvl w:val="0"/>
          <w:numId w:val="78"/>
        </w:numPr>
        <w:spacing w:before="120" w:after="120" w:line="240" w:lineRule="auto"/>
        <w:rPr>
          <w:rFonts w:ascii="Arial" w:eastAsia="Times New Roman" w:hAnsi="Arial" w:cs="Arial"/>
          <w:sz w:val="20"/>
          <w:szCs w:val="20"/>
        </w:rPr>
      </w:pPr>
      <w:r w:rsidRPr="00B01F9E">
        <w:rPr>
          <w:rFonts w:ascii="Arial" w:hAnsi="Arial" w:cs="Arial"/>
          <w:b/>
          <w:bCs/>
          <w:sz w:val="20"/>
          <w:szCs w:val="20"/>
        </w:rPr>
        <w:t xml:space="preserve">Understanding </w:t>
      </w:r>
      <w:r w:rsidR="0035693F" w:rsidRPr="00B01F9E">
        <w:rPr>
          <w:rFonts w:ascii="Arial" w:hAnsi="Arial" w:cs="Arial"/>
          <w:b/>
          <w:bCs/>
          <w:sz w:val="20"/>
          <w:szCs w:val="20"/>
        </w:rPr>
        <w:t>B</w:t>
      </w:r>
      <w:r w:rsidRPr="00B01F9E">
        <w:rPr>
          <w:rFonts w:ascii="Arial" w:hAnsi="Arial" w:cs="Arial"/>
          <w:b/>
          <w:bCs/>
          <w:sz w:val="20"/>
          <w:szCs w:val="20"/>
        </w:rPr>
        <w:t xml:space="preserve">usiness </w:t>
      </w:r>
      <w:r w:rsidR="0035693F" w:rsidRPr="00B01F9E">
        <w:rPr>
          <w:rFonts w:ascii="Arial" w:hAnsi="Arial" w:cs="Arial"/>
          <w:b/>
          <w:bCs/>
          <w:sz w:val="20"/>
          <w:szCs w:val="20"/>
        </w:rPr>
        <w:t>R</w:t>
      </w:r>
      <w:r w:rsidRPr="00B01F9E">
        <w:rPr>
          <w:rFonts w:ascii="Arial" w:hAnsi="Arial" w:cs="Arial"/>
          <w:b/>
          <w:bCs/>
          <w:sz w:val="20"/>
          <w:szCs w:val="20"/>
        </w:rPr>
        <w:t>equirements</w:t>
      </w:r>
      <w:r w:rsidR="00203857" w:rsidRPr="00B01F9E">
        <w:rPr>
          <w:rFonts w:ascii="Arial" w:hAnsi="Arial" w:cs="Arial"/>
          <w:b/>
          <w:bCs/>
          <w:sz w:val="20"/>
          <w:szCs w:val="20"/>
        </w:rPr>
        <w:t>:</w:t>
      </w:r>
      <w:r w:rsidR="00203857" w:rsidRPr="00B01F9E">
        <w:rPr>
          <w:rFonts w:ascii="Arial" w:eastAsia="Times New Roman" w:hAnsi="Arial" w:cs="Arial"/>
          <w:sz w:val="20"/>
          <w:szCs w:val="20"/>
        </w:rPr>
        <w:t xml:space="preserve"> </w:t>
      </w:r>
      <w:r w:rsidR="00203857" w:rsidRPr="00B01F9E">
        <w:rPr>
          <w:rFonts w:ascii="Arial" w:hAnsi="Arial" w:cs="Arial"/>
          <w:sz w:val="20"/>
          <w:szCs w:val="20"/>
        </w:rPr>
        <w:t>The tech</w:t>
      </w:r>
      <w:r w:rsidRPr="00B01F9E">
        <w:rPr>
          <w:rFonts w:ascii="Arial" w:hAnsi="Arial" w:cs="Arial"/>
          <w:sz w:val="20"/>
          <w:szCs w:val="20"/>
        </w:rPr>
        <w:t>nical</w:t>
      </w:r>
      <w:r w:rsidR="00203857" w:rsidRPr="00B01F9E">
        <w:rPr>
          <w:rFonts w:ascii="Arial" w:hAnsi="Arial" w:cs="Arial"/>
          <w:sz w:val="20"/>
          <w:szCs w:val="20"/>
        </w:rPr>
        <w:t xml:space="preserve"> team faced challenges in understanding complex business requirements</w:t>
      </w:r>
      <w:r w:rsidR="00567DB2" w:rsidRPr="00B01F9E">
        <w:rPr>
          <w:rFonts w:ascii="Arial" w:hAnsi="Arial" w:cs="Arial"/>
          <w:sz w:val="20"/>
          <w:szCs w:val="20"/>
        </w:rPr>
        <w:t xml:space="preserve"> (e.g., test compendium workflow</w:t>
      </w:r>
      <w:r w:rsidR="005A26E3" w:rsidRPr="00B01F9E">
        <w:rPr>
          <w:rFonts w:ascii="Arial" w:hAnsi="Arial" w:cs="Arial"/>
          <w:sz w:val="20"/>
          <w:szCs w:val="20"/>
        </w:rPr>
        <w:t xml:space="preserve">, </w:t>
      </w:r>
      <w:r w:rsidR="009D5720" w:rsidRPr="00B01F9E">
        <w:rPr>
          <w:rFonts w:ascii="Arial" w:hAnsi="Arial" w:cs="Arial"/>
          <w:sz w:val="20"/>
          <w:szCs w:val="20"/>
        </w:rPr>
        <w:t>graded vs. non-graded analysis reporting)</w:t>
      </w:r>
      <w:r w:rsidR="00203857" w:rsidRPr="00B01F9E">
        <w:rPr>
          <w:rFonts w:ascii="Arial" w:hAnsi="Arial" w:cs="Arial"/>
          <w:sz w:val="20"/>
          <w:szCs w:val="20"/>
        </w:rPr>
        <w:t>, hindering their ability to deliver solutions that effectively meet business needs.</w:t>
      </w:r>
      <w:r w:rsidR="001D3FD7" w:rsidRPr="00B01F9E">
        <w:rPr>
          <w:rFonts w:ascii="Arial" w:hAnsi="Arial" w:cs="Arial"/>
          <w:sz w:val="20"/>
          <w:szCs w:val="20"/>
        </w:rPr>
        <w:t xml:space="preserve"> </w:t>
      </w:r>
      <w:r w:rsidR="00137023" w:rsidRPr="00B01F9E">
        <w:rPr>
          <w:rFonts w:ascii="Arial" w:hAnsi="Arial" w:cs="Arial"/>
          <w:sz w:val="20"/>
          <w:szCs w:val="20"/>
        </w:rPr>
        <w:t>It is recommended to c</w:t>
      </w:r>
      <w:r w:rsidR="002271FE" w:rsidRPr="00B01F9E">
        <w:rPr>
          <w:rFonts w:ascii="Arial" w:hAnsi="Arial" w:cs="Arial"/>
          <w:sz w:val="20"/>
          <w:szCs w:val="20"/>
        </w:rPr>
        <w:t>onsider including high-level training programs to equip the tech</w:t>
      </w:r>
      <w:r w:rsidR="001D3FD7" w:rsidRPr="00B01F9E">
        <w:rPr>
          <w:rFonts w:ascii="Arial" w:hAnsi="Arial" w:cs="Arial"/>
          <w:sz w:val="20"/>
          <w:szCs w:val="20"/>
        </w:rPr>
        <w:t>nical</w:t>
      </w:r>
      <w:r w:rsidR="002271FE" w:rsidRPr="00B01F9E">
        <w:rPr>
          <w:rFonts w:ascii="Arial" w:hAnsi="Arial" w:cs="Arial"/>
          <w:sz w:val="20"/>
          <w:szCs w:val="20"/>
        </w:rPr>
        <w:t xml:space="preserve"> team with a deep understanding of business processes, terminology, and objectives, enabling them to deliver more effective solutions.</w:t>
      </w:r>
    </w:p>
    <w:p w14:paraId="3555889E" w14:textId="791444CE" w:rsidR="00B63EB8" w:rsidRPr="00B01F9E" w:rsidRDefault="009F1F82" w:rsidP="00FB088B">
      <w:pPr>
        <w:pStyle w:val="Heading3"/>
        <w:spacing w:before="0" w:after="120"/>
        <w:rPr>
          <w:rFonts w:ascii="Arial" w:hAnsi="Arial" w:cs="Arial"/>
          <w:b/>
          <w:i/>
          <w:color w:val="009BBF"/>
          <w:sz w:val="20"/>
          <w:szCs w:val="20"/>
        </w:rPr>
      </w:pPr>
      <w:bookmarkStart w:id="359" w:name="_Toc177137005"/>
      <w:r w:rsidRPr="00B01F9E">
        <w:rPr>
          <w:rFonts w:ascii="Arial" w:hAnsi="Arial" w:cs="Arial"/>
          <w:b/>
          <w:i/>
          <w:iCs/>
          <w:color w:val="009BBF"/>
          <w:sz w:val="20"/>
          <w:szCs w:val="20"/>
        </w:rPr>
        <w:t>3</w:t>
      </w:r>
      <w:r w:rsidR="00B63EB8" w:rsidRPr="00B01F9E">
        <w:rPr>
          <w:rFonts w:ascii="Arial" w:hAnsi="Arial" w:cs="Arial"/>
          <w:b/>
          <w:i/>
          <w:iCs/>
          <w:color w:val="009BBF"/>
          <w:sz w:val="20"/>
          <w:szCs w:val="20"/>
        </w:rPr>
        <w:t>.</w:t>
      </w:r>
      <w:r w:rsidR="00A83026" w:rsidRPr="00B01F9E">
        <w:rPr>
          <w:rFonts w:ascii="Arial" w:hAnsi="Arial" w:cs="Arial"/>
          <w:b/>
          <w:i/>
          <w:iCs/>
          <w:color w:val="009BBF"/>
          <w:sz w:val="20"/>
          <w:szCs w:val="20"/>
        </w:rPr>
        <w:t>9</w:t>
      </w:r>
      <w:r w:rsidR="00B63EB8" w:rsidRPr="00B01F9E">
        <w:rPr>
          <w:rFonts w:ascii="Arial" w:hAnsi="Arial" w:cs="Arial"/>
          <w:b/>
          <w:i/>
          <w:iCs/>
          <w:color w:val="009BBF"/>
          <w:sz w:val="20"/>
          <w:szCs w:val="20"/>
        </w:rPr>
        <w:t>.</w:t>
      </w:r>
      <w:r w:rsidR="00E4184F" w:rsidRPr="00B01F9E">
        <w:rPr>
          <w:rFonts w:ascii="Arial" w:hAnsi="Arial" w:cs="Arial"/>
          <w:b/>
          <w:i/>
          <w:iCs/>
          <w:color w:val="009BBF"/>
          <w:sz w:val="20"/>
          <w:szCs w:val="20"/>
        </w:rPr>
        <w:t>2</w:t>
      </w:r>
      <w:r w:rsidR="00B63EB8" w:rsidRPr="00B01F9E">
        <w:rPr>
          <w:rFonts w:ascii="Arial" w:hAnsi="Arial" w:cs="Arial"/>
          <w:b/>
          <w:i/>
          <w:iCs/>
          <w:color w:val="009BBF"/>
          <w:sz w:val="20"/>
          <w:szCs w:val="20"/>
        </w:rPr>
        <w:t xml:space="preserve"> </w:t>
      </w:r>
      <w:r w:rsidR="0089589B" w:rsidRPr="00B01F9E">
        <w:rPr>
          <w:rFonts w:ascii="Arial" w:hAnsi="Arial" w:cs="Arial"/>
          <w:b/>
          <w:i/>
          <w:iCs/>
          <w:color w:val="009BBF"/>
          <w:sz w:val="20"/>
          <w:szCs w:val="20"/>
        </w:rPr>
        <w:t>Duke</w:t>
      </w:r>
      <w:r w:rsidR="0089589B" w:rsidRPr="00B01F9E">
        <w:rPr>
          <w:rFonts w:ascii="Arial" w:hAnsi="Arial" w:cs="Arial"/>
          <w:b/>
          <w:i/>
          <w:color w:val="009BBF"/>
          <w:sz w:val="20"/>
          <w:szCs w:val="20"/>
        </w:rPr>
        <w:t xml:space="preserve"> </w:t>
      </w:r>
      <w:r w:rsidR="00B63EB8" w:rsidRPr="00B01F9E">
        <w:rPr>
          <w:rFonts w:ascii="Arial" w:hAnsi="Arial" w:cs="Arial"/>
          <w:b/>
          <w:i/>
          <w:color w:val="009BBF"/>
          <w:sz w:val="20"/>
          <w:szCs w:val="20"/>
        </w:rPr>
        <w:t>Laboratory Perspective</w:t>
      </w:r>
      <w:bookmarkEnd w:id="359"/>
      <w:r w:rsidR="00B63EB8" w:rsidRPr="00B01F9E">
        <w:rPr>
          <w:rFonts w:ascii="Arial" w:hAnsi="Arial" w:cs="Arial"/>
          <w:b/>
          <w:i/>
          <w:color w:val="009BBF"/>
          <w:sz w:val="20"/>
          <w:szCs w:val="20"/>
        </w:rPr>
        <w:t xml:space="preserve"> </w:t>
      </w:r>
    </w:p>
    <w:p w14:paraId="604EBF27" w14:textId="1AF16784" w:rsidR="00466E33" w:rsidRPr="00B01F9E" w:rsidRDefault="004F0B7E" w:rsidP="00FB088B">
      <w:pPr>
        <w:spacing w:after="120"/>
        <w:rPr>
          <w:rFonts w:ascii="Arial" w:hAnsi="Arial" w:cs="Arial"/>
          <w:bCs/>
          <w:sz w:val="20"/>
          <w:szCs w:val="20"/>
        </w:rPr>
      </w:pPr>
      <w:r w:rsidRPr="00B01F9E">
        <w:rPr>
          <w:rFonts w:ascii="Arial" w:hAnsi="Arial" w:cs="Arial"/>
          <w:bCs/>
          <w:sz w:val="20"/>
          <w:szCs w:val="20"/>
        </w:rPr>
        <w:t>M</w:t>
      </w:r>
      <w:r w:rsidR="001B3EE3" w:rsidRPr="00B01F9E">
        <w:rPr>
          <w:rFonts w:ascii="Arial" w:hAnsi="Arial" w:cs="Arial"/>
          <w:bCs/>
          <w:sz w:val="20"/>
          <w:szCs w:val="20"/>
        </w:rPr>
        <w:t xml:space="preserve">embers of the CAP team visited the </w:t>
      </w:r>
      <w:proofErr w:type="gramStart"/>
      <w:r w:rsidR="001B3EE3" w:rsidRPr="00B01F9E">
        <w:rPr>
          <w:rFonts w:ascii="Arial" w:hAnsi="Arial" w:cs="Arial"/>
          <w:bCs/>
          <w:sz w:val="20"/>
          <w:szCs w:val="20"/>
        </w:rPr>
        <w:t>Duke</w:t>
      </w:r>
      <w:proofErr w:type="gramEnd"/>
      <w:r w:rsidR="001B3EE3" w:rsidRPr="00B01F9E">
        <w:rPr>
          <w:rFonts w:ascii="Arial" w:hAnsi="Arial" w:cs="Arial"/>
          <w:bCs/>
          <w:sz w:val="20"/>
          <w:szCs w:val="20"/>
        </w:rPr>
        <w:t xml:space="preserve"> laboratory in person and held a session to gather feedback and lessons learned from the laboratory’s perspective </w:t>
      </w:r>
      <w:r w:rsidR="00F665A7" w:rsidRPr="00B01F9E">
        <w:rPr>
          <w:rFonts w:ascii="Arial" w:hAnsi="Arial" w:cs="Arial"/>
          <w:bCs/>
          <w:sz w:val="20"/>
          <w:szCs w:val="20"/>
        </w:rPr>
        <w:t xml:space="preserve">regarding </w:t>
      </w:r>
      <w:r w:rsidR="001B3EE3" w:rsidRPr="00B01F9E">
        <w:rPr>
          <w:rFonts w:ascii="Arial" w:hAnsi="Arial" w:cs="Arial"/>
          <w:bCs/>
          <w:sz w:val="20"/>
          <w:szCs w:val="20"/>
        </w:rPr>
        <w:t>participati</w:t>
      </w:r>
      <w:r w:rsidR="00F665A7" w:rsidRPr="00B01F9E">
        <w:rPr>
          <w:rFonts w:ascii="Arial" w:hAnsi="Arial" w:cs="Arial"/>
          <w:bCs/>
          <w:sz w:val="20"/>
          <w:szCs w:val="20"/>
        </w:rPr>
        <w:t>on</w:t>
      </w:r>
      <w:r w:rsidR="001B3EE3" w:rsidRPr="00B01F9E">
        <w:rPr>
          <w:rFonts w:ascii="Arial" w:hAnsi="Arial" w:cs="Arial"/>
          <w:bCs/>
          <w:sz w:val="20"/>
          <w:szCs w:val="20"/>
        </w:rPr>
        <w:t xml:space="preserve"> in the POC. Additionally,</w:t>
      </w:r>
      <w:r w:rsidR="0065356E" w:rsidRPr="00B01F9E">
        <w:rPr>
          <w:rFonts w:ascii="Arial" w:hAnsi="Arial" w:cs="Arial"/>
          <w:bCs/>
          <w:sz w:val="20"/>
          <w:szCs w:val="20"/>
        </w:rPr>
        <w:t xml:space="preserve"> the CAP designed a </w:t>
      </w:r>
      <w:r w:rsidR="000778B5" w:rsidRPr="00B01F9E">
        <w:rPr>
          <w:rFonts w:ascii="Arial" w:hAnsi="Arial" w:cs="Arial"/>
          <w:bCs/>
          <w:sz w:val="20"/>
          <w:szCs w:val="20"/>
        </w:rPr>
        <w:t>coding feedback</w:t>
      </w:r>
      <w:r w:rsidR="0065356E" w:rsidRPr="00B01F9E">
        <w:rPr>
          <w:rFonts w:ascii="Arial" w:hAnsi="Arial" w:cs="Arial"/>
          <w:bCs/>
          <w:sz w:val="20"/>
          <w:szCs w:val="20"/>
        </w:rPr>
        <w:t xml:space="preserve"> </w:t>
      </w:r>
      <w:r w:rsidR="000778B5" w:rsidRPr="00B01F9E">
        <w:rPr>
          <w:rFonts w:ascii="Arial" w:hAnsi="Arial" w:cs="Arial"/>
          <w:bCs/>
          <w:sz w:val="20"/>
          <w:szCs w:val="20"/>
        </w:rPr>
        <w:t>s</w:t>
      </w:r>
      <w:r w:rsidR="00C65C64" w:rsidRPr="00B01F9E">
        <w:rPr>
          <w:rFonts w:ascii="Arial" w:hAnsi="Arial" w:cs="Arial"/>
          <w:bCs/>
          <w:sz w:val="20"/>
          <w:szCs w:val="20"/>
        </w:rPr>
        <w:t>urvey</w:t>
      </w:r>
      <w:r w:rsidR="0065356E" w:rsidRPr="00B01F9E">
        <w:rPr>
          <w:rFonts w:ascii="Arial" w:hAnsi="Arial" w:cs="Arial"/>
          <w:bCs/>
          <w:sz w:val="20"/>
          <w:szCs w:val="20"/>
        </w:rPr>
        <w:t xml:space="preserve"> for Duke to provide feedback on roadblocks </w:t>
      </w:r>
      <w:r w:rsidR="00C65C64" w:rsidRPr="00B01F9E">
        <w:rPr>
          <w:rFonts w:ascii="Arial" w:hAnsi="Arial" w:cs="Arial"/>
          <w:bCs/>
          <w:sz w:val="20"/>
          <w:szCs w:val="20"/>
        </w:rPr>
        <w:t xml:space="preserve">and </w:t>
      </w:r>
      <w:r w:rsidR="0065356E" w:rsidRPr="00B01F9E">
        <w:rPr>
          <w:rFonts w:ascii="Arial" w:hAnsi="Arial" w:cs="Arial"/>
          <w:bCs/>
          <w:sz w:val="20"/>
          <w:szCs w:val="20"/>
        </w:rPr>
        <w:t>challenges to proper coding, development, and collaboration.</w:t>
      </w:r>
      <w:r w:rsidR="001B3EE3" w:rsidRPr="00B01F9E">
        <w:rPr>
          <w:rFonts w:ascii="Arial" w:hAnsi="Arial" w:cs="Arial"/>
          <w:bCs/>
          <w:sz w:val="20"/>
          <w:szCs w:val="20"/>
        </w:rPr>
        <w:t xml:space="preserve"> </w:t>
      </w:r>
      <w:r w:rsidR="00A276D7" w:rsidRPr="00B01F9E">
        <w:rPr>
          <w:rFonts w:ascii="Arial" w:hAnsi="Arial" w:cs="Arial"/>
          <w:bCs/>
          <w:sz w:val="20"/>
          <w:szCs w:val="20"/>
        </w:rPr>
        <w:t xml:space="preserve">Due to the nature of the POC, the feedback received </w:t>
      </w:r>
      <w:r w:rsidR="00AD44FE" w:rsidRPr="00B01F9E">
        <w:rPr>
          <w:rFonts w:ascii="Arial" w:hAnsi="Arial" w:cs="Arial"/>
          <w:bCs/>
          <w:sz w:val="20"/>
          <w:szCs w:val="20"/>
        </w:rPr>
        <w:t xml:space="preserve">varied based on the role of the resource. The findings below are summarized from the perspective of the IT analyst, rather than </w:t>
      </w:r>
      <w:r w:rsidR="00093650" w:rsidRPr="00B01F9E">
        <w:rPr>
          <w:rFonts w:ascii="Arial" w:hAnsi="Arial" w:cs="Arial"/>
          <w:bCs/>
          <w:sz w:val="20"/>
          <w:szCs w:val="20"/>
        </w:rPr>
        <w:t>clinical laboratory staff</w:t>
      </w:r>
      <w:r w:rsidR="00AD44FE" w:rsidRPr="00B01F9E">
        <w:rPr>
          <w:rFonts w:ascii="Arial" w:hAnsi="Arial" w:cs="Arial"/>
          <w:bCs/>
          <w:sz w:val="20"/>
          <w:szCs w:val="20"/>
        </w:rPr>
        <w:t xml:space="preserve">. </w:t>
      </w:r>
      <w:r w:rsidR="003B5701" w:rsidRPr="00B01F9E">
        <w:rPr>
          <w:rFonts w:ascii="Arial" w:hAnsi="Arial" w:cs="Arial"/>
          <w:bCs/>
          <w:sz w:val="20"/>
          <w:szCs w:val="20"/>
        </w:rPr>
        <w:t xml:space="preserve">Because the laboratory staff </w:t>
      </w:r>
      <w:r w:rsidR="00A11869" w:rsidRPr="00B01F9E">
        <w:rPr>
          <w:rFonts w:ascii="Arial" w:hAnsi="Arial" w:cs="Arial"/>
          <w:bCs/>
          <w:sz w:val="20"/>
          <w:szCs w:val="20"/>
        </w:rPr>
        <w:t xml:space="preserve">had limited </w:t>
      </w:r>
      <w:r w:rsidR="003968B4" w:rsidRPr="00B01F9E">
        <w:rPr>
          <w:rFonts w:ascii="Arial" w:hAnsi="Arial" w:cs="Arial"/>
          <w:bCs/>
          <w:sz w:val="20"/>
          <w:szCs w:val="20"/>
        </w:rPr>
        <w:t>roles</w:t>
      </w:r>
      <w:r w:rsidR="003B5701" w:rsidRPr="00B01F9E">
        <w:rPr>
          <w:rFonts w:ascii="Arial" w:hAnsi="Arial" w:cs="Arial"/>
          <w:bCs/>
          <w:sz w:val="20"/>
          <w:szCs w:val="20"/>
        </w:rPr>
        <w:t xml:space="preserve"> in the POC, valuable feedback related to decision making, research required, and time involvement </w:t>
      </w:r>
      <w:r w:rsidR="00E3734D" w:rsidRPr="00B01F9E">
        <w:rPr>
          <w:rFonts w:ascii="Arial" w:hAnsi="Arial" w:cs="Arial"/>
          <w:bCs/>
          <w:sz w:val="20"/>
          <w:szCs w:val="20"/>
        </w:rPr>
        <w:t>was</w:t>
      </w:r>
      <w:r w:rsidR="003B5701" w:rsidRPr="00B01F9E">
        <w:rPr>
          <w:rFonts w:ascii="Arial" w:hAnsi="Arial" w:cs="Arial"/>
          <w:bCs/>
          <w:sz w:val="20"/>
          <w:szCs w:val="20"/>
        </w:rPr>
        <w:t xml:space="preserve"> not captured. </w:t>
      </w:r>
      <w:r w:rsidR="00437E31" w:rsidRPr="00B01F9E">
        <w:rPr>
          <w:rFonts w:ascii="Arial" w:hAnsi="Arial" w:cs="Arial"/>
          <w:bCs/>
          <w:sz w:val="20"/>
          <w:szCs w:val="20"/>
        </w:rPr>
        <w:t xml:space="preserve">Please refer to </w:t>
      </w:r>
      <w:hyperlink w:anchor="_7.3.1.2_Coding_Feedback_1" w:history="1">
        <w:r w:rsidR="00437E31" w:rsidRPr="00B01F9E">
          <w:rPr>
            <w:rStyle w:val="Hyperlink"/>
            <w:rFonts w:ascii="Arial" w:hAnsi="Arial" w:cs="Arial"/>
            <w:bCs/>
            <w:sz w:val="20"/>
            <w:szCs w:val="20"/>
          </w:rPr>
          <w:t xml:space="preserve">Section </w:t>
        </w:r>
        <w:r w:rsidR="00CD7401" w:rsidRPr="00B01F9E">
          <w:rPr>
            <w:rStyle w:val="Hyperlink"/>
            <w:rFonts w:ascii="Arial" w:hAnsi="Arial" w:cs="Arial"/>
            <w:bCs/>
            <w:sz w:val="20"/>
            <w:szCs w:val="20"/>
          </w:rPr>
          <w:t>7</w:t>
        </w:r>
        <w:r w:rsidR="00F20248" w:rsidRPr="00B01F9E">
          <w:rPr>
            <w:rStyle w:val="Hyperlink"/>
            <w:rFonts w:ascii="Arial" w:hAnsi="Arial" w:cs="Arial"/>
            <w:bCs/>
            <w:sz w:val="20"/>
            <w:szCs w:val="20"/>
          </w:rPr>
          <w:t>.3.1.2</w:t>
        </w:r>
      </w:hyperlink>
      <w:r w:rsidR="00356FC3" w:rsidRPr="00B01F9E">
        <w:fldChar w:fldCharType="begin"/>
      </w:r>
      <w:r w:rsidR="00356FC3" w:rsidRPr="00B01F9E">
        <w:fldChar w:fldCharType="separate"/>
      </w:r>
      <w:r w:rsidR="00356FC3" w:rsidRPr="00B01F9E">
        <w:rPr>
          <w:rStyle w:val="Hyperlink"/>
          <w:rFonts w:ascii="Arial" w:hAnsi="Arial" w:cs="Arial"/>
          <w:sz w:val="20"/>
          <w:szCs w:val="20"/>
        </w:rPr>
        <w:t>8.3.1.2</w:t>
      </w:r>
      <w:r w:rsidR="00356FC3" w:rsidRPr="00B01F9E">
        <w:rPr>
          <w:rStyle w:val="Hyperlink"/>
          <w:rFonts w:ascii="Arial" w:hAnsi="Arial" w:cs="Arial"/>
          <w:sz w:val="20"/>
          <w:szCs w:val="20"/>
        </w:rPr>
        <w:fldChar w:fldCharType="end"/>
      </w:r>
      <w:r w:rsidR="00437E31" w:rsidRPr="00B01F9E">
        <w:rPr>
          <w:rFonts w:ascii="Arial" w:hAnsi="Arial" w:cs="Arial"/>
          <w:bCs/>
          <w:sz w:val="20"/>
          <w:szCs w:val="20"/>
        </w:rPr>
        <w:t xml:space="preserve"> for the full survey that was shared with Duke. </w:t>
      </w:r>
    </w:p>
    <w:p w14:paraId="0DC6FA40" w14:textId="623997E8" w:rsidR="001B3EE3" w:rsidRPr="00B01F9E" w:rsidRDefault="00437E31" w:rsidP="00FB088B">
      <w:pPr>
        <w:spacing w:after="120"/>
        <w:rPr>
          <w:rFonts w:ascii="Arial" w:hAnsi="Arial" w:cs="Arial"/>
          <w:bCs/>
          <w:sz w:val="20"/>
          <w:szCs w:val="20"/>
        </w:rPr>
      </w:pPr>
      <w:r w:rsidRPr="00B01F9E">
        <w:rPr>
          <w:rFonts w:ascii="Arial" w:hAnsi="Arial" w:cs="Arial"/>
          <w:bCs/>
          <w:sz w:val="20"/>
          <w:szCs w:val="20"/>
        </w:rPr>
        <w:t>The feedback from the meeting and findings from the survey are incorporated into the lessons learned below.</w:t>
      </w:r>
      <w:r w:rsidR="001E5873" w:rsidRPr="00B01F9E">
        <w:rPr>
          <w:rFonts w:ascii="Arial" w:hAnsi="Arial" w:cs="Arial"/>
          <w:bCs/>
          <w:sz w:val="20"/>
          <w:szCs w:val="20"/>
        </w:rPr>
        <w:t xml:space="preserve"> </w:t>
      </w:r>
    </w:p>
    <w:p w14:paraId="6F7D6883" w14:textId="5D548033" w:rsidR="004A77CD" w:rsidRPr="00B01F9E" w:rsidRDefault="004A77CD" w:rsidP="00FB088B">
      <w:pPr>
        <w:spacing w:after="120"/>
        <w:rPr>
          <w:rFonts w:ascii="Arial" w:hAnsi="Arial" w:cs="Arial"/>
          <w:b/>
          <w:sz w:val="20"/>
          <w:szCs w:val="20"/>
        </w:rPr>
      </w:pPr>
      <w:r w:rsidRPr="00B01F9E">
        <w:rPr>
          <w:rFonts w:ascii="Arial" w:hAnsi="Arial" w:cs="Arial"/>
          <w:b/>
          <w:sz w:val="20"/>
          <w:szCs w:val="20"/>
        </w:rPr>
        <w:t xml:space="preserve">Lessons Learned: </w:t>
      </w:r>
    </w:p>
    <w:p w14:paraId="7DD4F8D7" w14:textId="783D133F" w:rsidR="004A77CD" w:rsidRPr="00B01F9E" w:rsidRDefault="00C96790" w:rsidP="008872C0">
      <w:pPr>
        <w:pStyle w:val="ListParagraph"/>
        <w:numPr>
          <w:ilvl w:val="0"/>
          <w:numId w:val="42"/>
        </w:numPr>
        <w:rPr>
          <w:rFonts w:ascii="Arial" w:hAnsi="Arial" w:cs="Arial"/>
          <w:b/>
          <w:bCs/>
          <w:sz w:val="20"/>
          <w:szCs w:val="20"/>
        </w:rPr>
      </w:pPr>
      <w:r w:rsidRPr="00B01F9E">
        <w:rPr>
          <w:rFonts w:ascii="Arial" w:hAnsi="Arial" w:cs="Arial"/>
          <w:b/>
          <w:sz w:val="20"/>
          <w:szCs w:val="20"/>
        </w:rPr>
        <w:t xml:space="preserve">Resource </w:t>
      </w:r>
      <w:r w:rsidR="0035693F" w:rsidRPr="00B01F9E">
        <w:rPr>
          <w:rFonts w:ascii="Arial" w:hAnsi="Arial" w:cs="Arial"/>
          <w:b/>
          <w:sz w:val="20"/>
          <w:szCs w:val="20"/>
        </w:rPr>
        <w:t>C</w:t>
      </w:r>
      <w:r w:rsidRPr="00B01F9E">
        <w:rPr>
          <w:rFonts w:ascii="Arial" w:hAnsi="Arial" w:cs="Arial"/>
          <w:b/>
          <w:sz w:val="20"/>
          <w:szCs w:val="20"/>
        </w:rPr>
        <w:t xml:space="preserve">onstraints: </w:t>
      </w:r>
      <w:r w:rsidR="008872C0" w:rsidRPr="00B01F9E">
        <w:rPr>
          <w:rFonts w:ascii="Arial" w:hAnsi="Arial" w:cs="Arial"/>
          <w:sz w:val="20"/>
          <w:szCs w:val="20"/>
        </w:rPr>
        <w:t>Although Duke</w:t>
      </w:r>
      <w:r w:rsidR="00217461" w:rsidRPr="00B01F9E">
        <w:rPr>
          <w:rFonts w:ascii="Arial" w:hAnsi="Arial" w:cs="Arial"/>
          <w:sz w:val="20"/>
          <w:szCs w:val="20"/>
        </w:rPr>
        <w:t xml:space="preserve"> backfilled some LIS resources, additional backup support would have been beneficial. </w:t>
      </w:r>
      <w:r w:rsidR="00CF54E0" w:rsidRPr="00B01F9E">
        <w:rPr>
          <w:rFonts w:ascii="Arial" w:hAnsi="Arial" w:cs="Arial"/>
          <w:sz w:val="20"/>
          <w:szCs w:val="20"/>
        </w:rPr>
        <w:t xml:space="preserve">Additionally, competing work priorities </w:t>
      </w:r>
      <w:r w:rsidR="00566D27" w:rsidRPr="00B01F9E">
        <w:rPr>
          <w:rFonts w:ascii="Arial" w:hAnsi="Arial" w:cs="Arial"/>
          <w:sz w:val="20"/>
          <w:szCs w:val="20"/>
        </w:rPr>
        <w:t>contributed to project challenges.</w:t>
      </w:r>
    </w:p>
    <w:p w14:paraId="7F0C16EA" w14:textId="0721A380" w:rsidR="00566D27" w:rsidRPr="00B01F9E" w:rsidRDefault="00566D27" w:rsidP="008872C0">
      <w:pPr>
        <w:pStyle w:val="ListParagraph"/>
        <w:numPr>
          <w:ilvl w:val="0"/>
          <w:numId w:val="42"/>
        </w:numPr>
        <w:rPr>
          <w:rFonts w:ascii="Arial" w:hAnsi="Arial" w:cs="Arial"/>
          <w:b/>
          <w:bCs/>
          <w:sz w:val="20"/>
          <w:szCs w:val="20"/>
        </w:rPr>
      </w:pPr>
      <w:r w:rsidRPr="00B01F9E">
        <w:rPr>
          <w:rFonts w:ascii="Arial" w:hAnsi="Arial" w:cs="Arial"/>
          <w:b/>
          <w:sz w:val="20"/>
          <w:szCs w:val="20"/>
        </w:rPr>
        <w:t xml:space="preserve">Difficulty in Encoding and Transmitting LIDR </w:t>
      </w:r>
      <w:r w:rsidR="0035693F" w:rsidRPr="00B01F9E">
        <w:rPr>
          <w:rFonts w:ascii="Arial" w:hAnsi="Arial" w:cs="Arial"/>
          <w:b/>
          <w:sz w:val="20"/>
          <w:szCs w:val="20"/>
        </w:rPr>
        <w:t>C</w:t>
      </w:r>
      <w:r w:rsidRPr="00B01F9E">
        <w:rPr>
          <w:rFonts w:ascii="Arial" w:hAnsi="Arial" w:cs="Arial"/>
          <w:b/>
          <w:sz w:val="20"/>
          <w:szCs w:val="20"/>
        </w:rPr>
        <w:t>odes:</w:t>
      </w:r>
      <w:r w:rsidRPr="00B01F9E">
        <w:rPr>
          <w:rFonts w:ascii="Arial" w:hAnsi="Arial" w:cs="Arial"/>
          <w:b/>
          <w:bCs/>
          <w:sz w:val="20"/>
          <w:szCs w:val="20"/>
        </w:rPr>
        <w:t xml:space="preserve"> </w:t>
      </w:r>
      <w:r w:rsidRPr="00B01F9E">
        <w:rPr>
          <w:rFonts w:ascii="Arial" w:hAnsi="Arial" w:cs="Arial"/>
          <w:sz w:val="20"/>
          <w:szCs w:val="20"/>
        </w:rPr>
        <w:t>The average</w:t>
      </w:r>
      <w:r w:rsidRPr="00B01F9E">
        <w:rPr>
          <w:rFonts w:ascii="Arial" w:hAnsi="Arial" w:cs="Arial"/>
          <w:b/>
          <w:bCs/>
          <w:sz w:val="20"/>
          <w:szCs w:val="20"/>
        </w:rPr>
        <w:t xml:space="preserve"> </w:t>
      </w:r>
      <w:r w:rsidRPr="00B01F9E">
        <w:rPr>
          <w:rFonts w:ascii="Arial" w:hAnsi="Arial" w:cs="Arial"/>
          <w:sz w:val="20"/>
          <w:szCs w:val="20"/>
        </w:rPr>
        <w:t xml:space="preserve">difficulty rating for encoding LIDR codes was </w:t>
      </w:r>
      <w:r w:rsidR="001553D8" w:rsidRPr="00B01F9E">
        <w:rPr>
          <w:rFonts w:ascii="Arial" w:hAnsi="Arial" w:cs="Arial"/>
          <w:sz w:val="20"/>
          <w:szCs w:val="20"/>
        </w:rPr>
        <w:t xml:space="preserve">an average of </w:t>
      </w:r>
      <w:r w:rsidRPr="00B01F9E">
        <w:rPr>
          <w:rFonts w:ascii="Arial" w:hAnsi="Arial" w:cs="Arial"/>
          <w:sz w:val="20"/>
          <w:szCs w:val="20"/>
        </w:rPr>
        <w:t>3.5 out of 5</w:t>
      </w:r>
      <w:r w:rsidR="00997109" w:rsidRPr="00B01F9E">
        <w:rPr>
          <w:rFonts w:ascii="Arial" w:hAnsi="Arial" w:cs="Arial"/>
          <w:sz w:val="20"/>
          <w:szCs w:val="20"/>
        </w:rPr>
        <w:t xml:space="preserve"> (</w:t>
      </w:r>
      <w:r w:rsidR="00871E2D" w:rsidRPr="00B01F9E">
        <w:rPr>
          <w:rFonts w:ascii="Arial" w:hAnsi="Arial" w:cs="Arial"/>
          <w:sz w:val="20"/>
          <w:szCs w:val="20"/>
        </w:rPr>
        <w:t>5 being the most difficult)</w:t>
      </w:r>
      <w:r w:rsidRPr="00B01F9E">
        <w:rPr>
          <w:rFonts w:ascii="Arial" w:hAnsi="Arial" w:cs="Arial"/>
          <w:sz w:val="20"/>
          <w:szCs w:val="20"/>
        </w:rPr>
        <w:t>, while transmitting them was rated at</w:t>
      </w:r>
      <w:r w:rsidR="001553D8" w:rsidRPr="00B01F9E">
        <w:rPr>
          <w:rFonts w:ascii="Arial" w:hAnsi="Arial" w:cs="Arial"/>
          <w:sz w:val="20"/>
          <w:szCs w:val="20"/>
        </w:rPr>
        <w:t xml:space="preserve"> an average of</w:t>
      </w:r>
      <w:r w:rsidRPr="00B01F9E">
        <w:rPr>
          <w:rFonts w:ascii="Arial" w:hAnsi="Arial" w:cs="Arial"/>
          <w:sz w:val="20"/>
          <w:szCs w:val="20"/>
        </w:rPr>
        <w:t xml:space="preserve"> 3 out of 5. </w:t>
      </w:r>
      <w:r w:rsidR="00846C48" w:rsidRPr="00B01F9E">
        <w:rPr>
          <w:rFonts w:ascii="Arial" w:hAnsi="Arial" w:cs="Arial"/>
          <w:sz w:val="20"/>
          <w:szCs w:val="20"/>
        </w:rPr>
        <w:t xml:space="preserve">Encoding the LIDR codes proved difficult due to multiple changes and versions of the LIDR file. The team acknowledged that once the </w:t>
      </w:r>
      <w:r w:rsidR="00846C48" w:rsidRPr="00B01F9E">
        <w:rPr>
          <w:rFonts w:ascii="Arial" w:hAnsi="Arial" w:cs="Arial"/>
          <w:sz w:val="20"/>
          <w:szCs w:val="20"/>
        </w:rPr>
        <w:lastRenderedPageBreak/>
        <w:t xml:space="preserve">process became more standardized, encoding the LIDR codes </w:t>
      </w:r>
      <w:r w:rsidR="00AD6EFE" w:rsidRPr="00B01F9E">
        <w:rPr>
          <w:rFonts w:ascii="Arial" w:hAnsi="Arial" w:cs="Arial"/>
          <w:sz w:val="20"/>
          <w:szCs w:val="20"/>
        </w:rPr>
        <w:t>was</w:t>
      </w:r>
      <w:r w:rsidR="00846C48" w:rsidRPr="00B01F9E">
        <w:rPr>
          <w:rFonts w:ascii="Arial" w:hAnsi="Arial" w:cs="Arial"/>
          <w:sz w:val="20"/>
          <w:szCs w:val="20"/>
        </w:rPr>
        <w:t xml:space="preserve"> less burdensome.</w:t>
      </w:r>
      <w:r w:rsidR="00CB2912" w:rsidRPr="00B01F9E">
        <w:rPr>
          <w:rFonts w:ascii="Arial" w:hAnsi="Arial" w:cs="Arial"/>
          <w:sz w:val="20"/>
          <w:szCs w:val="20"/>
        </w:rPr>
        <w:t xml:space="preserve"> Additionally, there were limitations in how Epic Beaker could transmit the data, requiring several workarounds and manipulations. </w:t>
      </w:r>
      <w:proofErr w:type="gramStart"/>
      <w:r w:rsidR="00CB2912" w:rsidRPr="00B01F9E">
        <w:rPr>
          <w:rFonts w:ascii="Arial" w:hAnsi="Arial" w:cs="Arial"/>
          <w:sz w:val="20"/>
          <w:szCs w:val="20"/>
        </w:rPr>
        <w:t>Particular challenges</w:t>
      </w:r>
      <w:proofErr w:type="gramEnd"/>
      <w:r w:rsidR="00CB2912" w:rsidRPr="00B01F9E">
        <w:rPr>
          <w:rFonts w:ascii="Arial" w:hAnsi="Arial" w:cs="Arial"/>
          <w:sz w:val="20"/>
          <w:szCs w:val="20"/>
        </w:rPr>
        <w:t xml:space="preserve"> cited included the 50-character limit </w:t>
      </w:r>
      <w:r w:rsidR="00482526" w:rsidRPr="00B01F9E">
        <w:rPr>
          <w:rFonts w:ascii="Arial" w:hAnsi="Arial" w:cs="Arial"/>
          <w:sz w:val="20"/>
          <w:szCs w:val="20"/>
        </w:rPr>
        <w:t xml:space="preserve">for the UDI entries </w:t>
      </w:r>
      <w:r w:rsidR="00CB2912" w:rsidRPr="00B01F9E">
        <w:rPr>
          <w:rFonts w:ascii="Arial" w:hAnsi="Arial" w:cs="Arial"/>
          <w:sz w:val="20"/>
          <w:szCs w:val="20"/>
        </w:rPr>
        <w:t>and the process</w:t>
      </w:r>
      <w:r w:rsidR="00B54B85" w:rsidRPr="00B01F9E">
        <w:rPr>
          <w:rFonts w:ascii="Arial" w:hAnsi="Arial" w:cs="Arial"/>
          <w:sz w:val="20"/>
          <w:szCs w:val="20"/>
        </w:rPr>
        <w:t>es</w:t>
      </w:r>
      <w:r w:rsidR="00CB2912" w:rsidRPr="00B01F9E">
        <w:rPr>
          <w:rFonts w:ascii="Arial" w:hAnsi="Arial" w:cs="Arial"/>
          <w:sz w:val="20"/>
          <w:szCs w:val="20"/>
        </w:rPr>
        <w:t xml:space="preserve"> for </w:t>
      </w:r>
      <w:r w:rsidR="00B54B85" w:rsidRPr="00B01F9E">
        <w:rPr>
          <w:rFonts w:ascii="Arial" w:hAnsi="Arial" w:cs="Arial"/>
          <w:sz w:val="20"/>
          <w:szCs w:val="20"/>
        </w:rPr>
        <w:t xml:space="preserve">encoding </w:t>
      </w:r>
      <w:r w:rsidR="00CB2912" w:rsidRPr="00B01F9E">
        <w:rPr>
          <w:rFonts w:ascii="Arial" w:hAnsi="Arial" w:cs="Arial"/>
          <w:sz w:val="20"/>
          <w:szCs w:val="20"/>
        </w:rPr>
        <w:t xml:space="preserve">microbiology results. </w:t>
      </w:r>
      <w:r w:rsidRPr="00B01F9E">
        <w:rPr>
          <w:rFonts w:ascii="Arial" w:hAnsi="Arial" w:cs="Arial"/>
          <w:sz w:val="20"/>
          <w:szCs w:val="20"/>
        </w:rPr>
        <w:t xml:space="preserve">These ratings indicate a need for system enhancements to reduce the complexity of these tasks. </w:t>
      </w:r>
    </w:p>
    <w:p w14:paraId="5D4A94A7" w14:textId="4FBA3C67" w:rsidR="001B4EB5" w:rsidRPr="00B01F9E" w:rsidRDefault="00217461" w:rsidP="000177EE">
      <w:pPr>
        <w:pStyle w:val="ListParagraph"/>
        <w:numPr>
          <w:ilvl w:val="0"/>
          <w:numId w:val="42"/>
        </w:numPr>
        <w:spacing w:after="0"/>
        <w:rPr>
          <w:rFonts w:ascii="Arial" w:hAnsi="Arial" w:cs="Arial"/>
          <w:b/>
          <w:sz w:val="20"/>
          <w:szCs w:val="20"/>
        </w:rPr>
      </w:pPr>
      <w:r w:rsidRPr="00B01F9E">
        <w:rPr>
          <w:rFonts w:ascii="Arial" w:hAnsi="Arial" w:cs="Arial"/>
          <w:b/>
          <w:bCs/>
          <w:sz w:val="20"/>
          <w:szCs w:val="20"/>
        </w:rPr>
        <w:t xml:space="preserve">Scalability </w:t>
      </w:r>
      <w:r w:rsidR="0035693F" w:rsidRPr="00B01F9E">
        <w:rPr>
          <w:rFonts w:ascii="Arial" w:hAnsi="Arial" w:cs="Arial"/>
          <w:b/>
          <w:bCs/>
          <w:sz w:val="20"/>
          <w:szCs w:val="20"/>
        </w:rPr>
        <w:t>C</w:t>
      </w:r>
      <w:r w:rsidRPr="00B01F9E">
        <w:rPr>
          <w:rFonts w:ascii="Arial" w:hAnsi="Arial" w:cs="Arial"/>
          <w:b/>
          <w:bCs/>
          <w:sz w:val="20"/>
          <w:szCs w:val="20"/>
        </w:rPr>
        <w:t xml:space="preserve">hallenges: </w:t>
      </w:r>
      <w:r w:rsidRPr="00B01F9E">
        <w:rPr>
          <w:rFonts w:ascii="Arial" w:hAnsi="Arial" w:cs="Arial"/>
          <w:sz w:val="20"/>
          <w:szCs w:val="20"/>
        </w:rPr>
        <w:t xml:space="preserve">Duke indicated that </w:t>
      </w:r>
      <w:r w:rsidR="00830594" w:rsidRPr="00B01F9E">
        <w:rPr>
          <w:rFonts w:ascii="Arial" w:hAnsi="Arial" w:cs="Arial"/>
          <w:sz w:val="20"/>
          <w:szCs w:val="20"/>
        </w:rPr>
        <w:t xml:space="preserve">applying </w:t>
      </w:r>
      <w:r w:rsidR="0063467E" w:rsidRPr="00B01F9E">
        <w:rPr>
          <w:rFonts w:ascii="Arial" w:hAnsi="Arial" w:cs="Arial"/>
          <w:sz w:val="20"/>
          <w:szCs w:val="20"/>
        </w:rPr>
        <w:t>the QA Program</w:t>
      </w:r>
      <w:r w:rsidR="00830594" w:rsidRPr="00B01F9E">
        <w:rPr>
          <w:rFonts w:ascii="Arial" w:hAnsi="Arial" w:cs="Arial"/>
          <w:sz w:val="20"/>
          <w:szCs w:val="20"/>
        </w:rPr>
        <w:t xml:space="preserve"> design to the entire lab</w:t>
      </w:r>
      <w:r w:rsidR="002C2085" w:rsidRPr="00B01F9E">
        <w:rPr>
          <w:rFonts w:ascii="Arial" w:hAnsi="Arial" w:cs="Arial"/>
          <w:sz w:val="20"/>
          <w:szCs w:val="20"/>
        </w:rPr>
        <w:t>oratory</w:t>
      </w:r>
      <w:r w:rsidR="00830594" w:rsidRPr="00B01F9E">
        <w:rPr>
          <w:rFonts w:ascii="Arial" w:hAnsi="Arial" w:cs="Arial"/>
          <w:sz w:val="20"/>
          <w:szCs w:val="20"/>
        </w:rPr>
        <w:t xml:space="preserve"> test compendium would require a tremendous amount of work</w:t>
      </w:r>
      <w:r w:rsidR="000F71AC" w:rsidRPr="00B01F9E">
        <w:rPr>
          <w:rFonts w:ascii="Arial" w:hAnsi="Arial" w:cs="Arial"/>
          <w:sz w:val="20"/>
          <w:szCs w:val="20"/>
        </w:rPr>
        <w:t xml:space="preserve"> and potentially poses a challenge to future scalability. </w:t>
      </w:r>
      <w:r w:rsidR="00830594" w:rsidRPr="00B01F9E">
        <w:rPr>
          <w:rFonts w:ascii="Arial" w:hAnsi="Arial" w:cs="Arial"/>
          <w:sz w:val="20"/>
          <w:szCs w:val="20"/>
        </w:rPr>
        <w:t xml:space="preserve"> </w:t>
      </w:r>
    </w:p>
    <w:p w14:paraId="016FDD57" w14:textId="712933CD" w:rsidR="00D26B74" w:rsidRPr="00B01F9E" w:rsidRDefault="00192FB7" w:rsidP="008D7898">
      <w:pPr>
        <w:pStyle w:val="ListParagraph"/>
        <w:numPr>
          <w:ilvl w:val="0"/>
          <w:numId w:val="42"/>
        </w:numPr>
        <w:spacing w:after="0"/>
        <w:rPr>
          <w:rFonts w:ascii="Arial" w:hAnsi="Arial" w:cs="Arial"/>
          <w:b/>
          <w:sz w:val="20"/>
          <w:szCs w:val="20"/>
        </w:rPr>
      </w:pPr>
      <w:r w:rsidRPr="00B01F9E">
        <w:rPr>
          <w:rFonts w:ascii="Arial" w:hAnsi="Arial" w:cs="Arial"/>
          <w:b/>
          <w:sz w:val="20"/>
          <w:szCs w:val="20"/>
        </w:rPr>
        <w:t xml:space="preserve">Enhance </w:t>
      </w:r>
      <w:r w:rsidR="0035693F" w:rsidRPr="00B01F9E">
        <w:rPr>
          <w:rFonts w:ascii="Arial" w:hAnsi="Arial" w:cs="Arial"/>
          <w:b/>
          <w:sz w:val="20"/>
          <w:szCs w:val="20"/>
        </w:rPr>
        <w:t>O</w:t>
      </w:r>
      <w:r w:rsidRPr="00B01F9E">
        <w:rPr>
          <w:rFonts w:ascii="Arial" w:hAnsi="Arial" w:cs="Arial"/>
          <w:b/>
          <w:sz w:val="20"/>
          <w:szCs w:val="20"/>
        </w:rPr>
        <w:t xml:space="preserve">nboarding </w:t>
      </w:r>
      <w:r w:rsidR="0035693F" w:rsidRPr="00B01F9E">
        <w:rPr>
          <w:rFonts w:ascii="Arial" w:hAnsi="Arial" w:cs="Arial"/>
          <w:b/>
          <w:sz w:val="20"/>
          <w:szCs w:val="20"/>
        </w:rPr>
        <w:t>E</w:t>
      </w:r>
      <w:r w:rsidRPr="00B01F9E">
        <w:rPr>
          <w:rFonts w:ascii="Arial" w:hAnsi="Arial" w:cs="Arial"/>
          <w:b/>
          <w:sz w:val="20"/>
          <w:szCs w:val="20"/>
        </w:rPr>
        <w:t xml:space="preserve">xperience: </w:t>
      </w:r>
      <w:r w:rsidR="009C5527" w:rsidRPr="00B01F9E">
        <w:rPr>
          <w:rFonts w:ascii="Arial" w:hAnsi="Arial" w:cs="Arial"/>
          <w:bCs/>
          <w:sz w:val="20"/>
          <w:szCs w:val="20"/>
        </w:rPr>
        <w:t xml:space="preserve">There </w:t>
      </w:r>
      <w:r w:rsidR="007743D8" w:rsidRPr="00B01F9E">
        <w:rPr>
          <w:rFonts w:ascii="Arial" w:hAnsi="Arial" w:cs="Arial"/>
          <w:bCs/>
          <w:sz w:val="20"/>
          <w:szCs w:val="20"/>
        </w:rPr>
        <w:t>was</w:t>
      </w:r>
      <w:r w:rsidR="009C5527" w:rsidRPr="00B01F9E">
        <w:rPr>
          <w:rFonts w:ascii="Arial" w:hAnsi="Arial" w:cs="Arial"/>
          <w:bCs/>
          <w:sz w:val="20"/>
          <w:szCs w:val="20"/>
        </w:rPr>
        <w:t xml:space="preserve"> a general lack of awareness and understanding of SHIELD</w:t>
      </w:r>
      <w:r w:rsidR="003F339A" w:rsidRPr="00B01F9E">
        <w:rPr>
          <w:rFonts w:ascii="Arial" w:hAnsi="Arial" w:cs="Arial"/>
          <w:bCs/>
          <w:sz w:val="20"/>
          <w:szCs w:val="20"/>
        </w:rPr>
        <w:t>,</w:t>
      </w:r>
      <w:r w:rsidR="009C5527" w:rsidRPr="00B01F9E">
        <w:rPr>
          <w:rFonts w:ascii="Arial" w:hAnsi="Arial" w:cs="Arial"/>
          <w:bCs/>
          <w:sz w:val="20"/>
          <w:szCs w:val="20"/>
        </w:rPr>
        <w:t xml:space="preserve"> its broader vision</w:t>
      </w:r>
      <w:r w:rsidR="003F339A" w:rsidRPr="00B01F9E">
        <w:rPr>
          <w:rFonts w:ascii="Arial" w:hAnsi="Arial" w:cs="Arial"/>
          <w:bCs/>
          <w:sz w:val="20"/>
          <w:szCs w:val="20"/>
        </w:rPr>
        <w:t>,</w:t>
      </w:r>
      <w:r w:rsidR="009C5527" w:rsidRPr="00B01F9E">
        <w:rPr>
          <w:rFonts w:ascii="Arial" w:hAnsi="Arial" w:cs="Arial"/>
          <w:bCs/>
          <w:sz w:val="20"/>
          <w:szCs w:val="20"/>
        </w:rPr>
        <w:t xml:space="preserve"> </w:t>
      </w:r>
      <w:r w:rsidR="005D69F9" w:rsidRPr="00B01F9E">
        <w:rPr>
          <w:rFonts w:ascii="Arial" w:hAnsi="Arial" w:cs="Arial"/>
          <w:bCs/>
          <w:sz w:val="20"/>
          <w:szCs w:val="20"/>
        </w:rPr>
        <w:t xml:space="preserve">and how </w:t>
      </w:r>
      <w:r w:rsidR="009C5527" w:rsidRPr="00B01F9E">
        <w:rPr>
          <w:rFonts w:ascii="Arial" w:hAnsi="Arial" w:cs="Arial"/>
          <w:bCs/>
          <w:sz w:val="20"/>
          <w:szCs w:val="20"/>
        </w:rPr>
        <w:t xml:space="preserve">the </w:t>
      </w:r>
      <w:r w:rsidR="00271B64" w:rsidRPr="00B01F9E">
        <w:rPr>
          <w:rFonts w:ascii="Arial" w:hAnsi="Arial" w:cs="Arial"/>
          <w:bCs/>
          <w:sz w:val="20"/>
          <w:szCs w:val="20"/>
        </w:rPr>
        <w:t>POC</w:t>
      </w:r>
      <w:r w:rsidR="0037500C" w:rsidRPr="00B01F9E">
        <w:rPr>
          <w:rFonts w:ascii="Arial" w:hAnsi="Arial" w:cs="Arial"/>
          <w:bCs/>
          <w:sz w:val="20"/>
          <w:szCs w:val="20"/>
        </w:rPr>
        <w:t xml:space="preserve"> relate</w:t>
      </w:r>
      <w:r w:rsidR="00134B2A" w:rsidRPr="00B01F9E">
        <w:rPr>
          <w:rFonts w:ascii="Arial" w:hAnsi="Arial" w:cs="Arial"/>
          <w:bCs/>
          <w:sz w:val="20"/>
          <w:szCs w:val="20"/>
        </w:rPr>
        <w:t>d</w:t>
      </w:r>
      <w:r w:rsidR="0037500C" w:rsidRPr="00B01F9E">
        <w:rPr>
          <w:rFonts w:ascii="Arial" w:hAnsi="Arial" w:cs="Arial"/>
          <w:bCs/>
          <w:sz w:val="20"/>
          <w:szCs w:val="20"/>
        </w:rPr>
        <w:t xml:space="preserve"> to the SHIELD initiative</w:t>
      </w:r>
      <w:r w:rsidR="009C5527" w:rsidRPr="00B01F9E">
        <w:rPr>
          <w:rFonts w:ascii="Arial" w:hAnsi="Arial" w:cs="Arial"/>
          <w:bCs/>
          <w:sz w:val="20"/>
          <w:szCs w:val="20"/>
        </w:rPr>
        <w:t>.</w:t>
      </w:r>
      <w:r w:rsidR="00853A63" w:rsidRPr="00B01F9E">
        <w:rPr>
          <w:rFonts w:ascii="Arial" w:hAnsi="Arial" w:cs="Arial"/>
          <w:b/>
          <w:sz w:val="20"/>
          <w:szCs w:val="20"/>
        </w:rPr>
        <w:t xml:space="preserve"> </w:t>
      </w:r>
      <w:r w:rsidR="00617C54" w:rsidRPr="00B01F9E">
        <w:rPr>
          <w:rFonts w:ascii="Arial" w:hAnsi="Arial" w:cs="Arial"/>
          <w:bCs/>
          <w:sz w:val="20"/>
          <w:szCs w:val="20"/>
        </w:rPr>
        <w:t>The CAP</w:t>
      </w:r>
      <w:r w:rsidR="00617C54" w:rsidRPr="00B01F9E">
        <w:rPr>
          <w:rFonts w:ascii="Arial" w:hAnsi="Arial" w:cs="Arial"/>
          <w:b/>
          <w:sz w:val="20"/>
          <w:szCs w:val="20"/>
        </w:rPr>
        <w:t xml:space="preserve"> </w:t>
      </w:r>
      <w:r w:rsidRPr="00B01F9E">
        <w:rPr>
          <w:rFonts w:ascii="Arial" w:hAnsi="Arial" w:cs="Arial"/>
          <w:bCs/>
          <w:sz w:val="20"/>
          <w:szCs w:val="20"/>
        </w:rPr>
        <w:t xml:space="preserve">used the lessons learned from </w:t>
      </w:r>
      <w:r w:rsidR="009C5527" w:rsidRPr="00B01F9E">
        <w:rPr>
          <w:rFonts w:ascii="Arial" w:hAnsi="Arial" w:cs="Arial"/>
          <w:bCs/>
          <w:sz w:val="20"/>
          <w:szCs w:val="20"/>
        </w:rPr>
        <w:t xml:space="preserve">laboratory </w:t>
      </w:r>
      <w:r w:rsidRPr="00B01F9E">
        <w:rPr>
          <w:rFonts w:ascii="Arial" w:hAnsi="Arial" w:cs="Arial"/>
          <w:bCs/>
          <w:sz w:val="20"/>
          <w:szCs w:val="20"/>
        </w:rPr>
        <w:t xml:space="preserve">onboarding and implemented </w:t>
      </w:r>
      <w:r w:rsidR="009D41B3" w:rsidRPr="00B01F9E">
        <w:rPr>
          <w:rFonts w:ascii="Arial" w:hAnsi="Arial" w:cs="Arial"/>
          <w:bCs/>
          <w:sz w:val="20"/>
          <w:szCs w:val="20"/>
        </w:rPr>
        <w:t xml:space="preserve">them into the </w:t>
      </w:r>
      <w:r w:rsidR="00617C54" w:rsidRPr="00B01F9E">
        <w:rPr>
          <w:rFonts w:ascii="Arial" w:hAnsi="Arial" w:cs="Arial"/>
          <w:bCs/>
          <w:sz w:val="20"/>
          <w:szCs w:val="20"/>
        </w:rPr>
        <w:t>training and education</w:t>
      </w:r>
      <w:r w:rsidR="009D41B3" w:rsidRPr="00B01F9E">
        <w:rPr>
          <w:rFonts w:ascii="Arial" w:hAnsi="Arial" w:cs="Arial"/>
          <w:bCs/>
          <w:sz w:val="20"/>
          <w:szCs w:val="20"/>
        </w:rPr>
        <w:t xml:space="preserve"> materials</w:t>
      </w:r>
      <w:r w:rsidR="00A26813" w:rsidRPr="00B01F9E">
        <w:rPr>
          <w:rFonts w:ascii="Arial" w:hAnsi="Arial" w:cs="Arial"/>
          <w:bCs/>
          <w:sz w:val="20"/>
          <w:szCs w:val="20"/>
        </w:rPr>
        <w:t>,</w:t>
      </w:r>
      <w:r w:rsidR="00436907" w:rsidRPr="00B01F9E">
        <w:rPr>
          <w:rFonts w:ascii="Arial" w:hAnsi="Arial" w:cs="Arial"/>
          <w:bCs/>
          <w:sz w:val="20"/>
          <w:szCs w:val="20"/>
        </w:rPr>
        <w:t xml:space="preserve"> which can be </w:t>
      </w:r>
      <w:r w:rsidR="00C47C6E" w:rsidRPr="00B01F9E">
        <w:rPr>
          <w:rFonts w:ascii="Arial" w:hAnsi="Arial" w:cs="Arial"/>
          <w:bCs/>
          <w:sz w:val="20"/>
          <w:szCs w:val="20"/>
        </w:rPr>
        <w:t>leveraged</w:t>
      </w:r>
      <w:r w:rsidRPr="00B01F9E">
        <w:rPr>
          <w:rFonts w:ascii="Arial" w:hAnsi="Arial" w:cs="Arial"/>
          <w:bCs/>
          <w:sz w:val="20"/>
          <w:szCs w:val="20"/>
        </w:rPr>
        <w:t xml:space="preserve"> to support </w:t>
      </w:r>
      <w:r w:rsidR="00436907" w:rsidRPr="00B01F9E">
        <w:rPr>
          <w:rFonts w:ascii="Arial" w:hAnsi="Arial" w:cs="Arial"/>
          <w:bCs/>
          <w:sz w:val="20"/>
          <w:szCs w:val="20"/>
        </w:rPr>
        <w:t xml:space="preserve">future engagement </w:t>
      </w:r>
      <w:r w:rsidR="00A26813" w:rsidRPr="00B01F9E">
        <w:rPr>
          <w:rFonts w:ascii="Arial" w:hAnsi="Arial" w:cs="Arial"/>
          <w:bCs/>
          <w:sz w:val="20"/>
          <w:szCs w:val="20"/>
        </w:rPr>
        <w:t xml:space="preserve">with laboratories participating in the </w:t>
      </w:r>
      <w:r w:rsidR="00ED2157" w:rsidRPr="00B01F9E">
        <w:rPr>
          <w:rFonts w:ascii="Arial" w:hAnsi="Arial" w:cs="Arial"/>
          <w:bCs/>
          <w:sz w:val="20"/>
          <w:szCs w:val="20"/>
        </w:rPr>
        <w:t>QA</w:t>
      </w:r>
      <w:r w:rsidR="00A26813" w:rsidRPr="00B01F9E">
        <w:rPr>
          <w:rFonts w:ascii="Arial" w:hAnsi="Arial" w:cs="Arial"/>
          <w:bCs/>
          <w:sz w:val="20"/>
          <w:szCs w:val="20"/>
        </w:rPr>
        <w:t xml:space="preserve"> program. </w:t>
      </w:r>
    </w:p>
    <w:p w14:paraId="1135BD3D" w14:textId="38290E27" w:rsidR="001B4EB5" w:rsidRPr="00B01F9E" w:rsidRDefault="001B4EB5" w:rsidP="001B4EB5">
      <w:pPr>
        <w:numPr>
          <w:ilvl w:val="0"/>
          <w:numId w:val="42"/>
        </w:numPr>
        <w:spacing w:after="0" w:line="240" w:lineRule="auto"/>
        <w:textAlignment w:val="center"/>
        <w:rPr>
          <w:rFonts w:ascii="Arial" w:eastAsia="Times New Roman" w:hAnsi="Arial" w:cs="Arial"/>
          <w:color w:val="000000"/>
          <w:sz w:val="20"/>
          <w:szCs w:val="20"/>
        </w:rPr>
      </w:pPr>
      <w:r w:rsidRPr="00B01F9E">
        <w:rPr>
          <w:rFonts w:ascii="Arial" w:eastAsia="Times New Roman" w:hAnsi="Arial" w:cs="Arial"/>
          <w:b/>
          <w:color w:val="000000"/>
          <w:sz w:val="20"/>
          <w:szCs w:val="20"/>
        </w:rPr>
        <w:t>Instrument and System Limitations:</w:t>
      </w:r>
      <w:r w:rsidRPr="00B01F9E">
        <w:rPr>
          <w:rFonts w:ascii="Arial" w:eastAsia="Times New Roman" w:hAnsi="Arial" w:cs="Arial"/>
          <w:color w:val="000000"/>
          <w:sz w:val="20"/>
          <w:szCs w:val="20"/>
        </w:rPr>
        <w:t> </w:t>
      </w:r>
      <w:r w:rsidR="0024119D" w:rsidRPr="00B01F9E">
        <w:rPr>
          <w:rFonts w:ascii="Arial" w:eastAsia="Times New Roman" w:hAnsi="Arial" w:cs="Arial"/>
          <w:color w:val="000000"/>
          <w:sz w:val="20"/>
          <w:szCs w:val="20"/>
        </w:rPr>
        <w:t xml:space="preserve">Encoding laboratory test results to the </w:t>
      </w:r>
      <w:r w:rsidR="0046399C" w:rsidRPr="00B01F9E">
        <w:rPr>
          <w:rFonts w:ascii="Arial" w:eastAsia="Times New Roman" w:hAnsi="Arial" w:cs="Arial"/>
          <w:color w:val="000000"/>
          <w:sz w:val="20"/>
          <w:szCs w:val="20"/>
        </w:rPr>
        <w:t xml:space="preserve">LIDR </w:t>
      </w:r>
      <w:r w:rsidR="0024119D" w:rsidRPr="00B01F9E">
        <w:rPr>
          <w:rFonts w:ascii="Arial" w:eastAsia="Times New Roman" w:hAnsi="Arial" w:cs="Arial"/>
          <w:color w:val="000000"/>
          <w:sz w:val="20"/>
          <w:szCs w:val="20"/>
        </w:rPr>
        <w:t>standard posed</w:t>
      </w:r>
      <w:r w:rsidR="00A04A44" w:rsidRPr="00B01F9E">
        <w:rPr>
          <w:rFonts w:ascii="Arial" w:eastAsia="Times New Roman" w:hAnsi="Arial" w:cs="Arial"/>
          <w:color w:val="000000"/>
          <w:sz w:val="20"/>
          <w:szCs w:val="20"/>
        </w:rPr>
        <w:t xml:space="preserve"> s</w:t>
      </w:r>
      <w:r w:rsidR="00704296" w:rsidRPr="00B01F9E">
        <w:rPr>
          <w:rFonts w:ascii="Arial" w:eastAsia="Times New Roman" w:hAnsi="Arial" w:cs="Arial"/>
          <w:color w:val="000000"/>
          <w:sz w:val="20"/>
          <w:szCs w:val="20"/>
        </w:rPr>
        <w:t>everal technological challenges</w:t>
      </w:r>
      <w:r w:rsidR="004B65FF" w:rsidRPr="00B01F9E">
        <w:rPr>
          <w:rFonts w:ascii="Arial" w:eastAsia="Times New Roman" w:hAnsi="Arial" w:cs="Arial"/>
          <w:color w:val="000000"/>
          <w:sz w:val="20"/>
          <w:szCs w:val="20"/>
        </w:rPr>
        <w:t xml:space="preserve">, as identified in the </w:t>
      </w:r>
      <w:r w:rsidR="00CD7401" w:rsidRPr="00B01F9E">
        <w:rPr>
          <w:rFonts w:ascii="Arial" w:eastAsia="Times New Roman" w:hAnsi="Arial" w:cs="Arial"/>
          <w:sz w:val="20"/>
          <w:szCs w:val="20"/>
        </w:rPr>
        <w:t>Gap</w:t>
      </w:r>
      <w:r w:rsidR="00CD7401" w:rsidRPr="00B01F9E">
        <w:rPr>
          <w:rStyle w:val="Hyperlink"/>
          <w:rFonts w:ascii="Arial" w:eastAsia="Times New Roman" w:hAnsi="Arial" w:cs="Arial"/>
          <w:color w:val="auto"/>
          <w:sz w:val="20"/>
          <w:szCs w:val="20"/>
          <w:u w:val="none"/>
        </w:rPr>
        <w:t xml:space="preserve"> Analysis section</w:t>
      </w:r>
      <w:r w:rsidR="00533CE4" w:rsidRPr="00B01F9E">
        <w:rPr>
          <w:rFonts w:ascii="Arial" w:eastAsia="Times New Roman" w:hAnsi="Arial" w:cs="Arial"/>
          <w:sz w:val="20"/>
          <w:szCs w:val="20"/>
        </w:rPr>
        <w:t>.</w:t>
      </w:r>
      <w:r w:rsidR="004B65FF" w:rsidRPr="00B01F9E">
        <w:rPr>
          <w:rFonts w:ascii="Arial" w:eastAsia="Times New Roman" w:hAnsi="Arial" w:cs="Arial"/>
          <w:sz w:val="20"/>
          <w:szCs w:val="20"/>
        </w:rPr>
        <w:t xml:space="preserve"> </w:t>
      </w:r>
      <w:r w:rsidR="004B65FF" w:rsidRPr="00B01F9E">
        <w:rPr>
          <w:rFonts w:ascii="Arial" w:eastAsia="Times New Roman" w:hAnsi="Arial" w:cs="Arial"/>
          <w:color w:val="000000"/>
          <w:sz w:val="20"/>
          <w:szCs w:val="20"/>
        </w:rPr>
        <w:t>These</w:t>
      </w:r>
      <w:r w:rsidR="0024119D" w:rsidRPr="00B01F9E">
        <w:rPr>
          <w:rFonts w:ascii="Arial" w:eastAsia="Times New Roman" w:hAnsi="Arial" w:cs="Arial"/>
          <w:color w:val="000000"/>
          <w:sz w:val="20"/>
          <w:szCs w:val="20"/>
        </w:rPr>
        <w:t xml:space="preserve"> </w:t>
      </w:r>
      <w:r w:rsidR="004B65FF" w:rsidRPr="00B01F9E">
        <w:rPr>
          <w:rFonts w:ascii="Arial" w:eastAsia="Times New Roman" w:hAnsi="Arial" w:cs="Arial"/>
          <w:color w:val="000000"/>
          <w:sz w:val="20"/>
          <w:szCs w:val="20"/>
        </w:rPr>
        <w:t>challenges</w:t>
      </w:r>
      <w:r w:rsidR="0024119D" w:rsidRPr="00B01F9E">
        <w:rPr>
          <w:rFonts w:ascii="Arial" w:eastAsia="Times New Roman" w:hAnsi="Arial" w:cs="Arial"/>
          <w:color w:val="000000"/>
          <w:sz w:val="20"/>
          <w:szCs w:val="20"/>
        </w:rPr>
        <w:t xml:space="preserve"> suggest a need for system </w:t>
      </w:r>
      <w:r w:rsidR="004B65FF" w:rsidRPr="00B01F9E">
        <w:rPr>
          <w:rFonts w:ascii="Arial" w:eastAsia="Times New Roman" w:hAnsi="Arial" w:cs="Arial"/>
          <w:color w:val="000000"/>
          <w:sz w:val="20"/>
          <w:szCs w:val="20"/>
        </w:rPr>
        <w:t>enhancements</w:t>
      </w:r>
      <w:r w:rsidR="0024119D" w:rsidRPr="00B01F9E">
        <w:rPr>
          <w:rFonts w:ascii="Arial" w:eastAsia="Times New Roman" w:hAnsi="Arial" w:cs="Arial"/>
          <w:color w:val="000000"/>
          <w:sz w:val="20"/>
          <w:szCs w:val="20"/>
        </w:rPr>
        <w:t xml:space="preserve"> and better integration across platforms.  </w:t>
      </w:r>
      <w:r w:rsidR="00704296" w:rsidRPr="00B01F9E">
        <w:rPr>
          <w:rFonts w:ascii="Arial" w:eastAsia="Times New Roman" w:hAnsi="Arial" w:cs="Arial"/>
          <w:color w:val="000000"/>
          <w:sz w:val="20"/>
          <w:szCs w:val="20"/>
        </w:rPr>
        <w:t xml:space="preserve"> </w:t>
      </w:r>
      <w:r w:rsidR="001B7B23" w:rsidRPr="00B01F9E">
        <w:rPr>
          <w:rFonts w:ascii="Arial" w:eastAsia="Times New Roman" w:hAnsi="Arial" w:cs="Arial"/>
          <w:color w:val="000000"/>
          <w:sz w:val="20"/>
          <w:szCs w:val="20"/>
        </w:rPr>
        <w:t xml:space="preserve"> </w:t>
      </w:r>
    </w:p>
    <w:p w14:paraId="533E6058" w14:textId="300DDEA8" w:rsidR="00AA38F8" w:rsidRPr="00B01F9E" w:rsidRDefault="001B4EB5" w:rsidP="00FB088B">
      <w:pPr>
        <w:numPr>
          <w:ilvl w:val="0"/>
          <w:numId w:val="42"/>
        </w:numPr>
        <w:spacing w:after="120" w:line="240" w:lineRule="auto"/>
        <w:textAlignment w:val="center"/>
        <w:rPr>
          <w:rFonts w:ascii="Arial" w:eastAsia="Times New Roman" w:hAnsi="Arial" w:cs="Arial"/>
          <w:color w:val="000000"/>
          <w:sz w:val="20"/>
          <w:szCs w:val="20"/>
        </w:rPr>
      </w:pPr>
      <w:r w:rsidRPr="00B01F9E">
        <w:rPr>
          <w:rFonts w:ascii="Arial" w:eastAsia="Times New Roman" w:hAnsi="Arial" w:cs="Arial"/>
          <w:b/>
          <w:color w:val="000000"/>
          <w:sz w:val="20"/>
          <w:szCs w:val="20"/>
        </w:rPr>
        <w:t>Understanding the Purpose:</w:t>
      </w:r>
      <w:r w:rsidRPr="00B01F9E">
        <w:rPr>
          <w:rFonts w:ascii="Arial" w:eastAsia="Times New Roman" w:hAnsi="Arial" w:cs="Arial"/>
          <w:color w:val="000000"/>
          <w:sz w:val="20"/>
          <w:szCs w:val="20"/>
        </w:rPr>
        <w:t xml:space="preserve"> Having a clear understanding of the project's purpose from the beginning proved to be crucial. As the project progressed, </w:t>
      </w:r>
      <w:r w:rsidR="00E8108D" w:rsidRPr="00B01F9E">
        <w:rPr>
          <w:rFonts w:ascii="Arial" w:eastAsia="Times New Roman" w:hAnsi="Arial" w:cs="Arial"/>
          <w:color w:val="000000"/>
          <w:sz w:val="20"/>
          <w:szCs w:val="20"/>
        </w:rPr>
        <w:t>enhanced</w:t>
      </w:r>
      <w:r w:rsidRPr="00B01F9E">
        <w:rPr>
          <w:rFonts w:ascii="Arial" w:eastAsia="Times New Roman" w:hAnsi="Arial" w:cs="Arial"/>
          <w:color w:val="000000"/>
          <w:sz w:val="20"/>
          <w:szCs w:val="20"/>
        </w:rPr>
        <w:t xml:space="preserve"> understanding </w:t>
      </w:r>
      <w:r w:rsidR="00EE6C04" w:rsidRPr="00B01F9E">
        <w:rPr>
          <w:rFonts w:ascii="Arial" w:eastAsia="Times New Roman" w:hAnsi="Arial" w:cs="Arial"/>
          <w:color w:val="000000"/>
          <w:sz w:val="20"/>
          <w:szCs w:val="20"/>
        </w:rPr>
        <w:t>of the project and its goals</w:t>
      </w:r>
      <w:r w:rsidRPr="00B01F9E">
        <w:rPr>
          <w:rFonts w:ascii="Arial" w:eastAsia="Times New Roman" w:hAnsi="Arial" w:cs="Arial"/>
          <w:color w:val="000000"/>
          <w:sz w:val="20"/>
          <w:szCs w:val="20"/>
        </w:rPr>
        <w:t xml:space="preserve"> helped to </w:t>
      </w:r>
      <w:r w:rsidR="00E8108D" w:rsidRPr="00B01F9E">
        <w:rPr>
          <w:rFonts w:ascii="Arial" w:eastAsia="Times New Roman" w:hAnsi="Arial" w:cs="Arial"/>
          <w:color w:val="000000"/>
          <w:sz w:val="20"/>
          <w:szCs w:val="20"/>
        </w:rPr>
        <w:t>improve alignment</w:t>
      </w:r>
      <w:r w:rsidRPr="00B01F9E">
        <w:rPr>
          <w:rFonts w:ascii="Arial" w:eastAsia="Times New Roman" w:hAnsi="Arial" w:cs="Arial"/>
          <w:color w:val="000000"/>
          <w:sz w:val="20"/>
          <w:szCs w:val="20"/>
        </w:rPr>
        <w:t xml:space="preserve"> with the timeline and objectives.</w:t>
      </w:r>
    </w:p>
    <w:p w14:paraId="559E8E2D" w14:textId="21C3E3A6" w:rsidR="00841684" w:rsidRPr="00B01F9E" w:rsidRDefault="00841684" w:rsidP="00FB088B">
      <w:pPr>
        <w:spacing w:after="120" w:line="240" w:lineRule="auto"/>
        <w:textAlignment w:val="center"/>
        <w:rPr>
          <w:rFonts w:ascii="Arial" w:eastAsia="Times New Roman" w:hAnsi="Arial" w:cs="Arial"/>
          <w:color w:val="000000"/>
          <w:sz w:val="20"/>
          <w:szCs w:val="20"/>
        </w:rPr>
      </w:pPr>
      <w:r w:rsidRPr="00B01F9E">
        <w:rPr>
          <w:rFonts w:ascii="Arial" w:eastAsia="Times New Roman" w:hAnsi="Arial" w:cs="Arial"/>
          <w:color w:val="000000"/>
          <w:sz w:val="20"/>
          <w:szCs w:val="20"/>
        </w:rPr>
        <w:t xml:space="preserve">Despite the challenges, </w:t>
      </w:r>
      <w:r w:rsidR="00AA38F8" w:rsidRPr="00B01F9E">
        <w:rPr>
          <w:rFonts w:ascii="Arial" w:eastAsia="Times New Roman" w:hAnsi="Arial" w:cs="Arial"/>
          <w:color w:val="000000"/>
          <w:sz w:val="20"/>
          <w:szCs w:val="20"/>
        </w:rPr>
        <w:t xml:space="preserve">the project </w:t>
      </w:r>
      <w:r w:rsidR="00600889" w:rsidRPr="00B01F9E">
        <w:rPr>
          <w:rFonts w:ascii="Arial" w:eastAsia="Times New Roman" w:hAnsi="Arial" w:cs="Arial"/>
          <w:color w:val="000000"/>
          <w:sz w:val="20"/>
          <w:szCs w:val="20"/>
        </w:rPr>
        <w:t xml:space="preserve">proceeded as expected. </w:t>
      </w:r>
      <w:r w:rsidR="00944E8A" w:rsidRPr="00B01F9E">
        <w:rPr>
          <w:rFonts w:ascii="Arial" w:eastAsia="Times New Roman" w:hAnsi="Arial" w:cs="Arial"/>
          <w:color w:val="000000"/>
          <w:sz w:val="20"/>
          <w:szCs w:val="20"/>
        </w:rPr>
        <w:t>Addressing these themes and challenges can enhance the efficiency and ac</w:t>
      </w:r>
      <w:r w:rsidR="00E13712" w:rsidRPr="00B01F9E">
        <w:rPr>
          <w:rFonts w:ascii="Arial" w:eastAsia="Times New Roman" w:hAnsi="Arial" w:cs="Arial"/>
          <w:color w:val="000000"/>
          <w:sz w:val="20"/>
          <w:szCs w:val="20"/>
        </w:rPr>
        <w:t xml:space="preserve">curacy of </w:t>
      </w:r>
      <w:r w:rsidR="002E03E9" w:rsidRPr="00B01F9E">
        <w:rPr>
          <w:rFonts w:ascii="Arial" w:eastAsia="Times New Roman" w:hAnsi="Arial" w:cs="Arial"/>
          <w:color w:val="000000"/>
          <w:sz w:val="20"/>
          <w:szCs w:val="20"/>
        </w:rPr>
        <w:t>the POC.</w:t>
      </w:r>
    </w:p>
    <w:p w14:paraId="142A9F07" w14:textId="1FB9624D" w:rsidR="008E7A36" w:rsidRPr="00B01F9E" w:rsidRDefault="00772693" w:rsidP="00FB088B">
      <w:pPr>
        <w:pStyle w:val="Heading4"/>
        <w:spacing w:before="0" w:after="120"/>
        <w:rPr>
          <w:rFonts w:ascii="Arial" w:hAnsi="Arial" w:cs="Arial"/>
          <w:b/>
          <w:color w:val="009BBF"/>
          <w:sz w:val="20"/>
          <w:szCs w:val="20"/>
        </w:rPr>
      </w:pPr>
      <w:r w:rsidRPr="00B01F9E">
        <w:rPr>
          <w:rFonts w:ascii="Arial" w:hAnsi="Arial" w:cs="Arial"/>
          <w:b/>
          <w:color w:val="009BBF"/>
          <w:sz w:val="20"/>
          <w:szCs w:val="20"/>
        </w:rPr>
        <w:t>3</w:t>
      </w:r>
      <w:r w:rsidR="008E7A36" w:rsidRPr="00B01F9E">
        <w:rPr>
          <w:rFonts w:ascii="Arial" w:hAnsi="Arial" w:cs="Arial"/>
          <w:b/>
          <w:color w:val="009BBF"/>
          <w:sz w:val="20"/>
          <w:szCs w:val="20"/>
        </w:rPr>
        <w:t>.</w:t>
      </w:r>
      <w:r w:rsidRPr="00B01F9E">
        <w:rPr>
          <w:rFonts w:ascii="Arial" w:hAnsi="Arial" w:cs="Arial"/>
          <w:b/>
          <w:color w:val="009BBF"/>
          <w:sz w:val="20"/>
          <w:szCs w:val="20"/>
        </w:rPr>
        <w:t>9</w:t>
      </w:r>
      <w:r w:rsidR="008E7A36" w:rsidRPr="00B01F9E">
        <w:rPr>
          <w:rFonts w:ascii="Arial" w:hAnsi="Arial" w:cs="Arial"/>
          <w:b/>
          <w:color w:val="009BBF"/>
          <w:sz w:val="20"/>
          <w:szCs w:val="20"/>
        </w:rPr>
        <w:t>.</w:t>
      </w:r>
      <w:r w:rsidR="001422AE" w:rsidRPr="00B01F9E">
        <w:rPr>
          <w:rFonts w:ascii="Arial" w:hAnsi="Arial" w:cs="Arial"/>
          <w:b/>
          <w:color w:val="009BBF"/>
          <w:sz w:val="20"/>
          <w:szCs w:val="20"/>
        </w:rPr>
        <w:t>2</w:t>
      </w:r>
      <w:r w:rsidR="008E7A36" w:rsidRPr="00B01F9E">
        <w:rPr>
          <w:rFonts w:ascii="Arial" w:hAnsi="Arial" w:cs="Arial"/>
          <w:b/>
          <w:color w:val="009BBF"/>
          <w:sz w:val="20"/>
          <w:szCs w:val="20"/>
        </w:rPr>
        <w:t>.</w:t>
      </w:r>
      <w:r w:rsidR="00440319" w:rsidRPr="00B01F9E">
        <w:rPr>
          <w:rFonts w:ascii="Arial" w:hAnsi="Arial" w:cs="Arial"/>
          <w:b/>
          <w:color w:val="009BBF"/>
          <w:sz w:val="20"/>
          <w:szCs w:val="20"/>
        </w:rPr>
        <w:t>1</w:t>
      </w:r>
      <w:r w:rsidR="008E7A36" w:rsidRPr="00B01F9E">
        <w:rPr>
          <w:rFonts w:ascii="Arial" w:hAnsi="Arial" w:cs="Arial"/>
          <w:b/>
          <w:color w:val="009BBF"/>
          <w:sz w:val="20"/>
          <w:szCs w:val="20"/>
        </w:rPr>
        <w:t xml:space="preserve"> Laboratory </w:t>
      </w:r>
      <w:r w:rsidR="005D0BBB" w:rsidRPr="00B01F9E">
        <w:rPr>
          <w:rFonts w:ascii="Arial" w:hAnsi="Arial" w:cs="Arial"/>
          <w:b/>
          <w:color w:val="009BBF"/>
          <w:sz w:val="20"/>
          <w:szCs w:val="20"/>
        </w:rPr>
        <w:t xml:space="preserve">Effort Estimations </w:t>
      </w:r>
    </w:p>
    <w:p w14:paraId="64CEADFB" w14:textId="0ACB7840" w:rsidR="00AF6422" w:rsidRPr="00B01F9E" w:rsidRDefault="006B646F" w:rsidP="00FB088B">
      <w:pPr>
        <w:spacing w:after="120"/>
        <w:rPr>
          <w:rFonts w:ascii="Arial" w:hAnsi="Arial" w:cs="Arial"/>
          <w:sz w:val="20"/>
          <w:szCs w:val="20"/>
        </w:rPr>
      </w:pPr>
      <w:r w:rsidRPr="00B01F9E">
        <w:rPr>
          <w:rFonts w:ascii="Arial" w:hAnsi="Arial" w:cs="Arial"/>
          <w:sz w:val="20"/>
          <w:szCs w:val="20"/>
        </w:rPr>
        <w:t>T</w:t>
      </w:r>
      <w:r w:rsidR="00AE3520" w:rsidRPr="00B01F9E">
        <w:rPr>
          <w:rFonts w:ascii="Arial" w:hAnsi="Arial" w:cs="Arial"/>
          <w:sz w:val="20"/>
          <w:szCs w:val="20"/>
        </w:rPr>
        <w:t xml:space="preserve">he metrics below are estimated based on the experience of Duke’s resources throughout the POC. The POC utilized a simulated LIDR and subset of laboratory tests, which influenced certain time and resource requirements. The workarounds and lessons learned during initial implementation of the POC will affect future time and effort requirements. </w:t>
      </w:r>
    </w:p>
    <w:p w14:paraId="4A6231BD" w14:textId="237F3840" w:rsidR="00A51CA7" w:rsidRPr="00B01F9E" w:rsidDel="001F1A35" w:rsidRDefault="00A51CA7" w:rsidP="00FB088B">
      <w:pPr>
        <w:spacing w:after="120"/>
        <w:rPr>
          <w:rFonts w:ascii="Arial" w:hAnsi="Arial" w:cs="Arial"/>
          <w:sz w:val="20"/>
          <w:szCs w:val="20"/>
        </w:rPr>
      </w:pPr>
      <w:r w:rsidRPr="00B01F9E">
        <w:rPr>
          <w:rFonts w:ascii="Arial" w:hAnsi="Arial" w:cs="Arial"/>
          <w:sz w:val="20"/>
          <w:szCs w:val="20"/>
        </w:rPr>
        <w:t xml:space="preserve">Table </w:t>
      </w:r>
      <w:r w:rsidR="0017372F" w:rsidRPr="00B01F9E">
        <w:rPr>
          <w:rFonts w:ascii="Arial" w:hAnsi="Arial" w:cs="Arial"/>
          <w:sz w:val="20"/>
          <w:szCs w:val="20"/>
        </w:rPr>
        <w:t>10</w:t>
      </w:r>
      <w:r w:rsidRPr="00B01F9E">
        <w:rPr>
          <w:rFonts w:ascii="Arial" w:hAnsi="Arial" w:cs="Arial"/>
          <w:sz w:val="20"/>
          <w:szCs w:val="20"/>
        </w:rPr>
        <w:t xml:space="preserve"> illustrate</w:t>
      </w:r>
      <w:r w:rsidR="00FF4059" w:rsidRPr="00B01F9E">
        <w:rPr>
          <w:rFonts w:ascii="Arial" w:hAnsi="Arial" w:cs="Arial"/>
          <w:sz w:val="20"/>
          <w:szCs w:val="20"/>
        </w:rPr>
        <w:t>s</w:t>
      </w:r>
      <w:r w:rsidRPr="00B01F9E">
        <w:rPr>
          <w:rFonts w:ascii="Arial" w:hAnsi="Arial" w:cs="Arial"/>
          <w:sz w:val="20"/>
          <w:szCs w:val="20"/>
        </w:rPr>
        <w:t xml:space="preserve"> the estimated </w:t>
      </w:r>
      <w:r w:rsidR="00FF4059" w:rsidRPr="00B01F9E">
        <w:rPr>
          <w:rFonts w:ascii="Arial" w:hAnsi="Arial" w:cs="Arial"/>
          <w:sz w:val="20"/>
          <w:szCs w:val="20"/>
        </w:rPr>
        <w:t xml:space="preserve">number of resources required for each stage of the POC. </w:t>
      </w:r>
    </w:p>
    <w:p w14:paraId="10B2B25A" w14:textId="61D4016C" w:rsidR="001B2376" w:rsidRPr="00B01F9E" w:rsidRDefault="001B2376" w:rsidP="001B2376">
      <w:pPr>
        <w:spacing w:after="0"/>
        <w:rPr>
          <w:rFonts w:ascii="Arial" w:hAnsi="Arial" w:cs="Arial"/>
          <w:b/>
          <w:bCs/>
          <w:color w:val="009BBF"/>
          <w:sz w:val="20"/>
          <w:szCs w:val="20"/>
        </w:rPr>
      </w:pPr>
      <w:r w:rsidRPr="00B01F9E">
        <w:rPr>
          <w:rFonts w:ascii="Arial" w:hAnsi="Arial" w:cs="Arial"/>
          <w:b/>
          <w:bCs/>
          <w:color w:val="009BBF"/>
          <w:sz w:val="20"/>
          <w:szCs w:val="20"/>
        </w:rPr>
        <w:t xml:space="preserve">Table </w:t>
      </w:r>
      <w:r w:rsidR="0017372F" w:rsidRPr="00B01F9E">
        <w:rPr>
          <w:rFonts w:ascii="Arial" w:hAnsi="Arial" w:cs="Arial"/>
          <w:b/>
          <w:bCs/>
          <w:color w:val="009BBF"/>
          <w:sz w:val="20"/>
          <w:szCs w:val="20"/>
        </w:rPr>
        <w:t>10</w:t>
      </w:r>
      <w:r w:rsidRPr="00B01F9E">
        <w:rPr>
          <w:rFonts w:ascii="Arial" w:hAnsi="Arial" w:cs="Arial"/>
          <w:b/>
          <w:bCs/>
          <w:color w:val="009BBF"/>
          <w:sz w:val="20"/>
          <w:szCs w:val="20"/>
        </w:rPr>
        <w:t xml:space="preserve">: Duke </w:t>
      </w:r>
      <w:r w:rsidRPr="00B01F9E">
        <w:rPr>
          <w:rFonts w:ascii="Arial" w:hAnsi="Arial" w:cs="Arial"/>
          <w:b/>
          <w:color w:val="009BBF"/>
          <w:sz w:val="20"/>
          <w:szCs w:val="20"/>
        </w:rPr>
        <w:t xml:space="preserve">Laboratory </w:t>
      </w:r>
      <w:r w:rsidR="006A5638" w:rsidRPr="00B01F9E">
        <w:rPr>
          <w:rFonts w:ascii="Arial" w:hAnsi="Arial" w:cs="Arial"/>
          <w:b/>
          <w:color w:val="009BBF"/>
          <w:sz w:val="20"/>
          <w:szCs w:val="20"/>
        </w:rPr>
        <w:t xml:space="preserve">Resource </w:t>
      </w:r>
      <w:r w:rsidRPr="00B01F9E">
        <w:rPr>
          <w:rFonts w:ascii="Arial" w:hAnsi="Arial" w:cs="Arial"/>
          <w:b/>
          <w:color w:val="009BBF"/>
          <w:sz w:val="20"/>
          <w:szCs w:val="20"/>
        </w:rPr>
        <w:t xml:space="preserve">Estimations </w:t>
      </w:r>
    </w:p>
    <w:tbl>
      <w:tblPr>
        <w:tblStyle w:val="TableGrid1"/>
        <w:tblW w:w="9360" w:type="dxa"/>
        <w:tblLayout w:type="fixed"/>
        <w:tblLook w:val="06A0" w:firstRow="1" w:lastRow="0" w:firstColumn="1" w:lastColumn="0" w:noHBand="1" w:noVBand="1"/>
      </w:tblPr>
      <w:tblGrid>
        <w:gridCol w:w="4680"/>
        <w:gridCol w:w="4680"/>
      </w:tblGrid>
      <w:tr w:rsidR="5B0A0473" w:rsidRPr="00B01F9E" w14:paraId="2D8A3369" w14:textId="77777777" w:rsidTr="00C93C67">
        <w:trPr>
          <w:trHeight w:val="300"/>
        </w:trPr>
        <w:tc>
          <w:tcPr>
            <w:tcW w:w="4680" w:type="dxa"/>
            <w:shd w:val="clear" w:color="auto" w:fill="C3C6C8" w:themeFill="background1"/>
          </w:tcPr>
          <w:p w14:paraId="7961D2B3" w14:textId="1646F30A" w:rsidR="5B0A0473" w:rsidRPr="00B01F9E" w:rsidRDefault="00855880" w:rsidP="00C93C67">
            <w:pPr>
              <w:rPr>
                <w:rFonts w:ascii="Arial" w:hAnsi="Arial" w:cs="Arial"/>
                <w:b/>
                <w:sz w:val="20"/>
                <w:szCs w:val="20"/>
              </w:rPr>
            </w:pPr>
            <w:r w:rsidRPr="00B01F9E">
              <w:rPr>
                <w:rFonts w:ascii="Arial" w:hAnsi="Arial" w:cs="Arial"/>
                <w:b/>
                <w:bCs/>
                <w:sz w:val="20"/>
                <w:szCs w:val="20"/>
              </w:rPr>
              <w:t>Metric</w:t>
            </w:r>
          </w:p>
        </w:tc>
        <w:tc>
          <w:tcPr>
            <w:tcW w:w="4680" w:type="dxa"/>
            <w:shd w:val="clear" w:color="auto" w:fill="C3C6C8" w:themeFill="background1"/>
          </w:tcPr>
          <w:p w14:paraId="25676256" w14:textId="3703C4FD" w:rsidR="5B0A0473" w:rsidRPr="00B01F9E" w:rsidRDefault="00576962" w:rsidP="00C93C67">
            <w:pPr>
              <w:rPr>
                <w:rFonts w:ascii="Arial" w:hAnsi="Arial" w:cs="Arial"/>
                <w:b/>
                <w:sz w:val="20"/>
                <w:szCs w:val="20"/>
              </w:rPr>
            </w:pPr>
            <w:r w:rsidRPr="00B01F9E">
              <w:rPr>
                <w:rFonts w:ascii="Arial" w:hAnsi="Arial" w:cs="Arial"/>
                <w:b/>
                <w:bCs/>
                <w:sz w:val="20"/>
                <w:szCs w:val="20"/>
              </w:rPr>
              <w:t xml:space="preserve">Estimated </w:t>
            </w:r>
            <w:r w:rsidR="0035693F" w:rsidRPr="00B01F9E">
              <w:rPr>
                <w:rFonts w:ascii="Arial" w:hAnsi="Arial" w:cs="Arial"/>
                <w:b/>
                <w:bCs/>
                <w:sz w:val="20"/>
                <w:szCs w:val="20"/>
              </w:rPr>
              <w:t>R</w:t>
            </w:r>
            <w:r w:rsidRPr="00B01F9E">
              <w:rPr>
                <w:rFonts w:ascii="Arial" w:hAnsi="Arial" w:cs="Arial"/>
                <w:b/>
                <w:bCs/>
                <w:sz w:val="20"/>
                <w:szCs w:val="20"/>
              </w:rPr>
              <w:t>esources</w:t>
            </w:r>
            <w:r w:rsidR="000F7E6F" w:rsidRPr="00B01F9E">
              <w:rPr>
                <w:rFonts w:ascii="Arial" w:hAnsi="Arial" w:cs="Arial"/>
                <w:b/>
                <w:bCs/>
                <w:sz w:val="20"/>
                <w:szCs w:val="20"/>
              </w:rPr>
              <w:t xml:space="preserve"> (average)</w:t>
            </w:r>
          </w:p>
        </w:tc>
      </w:tr>
      <w:tr w:rsidR="5B0A0473" w:rsidRPr="00B01F9E" w14:paraId="2802C048" w14:textId="77777777" w:rsidTr="00C93C67">
        <w:trPr>
          <w:trHeight w:val="300"/>
        </w:trPr>
        <w:tc>
          <w:tcPr>
            <w:tcW w:w="4680" w:type="dxa"/>
          </w:tcPr>
          <w:p w14:paraId="59F6BD60" w14:textId="3B0CF547" w:rsidR="5B0A0473" w:rsidRPr="00B01F9E" w:rsidRDefault="001B2376" w:rsidP="00C93C67">
            <w:pPr>
              <w:rPr>
                <w:rFonts w:ascii="Arial" w:hAnsi="Arial" w:cs="Arial"/>
                <w:sz w:val="20"/>
                <w:szCs w:val="20"/>
                <w:highlight w:val="yellow"/>
              </w:rPr>
            </w:pPr>
            <w:r w:rsidRPr="00B01F9E">
              <w:rPr>
                <w:rFonts w:ascii="Arial" w:hAnsi="Arial" w:cs="Arial"/>
                <w:sz w:val="20"/>
                <w:szCs w:val="20"/>
              </w:rPr>
              <w:t>How many FTEs are dedicated to building and maintaining the LIS</w:t>
            </w:r>
          </w:p>
        </w:tc>
        <w:tc>
          <w:tcPr>
            <w:tcW w:w="4680" w:type="dxa"/>
          </w:tcPr>
          <w:p w14:paraId="53C6194F" w14:textId="4228549B" w:rsidR="5B0A0473" w:rsidRPr="00B01F9E" w:rsidRDefault="00FA3275" w:rsidP="00C93C67">
            <w:pPr>
              <w:rPr>
                <w:rFonts w:ascii="Arial" w:hAnsi="Arial" w:cs="Arial"/>
                <w:sz w:val="20"/>
                <w:szCs w:val="20"/>
              </w:rPr>
            </w:pPr>
            <w:r w:rsidRPr="00B01F9E">
              <w:rPr>
                <w:rFonts w:ascii="Arial" w:hAnsi="Arial" w:cs="Arial"/>
                <w:sz w:val="20"/>
                <w:szCs w:val="20"/>
              </w:rPr>
              <w:t>15</w:t>
            </w:r>
            <w:r w:rsidR="00BE5C84" w:rsidRPr="00B01F9E">
              <w:rPr>
                <w:rFonts w:ascii="Arial" w:hAnsi="Arial" w:cs="Arial"/>
                <w:sz w:val="20"/>
                <w:szCs w:val="20"/>
              </w:rPr>
              <w:t xml:space="preserve"> </w:t>
            </w:r>
            <w:r w:rsidR="004505E6" w:rsidRPr="00B01F9E">
              <w:rPr>
                <w:rFonts w:ascii="Arial" w:hAnsi="Arial" w:cs="Arial"/>
                <w:sz w:val="20"/>
                <w:szCs w:val="20"/>
              </w:rPr>
              <w:t>resources</w:t>
            </w:r>
          </w:p>
        </w:tc>
      </w:tr>
      <w:tr w:rsidR="001B2376" w:rsidRPr="00B01F9E" w14:paraId="0FFE018F" w14:textId="77777777" w:rsidTr="00C93C67">
        <w:trPr>
          <w:trHeight w:val="300"/>
        </w:trPr>
        <w:tc>
          <w:tcPr>
            <w:tcW w:w="4680" w:type="dxa"/>
          </w:tcPr>
          <w:p w14:paraId="54533EEC" w14:textId="5ECB0848" w:rsidR="001B2376" w:rsidRPr="00B01F9E" w:rsidRDefault="001B2376" w:rsidP="00C93C67">
            <w:pPr>
              <w:rPr>
                <w:rFonts w:ascii="Arial" w:hAnsi="Arial" w:cs="Arial"/>
                <w:sz w:val="20"/>
                <w:szCs w:val="20"/>
                <w:highlight w:val="yellow"/>
              </w:rPr>
            </w:pPr>
            <w:r w:rsidRPr="00B01F9E">
              <w:rPr>
                <w:rFonts w:ascii="Arial" w:hAnsi="Arial" w:cs="Arial"/>
                <w:sz w:val="20"/>
                <w:szCs w:val="20"/>
              </w:rPr>
              <w:t>How many personnel were involved in the testing environment set-up and technical build phase?</w:t>
            </w:r>
          </w:p>
        </w:tc>
        <w:tc>
          <w:tcPr>
            <w:tcW w:w="4680" w:type="dxa"/>
          </w:tcPr>
          <w:p w14:paraId="18A1BDE0" w14:textId="7F3C3D9F" w:rsidR="001B2376" w:rsidRPr="00B01F9E" w:rsidRDefault="00576962" w:rsidP="00C93C67">
            <w:pPr>
              <w:rPr>
                <w:rFonts w:ascii="Arial" w:hAnsi="Arial" w:cs="Arial"/>
                <w:sz w:val="20"/>
                <w:szCs w:val="20"/>
              </w:rPr>
            </w:pPr>
            <w:r w:rsidRPr="00B01F9E">
              <w:rPr>
                <w:rFonts w:ascii="Arial" w:hAnsi="Arial" w:cs="Arial"/>
                <w:sz w:val="20"/>
                <w:szCs w:val="20"/>
              </w:rPr>
              <w:t xml:space="preserve">3 </w:t>
            </w:r>
            <w:r w:rsidR="004505E6" w:rsidRPr="00B01F9E">
              <w:rPr>
                <w:rFonts w:ascii="Arial" w:hAnsi="Arial" w:cs="Arial"/>
                <w:sz w:val="20"/>
                <w:szCs w:val="20"/>
              </w:rPr>
              <w:t>resources</w:t>
            </w:r>
          </w:p>
        </w:tc>
      </w:tr>
      <w:tr w:rsidR="001B2376" w:rsidRPr="00B01F9E" w14:paraId="7A459D10" w14:textId="77777777" w:rsidTr="00C93C67">
        <w:trPr>
          <w:trHeight w:val="300"/>
        </w:trPr>
        <w:tc>
          <w:tcPr>
            <w:tcW w:w="4680" w:type="dxa"/>
          </w:tcPr>
          <w:p w14:paraId="0B57FC39" w14:textId="49C5F79B" w:rsidR="001B2376" w:rsidRPr="00B01F9E" w:rsidRDefault="001B2376" w:rsidP="00C93C67">
            <w:pPr>
              <w:rPr>
                <w:rFonts w:ascii="Arial" w:hAnsi="Arial" w:cs="Arial"/>
                <w:sz w:val="20"/>
                <w:szCs w:val="20"/>
              </w:rPr>
            </w:pPr>
            <w:r w:rsidRPr="00B01F9E">
              <w:rPr>
                <w:rFonts w:ascii="Arial" w:hAnsi="Arial" w:cs="Arial"/>
                <w:sz w:val="20"/>
                <w:szCs w:val="20"/>
              </w:rPr>
              <w:t>How many personnel were involved in the testing phase?</w:t>
            </w:r>
          </w:p>
        </w:tc>
        <w:tc>
          <w:tcPr>
            <w:tcW w:w="4680" w:type="dxa"/>
          </w:tcPr>
          <w:p w14:paraId="4973CB28" w14:textId="2A0CE40A" w:rsidR="001B2376" w:rsidRPr="00B01F9E" w:rsidRDefault="00576962" w:rsidP="00C93C67">
            <w:pPr>
              <w:rPr>
                <w:rFonts w:ascii="Arial" w:hAnsi="Arial" w:cs="Arial"/>
                <w:sz w:val="20"/>
                <w:szCs w:val="20"/>
              </w:rPr>
            </w:pPr>
            <w:r w:rsidRPr="00B01F9E">
              <w:rPr>
                <w:rFonts w:ascii="Arial" w:hAnsi="Arial" w:cs="Arial"/>
                <w:sz w:val="20"/>
                <w:szCs w:val="20"/>
              </w:rPr>
              <w:t xml:space="preserve">3 </w:t>
            </w:r>
            <w:r w:rsidR="004505E6" w:rsidRPr="00B01F9E">
              <w:rPr>
                <w:rFonts w:ascii="Arial" w:hAnsi="Arial" w:cs="Arial"/>
                <w:sz w:val="20"/>
                <w:szCs w:val="20"/>
              </w:rPr>
              <w:t>resources</w:t>
            </w:r>
          </w:p>
        </w:tc>
      </w:tr>
    </w:tbl>
    <w:p w14:paraId="65D80914" w14:textId="06DF6B18" w:rsidR="00CA4BF5" w:rsidRPr="00B01F9E" w:rsidRDefault="008A1EFB" w:rsidP="00CA4BF5">
      <w:pPr>
        <w:spacing w:before="120" w:after="120"/>
        <w:rPr>
          <w:rFonts w:ascii="Arial" w:hAnsi="Arial" w:cs="Arial"/>
          <w:sz w:val="20"/>
          <w:szCs w:val="20"/>
        </w:rPr>
      </w:pPr>
      <w:r w:rsidRPr="00B01F9E">
        <w:rPr>
          <w:rFonts w:ascii="Arial" w:hAnsi="Arial" w:cs="Arial"/>
          <w:sz w:val="20"/>
          <w:szCs w:val="20"/>
        </w:rPr>
        <w:t>Table 1</w:t>
      </w:r>
      <w:r w:rsidR="0017372F" w:rsidRPr="00B01F9E">
        <w:rPr>
          <w:rFonts w:ascii="Arial" w:hAnsi="Arial" w:cs="Arial"/>
          <w:sz w:val="20"/>
          <w:szCs w:val="20"/>
        </w:rPr>
        <w:t>1</w:t>
      </w:r>
      <w:r w:rsidRPr="00B01F9E">
        <w:rPr>
          <w:rFonts w:ascii="Arial" w:hAnsi="Arial" w:cs="Arial"/>
          <w:sz w:val="20"/>
          <w:szCs w:val="20"/>
        </w:rPr>
        <w:t xml:space="preserve"> </w:t>
      </w:r>
      <w:r w:rsidR="00EB785D" w:rsidRPr="00B01F9E">
        <w:rPr>
          <w:rFonts w:ascii="Arial" w:hAnsi="Arial" w:cs="Arial"/>
          <w:sz w:val="20"/>
          <w:szCs w:val="20"/>
        </w:rPr>
        <w:t xml:space="preserve">provides insight into the estimated level of effort for Duke. The </w:t>
      </w:r>
      <w:proofErr w:type="gramStart"/>
      <w:r w:rsidR="00EB785D" w:rsidRPr="00B01F9E">
        <w:rPr>
          <w:rFonts w:ascii="Arial" w:hAnsi="Arial" w:cs="Arial"/>
          <w:sz w:val="20"/>
          <w:szCs w:val="20"/>
        </w:rPr>
        <w:t>Duke</w:t>
      </w:r>
      <w:proofErr w:type="gramEnd"/>
      <w:r w:rsidR="00EB785D" w:rsidRPr="00B01F9E">
        <w:rPr>
          <w:rFonts w:ascii="Arial" w:hAnsi="Arial" w:cs="Arial"/>
          <w:sz w:val="20"/>
          <w:szCs w:val="20"/>
        </w:rPr>
        <w:t xml:space="preserve"> resources provided metrics based on various assumptions. “Estimated </w:t>
      </w:r>
      <w:r w:rsidR="00DF248C" w:rsidRPr="00B01F9E">
        <w:rPr>
          <w:rFonts w:ascii="Arial" w:hAnsi="Arial" w:cs="Arial"/>
          <w:sz w:val="20"/>
          <w:szCs w:val="20"/>
        </w:rPr>
        <w:t>D</w:t>
      </w:r>
      <w:r w:rsidR="00EB785D" w:rsidRPr="00B01F9E">
        <w:rPr>
          <w:rFonts w:ascii="Arial" w:hAnsi="Arial" w:cs="Arial"/>
          <w:sz w:val="20"/>
          <w:szCs w:val="20"/>
        </w:rPr>
        <w:t xml:space="preserve">uration with </w:t>
      </w:r>
      <w:r w:rsidR="00DF248C" w:rsidRPr="00B01F9E">
        <w:rPr>
          <w:rFonts w:ascii="Arial" w:hAnsi="Arial" w:cs="Arial"/>
          <w:sz w:val="20"/>
          <w:szCs w:val="20"/>
        </w:rPr>
        <w:t>D</w:t>
      </w:r>
      <w:r w:rsidR="00EB785D" w:rsidRPr="00B01F9E">
        <w:rPr>
          <w:rFonts w:ascii="Arial" w:hAnsi="Arial" w:cs="Arial"/>
          <w:sz w:val="20"/>
          <w:szCs w:val="20"/>
        </w:rPr>
        <w:t xml:space="preserve">edicated </w:t>
      </w:r>
      <w:r w:rsidR="00DF248C" w:rsidRPr="00B01F9E">
        <w:rPr>
          <w:rFonts w:ascii="Arial" w:hAnsi="Arial" w:cs="Arial"/>
          <w:sz w:val="20"/>
          <w:szCs w:val="20"/>
        </w:rPr>
        <w:t>FTE</w:t>
      </w:r>
      <w:r w:rsidR="00EB785D" w:rsidRPr="00B01F9E">
        <w:rPr>
          <w:rFonts w:ascii="Arial" w:hAnsi="Arial" w:cs="Arial"/>
          <w:sz w:val="20"/>
          <w:szCs w:val="20"/>
        </w:rPr>
        <w:t xml:space="preserve">” represents the level of effort estimated if a full-time allocated resource </w:t>
      </w:r>
      <w:r w:rsidR="0064123F" w:rsidRPr="00B01F9E">
        <w:rPr>
          <w:rFonts w:ascii="Arial" w:hAnsi="Arial" w:cs="Arial"/>
          <w:sz w:val="20"/>
          <w:szCs w:val="20"/>
        </w:rPr>
        <w:t>was</w:t>
      </w:r>
      <w:r w:rsidR="00EB785D" w:rsidRPr="00B01F9E">
        <w:rPr>
          <w:rFonts w:ascii="Arial" w:hAnsi="Arial" w:cs="Arial"/>
          <w:sz w:val="20"/>
          <w:szCs w:val="20"/>
        </w:rPr>
        <w:t xml:space="preserve"> working on the POC. “Overall </w:t>
      </w:r>
      <w:r w:rsidR="00022B2C" w:rsidRPr="00B01F9E">
        <w:rPr>
          <w:rFonts w:ascii="Arial" w:hAnsi="Arial" w:cs="Arial"/>
          <w:sz w:val="20"/>
          <w:szCs w:val="20"/>
        </w:rPr>
        <w:t xml:space="preserve">POC </w:t>
      </w:r>
      <w:r w:rsidR="00DF248C" w:rsidRPr="00B01F9E">
        <w:rPr>
          <w:rFonts w:ascii="Arial" w:hAnsi="Arial" w:cs="Arial"/>
          <w:sz w:val="20"/>
          <w:szCs w:val="20"/>
        </w:rPr>
        <w:t>D</w:t>
      </w:r>
      <w:r w:rsidR="00EB785D" w:rsidRPr="00B01F9E">
        <w:rPr>
          <w:rFonts w:ascii="Arial" w:hAnsi="Arial" w:cs="Arial"/>
          <w:sz w:val="20"/>
          <w:szCs w:val="20"/>
        </w:rPr>
        <w:t>uration</w:t>
      </w:r>
      <w:r w:rsidR="003D6754" w:rsidRPr="00B01F9E">
        <w:rPr>
          <w:rFonts w:ascii="Arial" w:hAnsi="Arial" w:cs="Arial"/>
          <w:sz w:val="20"/>
          <w:szCs w:val="20"/>
        </w:rPr>
        <w:t>”</w:t>
      </w:r>
      <w:r w:rsidR="00466C54" w:rsidRPr="00B01F9E">
        <w:rPr>
          <w:rFonts w:ascii="Arial" w:hAnsi="Arial" w:cs="Arial"/>
          <w:sz w:val="20"/>
          <w:szCs w:val="20"/>
        </w:rPr>
        <w:t xml:space="preserve"> </w:t>
      </w:r>
      <w:r w:rsidR="00EB785D" w:rsidRPr="00B01F9E">
        <w:rPr>
          <w:rFonts w:ascii="Arial" w:hAnsi="Arial" w:cs="Arial"/>
          <w:sz w:val="20"/>
          <w:szCs w:val="20"/>
        </w:rPr>
        <w:t xml:space="preserve">represents the actual duration of each project phase, as Duke resources were balancing other work priorities in parallel with POC work. </w:t>
      </w:r>
    </w:p>
    <w:p w14:paraId="36F23126" w14:textId="77777777" w:rsidR="00C95E74" w:rsidRPr="00B01F9E" w:rsidRDefault="00C95E74">
      <w:pPr>
        <w:rPr>
          <w:rFonts w:ascii="Arial" w:hAnsi="Arial" w:cs="Arial"/>
          <w:b/>
          <w:bCs/>
          <w:color w:val="009BBF"/>
          <w:sz w:val="20"/>
          <w:szCs w:val="20"/>
        </w:rPr>
      </w:pPr>
      <w:r w:rsidRPr="00B01F9E">
        <w:rPr>
          <w:rFonts w:ascii="Arial" w:hAnsi="Arial" w:cs="Arial"/>
          <w:b/>
          <w:bCs/>
          <w:color w:val="009BBF"/>
          <w:sz w:val="20"/>
          <w:szCs w:val="20"/>
        </w:rPr>
        <w:br w:type="page"/>
      </w:r>
    </w:p>
    <w:p w14:paraId="79547249" w14:textId="016C6884" w:rsidR="00FE1112" w:rsidRPr="00B01F9E" w:rsidRDefault="00FE1112" w:rsidP="00B27F6C">
      <w:pPr>
        <w:spacing w:after="0"/>
        <w:rPr>
          <w:rFonts w:ascii="Arial" w:hAnsi="Arial" w:cs="Arial"/>
          <w:b/>
          <w:bCs/>
          <w:color w:val="009BBF"/>
          <w:sz w:val="20"/>
          <w:szCs w:val="20"/>
        </w:rPr>
      </w:pPr>
      <w:r w:rsidRPr="00B01F9E">
        <w:rPr>
          <w:rFonts w:ascii="Arial" w:hAnsi="Arial" w:cs="Arial"/>
          <w:b/>
          <w:bCs/>
          <w:color w:val="009BBF"/>
          <w:sz w:val="20"/>
          <w:szCs w:val="20"/>
        </w:rPr>
        <w:lastRenderedPageBreak/>
        <w:t xml:space="preserve">Table </w:t>
      </w:r>
      <w:r w:rsidR="00CD7401" w:rsidRPr="00B01F9E">
        <w:rPr>
          <w:rFonts w:ascii="Arial" w:hAnsi="Arial" w:cs="Arial"/>
          <w:b/>
          <w:bCs/>
          <w:color w:val="009BBF"/>
          <w:sz w:val="20"/>
          <w:szCs w:val="20"/>
        </w:rPr>
        <w:t>1</w:t>
      </w:r>
      <w:r w:rsidR="0017372F" w:rsidRPr="00B01F9E">
        <w:rPr>
          <w:rFonts w:ascii="Arial" w:hAnsi="Arial" w:cs="Arial"/>
          <w:b/>
          <w:bCs/>
          <w:color w:val="009BBF"/>
          <w:sz w:val="20"/>
          <w:szCs w:val="20"/>
        </w:rPr>
        <w:t>1</w:t>
      </w:r>
      <w:r w:rsidRPr="00B01F9E">
        <w:rPr>
          <w:rFonts w:ascii="Arial" w:hAnsi="Arial" w:cs="Arial"/>
          <w:b/>
          <w:bCs/>
          <w:color w:val="009BBF"/>
          <w:sz w:val="20"/>
          <w:szCs w:val="20"/>
        </w:rPr>
        <w:t xml:space="preserve">: Duke </w:t>
      </w:r>
      <w:r w:rsidRPr="00B01F9E">
        <w:rPr>
          <w:rFonts w:ascii="Arial" w:hAnsi="Arial" w:cs="Arial"/>
          <w:b/>
          <w:color w:val="009BBF"/>
          <w:sz w:val="20"/>
          <w:szCs w:val="20"/>
        </w:rPr>
        <w:t xml:space="preserve">Laboratory </w:t>
      </w:r>
      <w:r w:rsidR="006A5638" w:rsidRPr="00B01F9E">
        <w:rPr>
          <w:rFonts w:ascii="Arial" w:hAnsi="Arial" w:cs="Arial"/>
          <w:b/>
          <w:color w:val="009BBF"/>
          <w:sz w:val="20"/>
          <w:szCs w:val="20"/>
        </w:rPr>
        <w:t xml:space="preserve">Level of </w:t>
      </w:r>
      <w:r w:rsidRPr="00B01F9E">
        <w:rPr>
          <w:rFonts w:ascii="Arial" w:hAnsi="Arial" w:cs="Arial"/>
          <w:b/>
          <w:color w:val="009BBF"/>
          <w:sz w:val="20"/>
          <w:szCs w:val="20"/>
        </w:rPr>
        <w:t xml:space="preserve">Effort Estimations </w:t>
      </w:r>
    </w:p>
    <w:tbl>
      <w:tblPr>
        <w:tblStyle w:val="TableGrid"/>
        <w:tblW w:w="9900" w:type="dxa"/>
        <w:tblInd w:w="-5" w:type="dxa"/>
        <w:tblLook w:val="04A0" w:firstRow="1" w:lastRow="0" w:firstColumn="1" w:lastColumn="0" w:noHBand="0" w:noVBand="1"/>
      </w:tblPr>
      <w:tblGrid>
        <w:gridCol w:w="5272"/>
        <w:gridCol w:w="2419"/>
        <w:gridCol w:w="2209"/>
      </w:tblGrid>
      <w:tr w:rsidR="00CA4BF5" w:rsidRPr="00B01F9E" w14:paraId="6C2D83AE" w14:textId="57C04E90" w:rsidTr="00C93C67">
        <w:trPr>
          <w:trHeight w:val="248"/>
        </w:trPr>
        <w:tc>
          <w:tcPr>
            <w:tcW w:w="5272" w:type="dxa"/>
            <w:shd w:val="clear" w:color="auto" w:fill="C3C6C8" w:themeFill="background1"/>
          </w:tcPr>
          <w:p w14:paraId="252803CF" w14:textId="7F52B596" w:rsidR="00CA4BF5" w:rsidRPr="00B01F9E" w:rsidRDefault="00CA4BF5" w:rsidP="00C93C67">
            <w:pPr>
              <w:rPr>
                <w:rFonts w:ascii="Arial" w:hAnsi="Arial" w:cs="Arial"/>
                <w:b/>
                <w:bCs/>
                <w:sz w:val="20"/>
                <w:szCs w:val="20"/>
              </w:rPr>
            </w:pPr>
            <w:r w:rsidRPr="00B01F9E">
              <w:rPr>
                <w:rFonts w:ascii="Arial" w:hAnsi="Arial" w:cs="Arial"/>
                <w:b/>
                <w:bCs/>
                <w:sz w:val="20"/>
                <w:szCs w:val="20"/>
              </w:rPr>
              <w:t>Metric</w:t>
            </w:r>
          </w:p>
        </w:tc>
        <w:tc>
          <w:tcPr>
            <w:tcW w:w="2419" w:type="dxa"/>
            <w:shd w:val="clear" w:color="auto" w:fill="C3C6C8" w:themeFill="background1"/>
          </w:tcPr>
          <w:p w14:paraId="0AF1E3B8" w14:textId="380965EC" w:rsidR="00CA4BF5" w:rsidRPr="00B01F9E" w:rsidRDefault="00CA4BF5" w:rsidP="00C93C67">
            <w:pPr>
              <w:rPr>
                <w:rFonts w:ascii="Arial" w:hAnsi="Arial" w:cs="Arial"/>
                <w:b/>
                <w:bCs/>
                <w:sz w:val="20"/>
                <w:szCs w:val="20"/>
              </w:rPr>
            </w:pPr>
            <w:r w:rsidRPr="00B01F9E">
              <w:rPr>
                <w:rFonts w:ascii="Arial" w:hAnsi="Arial" w:cs="Arial"/>
                <w:b/>
                <w:bCs/>
                <w:sz w:val="20"/>
                <w:szCs w:val="20"/>
              </w:rPr>
              <w:t xml:space="preserve">Estimated </w:t>
            </w:r>
            <w:r w:rsidR="0035693F" w:rsidRPr="00B01F9E">
              <w:rPr>
                <w:rFonts w:ascii="Arial" w:hAnsi="Arial" w:cs="Arial"/>
                <w:b/>
                <w:bCs/>
                <w:sz w:val="20"/>
                <w:szCs w:val="20"/>
              </w:rPr>
              <w:t>D</w:t>
            </w:r>
            <w:r w:rsidRPr="00B01F9E">
              <w:rPr>
                <w:rFonts w:ascii="Arial" w:hAnsi="Arial" w:cs="Arial"/>
                <w:b/>
                <w:bCs/>
                <w:sz w:val="20"/>
                <w:szCs w:val="20"/>
              </w:rPr>
              <w:t xml:space="preserve">uration </w:t>
            </w:r>
            <w:r w:rsidR="0035693F" w:rsidRPr="00B01F9E">
              <w:rPr>
                <w:rFonts w:ascii="Arial" w:hAnsi="Arial" w:cs="Arial"/>
                <w:b/>
                <w:bCs/>
                <w:sz w:val="20"/>
                <w:szCs w:val="20"/>
              </w:rPr>
              <w:t>w</w:t>
            </w:r>
            <w:r w:rsidRPr="00B01F9E">
              <w:rPr>
                <w:rFonts w:ascii="Arial" w:hAnsi="Arial" w:cs="Arial"/>
                <w:b/>
                <w:bCs/>
                <w:sz w:val="20"/>
                <w:szCs w:val="20"/>
              </w:rPr>
              <w:t xml:space="preserve">ith </w:t>
            </w:r>
            <w:r w:rsidR="0035693F" w:rsidRPr="00B01F9E">
              <w:rPr>
                <w:rFonts w:ascii="Arial" w:hAnsi="Arial" w:cs="Arial"/>
                <w:b/>
                <w:bCs/>
                <w:sz w:val="20"/>
                <w:szCs w:val="20"/>
              </w:rPr>
              <w:t>D</w:t>
            </w:r>
            <w:r w:rsidRPr="00B01F9E">
              <w:rPr>
                <w:rFonts w:ascii="Arial" w:hAnsi="Arial" w:cs="Arial"/>
                <w:b/>
                <w:bCs/>
                <w:sz w:val="20"/>
                <w:szCs w:val="20"/>
              </w:rPr>
              <w:t xml:space="preserve">edicated </w:t>
            </w:r>
            <w:r w:rsidR="00A968C5" w:rsidRPr="00B01F9E">
              <w:rPr>
                <w:rFonts w:ascii="Arial" w:hAnsi="Arial" w:cs="Arial"/>
                <w:b/>
                <w:bCs/>
                <w:sz w:val="20"/>
                <w:szCs w:val="20"/>
              </w:rPr>
              <w:t>FTE</w:t>
            </w:r>
          </w:p>
        </w:tc>
        <w:tc>
          <w:tcPr>
            <w:tcW w:w="2209" w:type="dxa"/>
            <w:shd w:val="clear" w:color="auto" w:fill="C3C6C8" w:themeFill="background1"/>
          </w:tcPr>
          <w:p w14:paraId="394B1734" w14:textId="14E95FB0" w:rsidR="00CA4BF5" w:rsidRPr="00B01F9E" w:rsidRDefault="00CA4BF5" w:rsidP="00C93C67">
            <w:pPr>
              <w:rPr>
                <w:rFonts w:ascii="Arial" w:hAnsi="Arial" w:cs="Arial"/>
                <w:b/>
                <w:sz w:val="20"/>
                <w:szCs w:val="20"/>
              </w:rPr>
            </w:pPr>
            <w:r w:rsidRPr="00B01F9E">
              <w:rPr>
                <w:rFonts w:ascii="Arial" w:hAnsi="Arial" w:cs="Arial"/>
                <w:b/>
                <w:bCs/>
                <w:sz w:val="20"/>
                <w:szCs w:val="20"/>
              </w:rPr>
              <w:t xml:space="preserve">Overall POC </w:t>
            </w:r>
            <w:r w:rsidR="0035693F" w:rsidRPr="00B01F9E">
              <w:rPr>
                <w:rFonts w:ascii="Arial" w:hAnsi="Arial" w:cs="Arial"/>
                <w:b/>
                <w:bCs/>
                <w:sz w:val="20"/>
                <w:szCs w:val="20"/>
              </w:rPr>
              <w:t>D</w:t>
            </w:r>
            <w:r w:rsidRPr="00B01F9E">
              <w:rPr>
                <w:rFonts w:ascii="Arial" w:hAnsi="Arial" w:cs="Arial"/>
                <w:b/>
                <w:bCs/>
                <w:sz w:val="20"/>
                <w:szCs w:val="20"/>
              </w:rPr>
              <w:t xml:space="preserve">uration </w:t>
            </w:r>
          </w:p>
        </w:tc>
      </w:tr>
      <w:tr w:rsidR="00CA4BF5" w:rsidRPr="00B01F9E" w14:paraId="11244D58" w14:textId="4772FCDE" w:rsidTr="00C93C67">
        <w:trPr>
          <w:trHeight w:val="994"/>
        </w:trPr>
        <w:tc>
          <w:tcPr>
            <w:tcW w:w="5272" w:type="dxa"/>
          </w:tcPr>
          <w:p w14:paraId="05A664AC" w14:textId="0A71264B" w:rsidR="00CA4BF5" w:rsidRPr="00B01F9E" w:rsidRDefault="00CA4BF5" w:rsidP="00C93C67">
            <w:pPr>
              <w:rPr>
                <w:rFonts w:ascii="Arial" w:hAnsi="Arial" w:cs="Arial"/>
                <w:sz w:val="20"/>
                <w:szCs w:val="20"/>
              </w:rPr>
            </w:pPr>
            <w:r w:rsidRPr="00B01F9E">
              <w:rPr>
                <w:rFonts w:ascii="Arial" w:hAnsi="Arial" w:cs="Arial"/>
                <w:sz w:val="20"/>
                <w:szCs w:val="20"/>
              </w:rPr>
              <w:t>How long did it take the LIS analyst(s) to set up the testing environment, including interface setup, configuration, and implementing the LIDR subset in Beaker?</w:t>
            </w:r>
          </w:p>
        </w:tc>
        <w:tc>
          <w:tcPr>
            <w:tcW w:w="2419" w:type="dxa"/>
            <w:shd w:val="clear" w:color="auto" w:fill="auto"/>
          </w:tcPr>
          <w:p w14:paraId="07158E13" w14:textId="5F1BE7BC" w:rsidR="00CA4BF5" w:rsidRPr="00B01F9E" w:rsidRDefault="00CA4BF5" w:rsidP="00C93C67">
            <w:pPr>
              <w:rPr>
                <w:rFonts w:ascii="Arial" w:hAnsi="Arial" w:cs="Arial"/>
                <w:sz w:val="20"/>
                <w:szCs w:val="20"/>
              </w:rPr>
            </w:pPr>
            <w:r w:rsidRPr="00B01F9E">
              <w:rPr>
                <w:rFonts w:ascii="Arial" w:hAnsi="Arial" w:cs="Arial"/>
                <w:sz w:val="20"/>
                <w:szCs w:val="20"/>
              </w:rPr>
              <w:t>6 weeks</w:t>
            </w:r>
          </w:p>
        </w:tc>
        <w:tc>
          <w:tcPr>
            <w:tcW w:w="2209" w:type="dxa"/>
          </w:tcPr>
          <w:p w14:paraId="3437FD82" w14:textId="4383DF9C" w:rsidR="00CA4BF5" w:rsidRPr="00B01F9E" w:rsidRDefault="00CA4BF5" w:rsidP="00C93C67">
            <w:pPr>
              <w:rPr>
                <w:rFonts w:ascii="Arial" w:hAnsi="Arial" w:cs="Arial"/>
                <w:sz w:val="20"/>
                <w:szCs w:val="20"/>
              </w:rPr>
            </w:pPr>
            <w:r w:rsidRPr="00B01F9E">
              <w:rPr>
                <w:rFonts w:ascii="Arial" w:hAnsi="Arial" w:cs="Arial"/>
                <w:sz w:val="20"/>
                <w:szCs w:val="20"/>
              </w:rPr>
              <w:t>28 weeks</w:t>
            </w:r>
          </w:p>
        </w:tc>
      </w:tr>
      <w:tr w:rsidR="00CA4BF5" w:rsidRPr="00B01F9E" w14:paraId="6447F067" w14:textId="49DA7004" w:rsidTr="00C93C67">
        <w:trPr>
          <w:trHeight w:val="755"/>
        </w:trPr>
        <w:tc>
          <w:tcPr>
            <w:tcW w:w="5272" w:type="dxa"/>
          </w:tcPr>
          <w:p w14:paraId="38B7EB81" w14:textId="531E6CBA" w:rsidR="00CA4BF5" w:rsidRPr="00B01F9E" w:rsidRDefault="00CA4BF5" w:rsidP="00C93C67">
            <w:pPr>
              <w:rPr>
                <w:rFonts w:ascii="Arial" w:hAnsi="Arial" w:cs="Arial"/>
                <w:sz w:val="20"/>
                <w:szCs w:val="20"/>
              </w:rPr>
            </w:pPr>
            <w:r w:rsidRPr="00B01F9E">
              <w:rPr>
                <w:rFonts w:ascii="Arial" w:hAnsi="Arial" w:cs="Arial"/>
                <w:sz w:val="20"/>
                <w:szCs w:val="20"/>
              </w:rPr>
              <w:t>How much time was involved for the interface analyst(s) in the technical build (developing interface engine, duplicating and creating new test builds, etc.)?</w:t>
            </w:r>
          </w:p>
        </w:tc>
        <w:tc>
          <w:tcPr>
            <w:tcW w:w="2419" w:type="dxa"/>
            <w:shd w:val="clear" w:color="auto" w:fill="auto"/>
          </w:tcPr>
          <w:p w14:paraId="786023AA" w14:textId="230D2AD6" w:rsidR="00CA4BF5" w:rsidRPr="00B01F9E" w:rsidRDefault="00CA4BF5" w:rsidP="00C93C67">
            <w:pPr>
              <w:rPr>
                <w:rFonts w:ascii="Arial" w:hAnsi="Arial" w:cs="Arial"/>
                <w:sz w:val="20"/>
                <w:szCs w:val="20"/>
              </w:rPr>
            </w:pPr>
            <w:r w:rsidRPr="00B01F9E">
              <w:rPr>
                <w:rFonts w:ascii="Arial" w:hAnsi="Arial" w:cs="Arial"/>
                <w:sz w:val="20"/>
                <w:szCs w:val="20"/>
              </w:rPr>
              <w:t>4 weeks</w:t>
            </w:r>
          </w:p>
        </w:tc>
        <w:tc>
          <w:tcPr>
            <w:tcW w:w="2209" w:type="dxa"/>
          </w:tcPr>
          <w:p w14:paraId="14FE6DCE" w14:textId="477329A4" w:rsidR="00CA4BF5" w:rsidRPr="00B01F9E" w:rsidRDefault="00CA4BF5" w:rsidP="00C93C67">
            <w:pPr>
              <w:rPr>
                <w:rFonts w:ascii="Arial" w:hAnsi="Arial" w:cs="Arial"/>
                <w:sz w:val="20"/>
                <w:szCs w:val="20"/>
              </w:rPr>
            </w:pPr>
            <w:r w:rsidRPr="00B01F9E">
              <w:rPr>
                <w:rFonts w:ascii="Arial" w:hAnsi="Arial" w:cs="Arial"/>
                <w:sz w:val="20"/>
                <w:szCs w:val="20"/>
              </w:rPr>
              <w:t>28 weeks (5 tests)</w:t>
            </w:r>
          </w:p>
        </w:tc>
      </w:tr>
      <w:tr w:rsidR="00CA4BF5" w:rsidRPr="00B01F9E" w14:paraId="08AFC30A" w14:textId="5F631AE6" w:rsidTr="00C93C67">
        <w:trPr>
          <w:trHeight w:val="495"/>
        </w:trPr>
        <w:tc>
          <w:tcPr>
            <w:tcW w:w="5272" w:type="dxa"/>
          </w:tcPr>
          <w:p w14:paraId="36DE9296" w14:textId="6EF91CBD" w:rsidR="00CA4BF5" w:rsidRPr="00B01F9E" w:rsidRDefault="00CA4BF5" w:rsidP="00C93C67">
            <w:pPr>
              <w:rPr>
                <w:rFonts w:ascii="Arial" w:hAnsi="Arial" w:cs="Arial"/>
                <w:sz w:val="20"/>
                <w:szCs w:val="20"/>
              </w:rPr>
            </w:pPr>
            <w:r w:rsidRPr="00B01F9E">
              <w:rPr>
                <w:rFonts w:ascii="Arial" w:hAnsi="Arial" w:cs="Arial"/>
                <w:sz w:val="20"/>
                <w:szCs w:val="20"/>
              </w:rPr>
              <w:t>How long did it take to test the transmission of the LIDR Test Compendium Report?</w:t>
            </w:r>
          </w:p>
        </w:tc>
        <w:tc>
          <w:tcPr>
            <w:tcW w:w="2419" w:type="dxa"/>
            <w:shd w:val="clear" w:color="auto" w:fill="auto"/>
          </w:tcPr>
          <w:p w14:paraId="322B958C" w14:textId="5AFB8598" w:rsidR="00CA4BF5" w:rsidRPr="00B01F9E" w:rsidRDefault="00CA4BF5" w:rsidP="00C93C67">
            <w:pPr>
              <w:rPr>
                <w:rFonts w:ascii="Arial" w:hAnsi="Arial" w:cs="Arial"/>
                <w:sz w:val="20"/>
                <w:szCs w:val="20"/>
              </w:rPr>
            </w:pPr>
            <w:r w:rsidRPr="00B01F9E">
              <w:rPr>
                <w:rFonts w:ascii="Arial" w:hAnsi="Arial" w:cs="Arial"/>
                <w:sz w:val="20"/>
                <w:szCs w:val="20"/>
              </w:rPr>
              <w:t>3 weeks</w:t>
            </w:r>
          </w:p>
        </w:tc>
        <w:tc>
          <w:tcPr>
            <w:tcW w:w="2209" w:type="dxa"/>
          </w:tcPr>
          <w:p w14:paraId="1505B644" w14:textId="291CCF7C" w:rsidR="00CA4BF5" w:rsidRPr="00B01F9E" w:rsidRDefault="00CA4BF5" w:rsidP="00C93C67">
            <w:pPr>
              <w:rPr>
                <w:rFonts w:ascii="Arial" w:hAnsi="Arial" w:cs="Arial"/>
                <w:sz w:val="20"/>
                <w:szCs w:val="20"/>
              </w:rPr>
            </w:pPr>
            <w:r w:rsidRPr="00B01F9E">
              <w:rPr>
                <w:rFonts w:ascii="Arial" w:hAnsi="Arial" w:cs="Arial"/>
                <w:sz w:val="20"/>
                <w:szCs w:val="20"/>
              </w:rPr>
              <w:t>4 weeks</w:t>
            </w:r>
          </w:p>
        </w:tc>
      </w:tr>
      <w:tr w:rsidR="00CA4BF5" w:rsidRPr="00B01F9E" w14:paraId="41214BC4" w14:textId="41DC9515" w:rsidTr="00C93C67">
        <w:trPr>
          <w:trHeight w:val="495"/>
        </w:trPr>
        <w:tc>
          <w:tcPr>
            <w:tcW w:w="5272" w:type="dxa"/>
          </w:tcPr>
          <w:p w14:paraId="59DA0ADB" w14:textId="3DF3EAFB" w:rsidR="00CA4BF5" w:rsidRPr="00B01F9E" w:rsidRDefault="00CA4BF5" w:rsidP="00C93C67">
            <w:pPr>
              <w:rPr>
                <w:rFonts w:ascii="Arial" w:hAnsi="Arial" w:cs="Arial"/>
                <w:sz w:val="20"/>
                <w:szCs w:val="20"/>
              </w:rPr>
            </w:pPr>
            <w:r w:rsidRPr="00B01F9E">
              <w:rPr>
                <w:rFonts w:ascii="Arial" w:hAnsi="Arial" w:cs="Arial"/>
                <w:sz w:val="20"/>
                <w:szCs w:val="20"/>
              </w:rPr>
              <w:t>How much time was involved in testing the transmission of HL7 messages?</w:t>
            </w:r>
          </w:p>
        </w:tc>
        <w:tc>
          <w:tcPr>
            <w:tcW w:w="2419" w:type="dxa"/>
            <w:shd w:val="clear" w:color="auto" w:fill="auto"/>
          </w:tcPr>
          <w:p w14:paraId="2D97AE27" w14:textId="708458EC" w:rsidR="00CA4BF5" w:rsidRPr="00B01F9E" w:rsidRDefault="00CA4BF5" w:rsidP="00C93C67">
            <w:pPr>
              <w:rPr>
                <w:rFonts w:ascii="Arial" w:hAnsi="Arial" w:cs="Arial"/>
                <w:sz w:val="20"/>
                <w:szCs w:val="20"/>
              </w:rPr>
            </w:pPr>
            <w:r w:rsidRPr="00B01F9E">
              <w:rPr>
                <w:rFonts w:ascii="Arial" w:hAnsi="Arial" w:cs="Arial"/>
                <w:sz w:val="20"/>
                <w:szCs w:val="20"/>
              </w:rPr>
              <w:t>6 weeks</w:t>
            </w:r>
          </w:p>
        </w:tc>
        <w:tc>
          <w:tcPr>
            <w:tcW w:w="2209" w:type="dxa"/>
          </w:tcPr>
          <w:p w14:paraId="180B9C56" w14:textId="03BE7A45" w:rsidR="00CA4BF5" w:rsidRPr="00B01F9E" w:rsidRDefault="00CA4BF5" w:rsidP="00C93C67">
            <w:pPr>
              <w:rPr>
                <w:rFonts w:ascii="Arial" w:hAnsi="Arial" w:cs="Arial"/>
                <w:sz w:val="20"/>
                <w:szCs w:val="20"/>
              </w:rPr>
            </w:pPr>
            <w:r w:rsidRPr="00B01F9E">
              <w:rPr>
                <w:rFonts w:ascii="Arial" w:hAnsi="Arial" w:cs="Arial"/>
                <w:sz w:val="20"/>
                <w:szCs w:val="20"/>
              </w:rPr>
              <w:t>4 weeks</w:t>
            </w:r>
          </w:p>
        </w:tc>
      </w:tr>
      <w:tr w:rsidR="00CA4BF5" w:rsidRPr="00B01F9E" w14:paraId="2286F5DF" w14:textId="274C6AAC" w:rsidTr="00C93C67">
        <w:trPr>
          <w:trHeight w:val="495"/>
        </w:trPr>
        <w:tc>
          <w:tcPr>
            <w:tcW w:w="5272" w:type="dxa"/>
          </w:tcPr>
          <w:p w14:paraId="33136C66" w14:textId="6287F4A4" w:rsidR="00CA4BF5" w:rsidRPr="00B01F9E" w:rsidRDefault="00CA4BF5" w:rsidP="00C93C67">
            <w:pPr>
              <w:rPr>
                <w:rFonts w:ascii="Arial" w:hAnsi="Arial" w:cs="Arial"/>
                <w:sz w:val="20"/>
                <w:szCs w:val="20"/>
              </w:rPr>
            </w:pPr>
            <w:r w:rsidRPr="00B01F9E">
              <w:rPr>
                <w:rFonts w:ascii="Arial" w:hAnsi="Arial" w:cs="Arial"/>
                <w:sz w:val="20"/>
                <w:szCs w:val="20"/>
              </w:rPr>
              <w:t>How much time was involved in general project tasks and collaboration?</w:t>
            </w:r>
          </w:p>
        </w:tc>
        <w:tc>
          <w:tcPr>
            <w:tcW w:w="2419" w:type="dxa"/>
            <w:shd w:val="clear" w:color="auto" w:fill="auto"/>
          </w:tcPr>
          <w:p w14:paraId="4D4904DD" w14:textId="2493341D" w:rsidR="00CA4BF5" w:rsidRPr="00B01F9E" w:rsidRDefault="00CA4BF5" w:rsidP="00C93C67">
            <w:pPr>
              <w:rPr>
                <w:rFonts w:ascii="Arial" w:hAnsi="Arial" w:cs="Arial"/>
                <w:sz w:val="20"/>
                <w:szCs w:val="20"/>
              </w:rPr>
            </w:pPr>
            <w:r w:rsidRPr="00B01F9E">
              <w:rPr>
                <w:rFonts w:ascii="Arial" w:hAnsi="Arial" w:cs="Arial"/>
                <w:sz w:val="20"/>
                <w:szCs w:val="20"/>
              </w:rPr>
              <w:t>10 weeks</w:t>
            </w:r>
          </w:p>
        </w:tc>
        <w:tc>
          <w:tcPr>
            <w:tcW w:w="2209" w:type="dxa"/>
          </w:tcPr>
          <w:p w14:paraId="29BBD2F7" w14:textId="01C9FC78" w:rsidR="00CA4BF5" w:rsidRPr="00B01F9E" w:rsidRDefault="00CA4BF5" w:rsidP="00C93C67">
            <w:pPr>
              <w:rPr>
                <w:rFonts w:ascii="Arial" w:hAnsi="Arial" w:cs="Arial"/>
                <w:sz w:val="20"/>
                <w:szCs w:val="20"/>
              </w:rPr>
            </w:pPr>
            <w:r w:rsidRPr="00B01F9E">
              <w:rPr>
                <w:rFonts w:ascii="Arial" w:hAnsi="Arial" w:cs="Arial"/>
                <w:sz w:val="20"/>
                <w:szCs w:val="20"/>
              </w:rPr>
              <w:t>24 weeks</w:t>
            </w:r>
          </w:p>
        </w:tc>
      </w:tr>
    </w:tbl>
    <w:p w14:paraId="5B86BC4B" w14:textId="66401D51" w:rsidR="00F91047" w:rsidRPr="00B01F9E" w:rsidRDefault="00F91047" w:rsidP="00933954">
      <w:pPr>
        <w:spacing w:before="120" w:after="0"/>
        <w:rPr>
          <w:rFonts w:ascii="Arial" w:hAnsi="Arial" w:cs="Arial"/>
          <w:sz w:val="20"/>
          <w:szCs w:val="20"/>
        </w:rPr>
      </w:pPr>
      <w:r w:rsidRPr="00B01F9E">
        <w:rPr>
          <w:rFonts w:ascii="Arial" w:hAnsi="Arial" w:cs="Arial"/>
          <w:sz w:val="20"/>
          <w:szCs w:val="20"/>
        </w:rPr>
        <w:t xml:space="preserve">Based on the feedback and lessons learned from the initial implementation of the POC, the CAP anticipates that the duration and level of effort will be optimized in future projects as more standardized processes and resources are acquired. A fully developed LIDR </w:t>
      </w:r>
      <w:r w:rsidR="009E742A" w:rsidRPr="00B01F9E">
        <w:rPr>
          <w:rFonts w:ascii="Arial" w:hAnsi="Arial" w:cs="Arial"/>
          <w:sz w:val="20"/>
          <w:szCs w:val="20"/>
        </w:rPr>
        <w:t>could potentially</w:t>
      </w:r>
      <w:r w:rsidRPr="00B01F9E">
        <w:rPr>
          <w:rFonts w:ascii="Arial" w:hAnsi="Arial" w:cs="Arial"/>
          <w:sz w:val="20"/>
          <w:szCs w:val="20"/>
        </w:rPr>
        <w:t xml:space="preserve"> minimize the need for updates and version changes in subsequent implementations, thereby reducing the amount of time and effort required. Additionally, as the POC implementation process becomes more standardized, the need for one-off </w:t>
      </w:r>
      <w:r w:rsidR="007C6343" w:rsidRPr="00B01F9E">
        <w:rPr>
          <w:rFonts w:ascii="Arial" w:hAnsi="Arial" w:cs="Arial"/>
          <w:sz w:val="20"/>
          <w:szCs w:val="20"/>
        </w:rPr>
        <w:t>workarounds</w:t>
      </w:r>
      <w:r w:rsidRPr="00B01F9E">
        <w:rPr>
          <w:rFonts w:ascii="Arial" w:hAnsi="Arial" w:cs="Arial"/>
          <w:sz w:val="20"/>
          <w:szCs w:val="20"/>
        </w:rPr>
        <w:t xml:space="preserve"> and troubleshooting sessions will decrease, further reducing the overall time spent on </w:t>
      </w:r>
      <w:r w:rsidR="007F4DCB" w:rsidRPr="00B01F9E">
        <w:rPr>
          <w:rFonts w:ascii="Arial" w:hAnsi="Arial" w:cs="Arial"/>
          <w:sz w:val="20"/>
          <w:szCs w:val="20"/>
        </w:rPr>
        <w:t xml:space="preserve">detailed </w:t>
      </w:r>
      <w:r w:rsidRPr="00B01F9E">
        <w:rPr>
          <w:rFonts w:ascii="Arial" w:hAnsi="Arial" w:cs="Arial"/>
          <w:sz w:val="20"/>
          <w:szCs w:val="20"/>
        </w:rPr>
        <w:t xml:space="preserve">project tasks and collaboration. </w:t>
      </w:r>
    </w:p>
    <w:p w14:paraId="32C9D476" w14:textId="4F9DC95B" w:rsidR="00077057" w:rsidRPr="00B01F9E" w:rsidRDefault="009A29C8" w:rsidP="005E475C">
      <w:pPr>
        <w:spacing w:before="120" w:after="0"/>
        <w:rPr>
          <w:rFonts w:ascii="Arial" w:hAnsi="Arial" w:cs="Arial"/>
          <w:sz w:val="20"/>
          <w:szCs w:val="20"/>
        </w:rPr>
      </w:pPr>
      <w:r w:rsidRPr="00B01F9E">
        <w:rPr>
          <w:rFonts w:ascii="Arial" w:hAnsi="Arial" w:cs="Arial"/>
          <w:sz w:val="20"/>
          <w:szCs w:val="20"/>
        </w:rPr>
        <w:t xml:space="preserve">Generally, the Duke resources were satisfied with the overall </w:t>
      </w:r>
      <w:r w:rsidR="00267B64" w:rsidRPr="00B01F9E">
        <w:rPr>
          <w:rFonts w:ascii="Arial" w:hAnsi="Arial" w:cs="Arial"/>
          <w:sz w:val="20"/>
          <w:szCs w:val="20"/>
        </w:rPr>
        <w:t>execution of the project</w:t>
      </w:r>
      <w:r w:rsidR="00862070" w:rsidRPr="00B01F9E">
        <w:rPr>
          <w:rFonts w:ascii="Arial" w:hAnsi="Arial" w:cs="Arial"/>
          <w:sz w:val="20"/>
          <w:szCs w:val="20"/>
        </w:rPr>
        <w:t xml:space="preserve">, </w:t>
      </w:r>
      <w:r w:rsidR="00466C54" w:rsidRPr="00B01F9E">
        <w:rPr>
          <w:rFonts w:ascii="Arial" w:hAnsi="Arial" w:cs="Arial"/>
          <w:sz w:val="20"/>
          <w:szCs w:val="20"/>
        </w:rPr>
        <w:t xml:space="preserve">their </w:t>
      </w:r>
      <w:r w:rsidR="00EA56A6" w:rsidRPr="00B01F9E">
        <w:rPr>
          <w:rFonts w:ascii="Arial" w:hAnsi="Arial" w:cs="Arial"/>
          <w:sz w:val="20"/>
          <w:szCs w:val="20"/>
        </w:rPr>
        <w:t xml:space="preserve">scheduling and </w:t>
      </w:r>
      <w:r w:rsidR="00862070" w:rsidRPr="00B01F9E">
        <w:rPr>
          <w:rFonts w:ascii="Arial" w:hAnsi="Arial" w:cs="Arial"/>
          <w:sz w:val="20"/>
          <w:szCs w:val="20"/>
        </w:rPr>
        <w:t>time commitment,</w:t>
      </w:r>
      <w:r w:rsidR="00EA56A6" w:rsidRPr="00B01F9E">
        <w:rPr>
          <w:rFonts w:ascii="Arial" w:hAnsi="Arial" w:cs="Arial"/>
          <w:sz w:val="20"/>
          <w:szCs w:val="20"/>
        </w:rPr>
        <w:t xml:space="preserve"> project communication,</w:t>
      </w:r>
      <w:r w:rsidR="00267B64" w:rsidRPr="00B01F9E">
        <w:rPr>
          <w:rFonts w:ascii="Arial" w:hAnsi="Arial" w:cs="Arial"/>
          <w:sz w:val="20"/>
          <w:szCs w:val="20"/>
        </w:rPr>
        <w:t xml:space="preserve"> and collaboration with the CAP. However, they noted that </w:t>
      </w:r>
      <w:r w:rsidR="00CB5F43" w:rsidRPr="00B01F9E">
        <w:rPr>
          <w:rFonts w:ascii="Arial" w:hAnsi="Arial" w:cs="Arial"/>
          <w:sz w:val="20"/>
          <w:szCs w:val="20"/>
        </w:rPr>
        <w:t>project</w:t>
      </w:r>
      <w:r w:rsidR="00267B64" w:rsidRPr="00B01F9E">
        <w:rPr>
          <w:rFonts w:ascii="Arial" w:hAnsi="Arial" w:cs="Arial"/>
          <w:sz w:val="20"/>
          <w:szCs w:val="20"/>
        </w:rPr>
        <w:t xml:space="preserve"> objectives and scope could have been </w:t>
      </w:r>
      <w:r w:rsidR="002E2D77" w:rsidRPr="00B01F9E">
        <w:rPr>
          <w:rFonts w:ascii="Arial" w:hAnsi="Arial" w:cs="Arial"/>
          <w:sz w:val="20"/>
          <w:szCs w:val="20"/>
        </w:rPr>
        <w:t>clearer</w:t>
      </w:r>
      <w:r w:rsidR="00267B64" w:rsidRPr="00B01F9E">
        <w:rPr>
          <w:rFonts w:ascii="Arial" w:hAnsi="Arial" w:cs="Arial"/>
          <w:sz w:val="20"/>
          <w:szCs w:val="20"/>
        </w:rPr>
        <w:t xml:space="preserve"> at the start of the project. </w:t>
      </w:r>
    </w:p>
    <w:p w14:paraId="7083E8C8" w14:textId="3F6F6161" w:rsidR="007976AA" w:rsidRPr="00B01F9E" w:rsidRDefault="009F1F82" w:rsidP="005E475C">
      <w:pPr>
        <w:pStyle w:val="Heading3"/>
        <w:spacing w:before="120" w:after="120"/>
        <w:rPr>
          <w:rFonts w:ascii="Arial" w:hAnsi="Arial" w:cs="Arial"/>
          <w:b/>
          <w:i/>
          <w:color w:val="009BBF"/>
          <w:sz w:val="20"/>
          <w:szCs w:val="20"/>
        </w:rPr>
      </w:pPr>
      <w:bookmarkStart w:id="360" w:name="_Toc177137006"/>
      <w:r w:rsidRPr="00B01F9E">
        <w:rPr>
          <w:rFonts w:ascii="Arial" w:hAnsi="Arial" w:cs="Arial"/>
          <w:b/>
          <w:i/>
          <w:color w:val="009BBF"/>
          <w:sz w:val="20"/>
          <w:szCs w:val="20"/>
        </w:rPr>
        <w:t>3</w:t>
      </w:r>
      <w:r w:rsidR="007976AA" w:rsidRPr="00B01F9E">
        <w:rPr>
          <w:rFonts w:ascii="Arial" w:hAnsi="Arial" w:cs="Arial"/>
          <w:b/>
          <w:i/>
          <w:color w:val="009BBF"/>
          <w:sz w:val="20"/>
          <w:szCs w:val="20"/>
        </w:rPr>
        <w:t>.</w:t>
      </w:r>
      <w:r w:rsidR="00A83026" w:rsidRPr="00B01F9E">
        <w:rPr>
          <w:rFonts w:ascii="Arial" w:hAnsi="Arial" w:cs="Arial"/>
          <w:b/>
          <w:i/>
          <w:color w:val="009BBF"/>
          <w:sz w:val="20"/>
          <w:szCs w:val="20"/>
        </w:rPr>
        <w:t>9</w:t>
      </w:r>
      <w:r w:rsidR="007976AA" w:rsidRPr="00B01F9E">
        <w:rPr>
          <w:rFonts w:ascii="Arial" w:hAnsi="Arial" w:cs="Arial"/>
          <w:b/>
          <w:i/>
          <w:color w:val="009BBF"/>
          <w:sz w:val="20"/>
          <w:szCs w:val="20"/>
        </w:rPr>
        <w:t>.</w:t>
      </w:r>
      <w:r w:rsidR="0037561E" w:rsidRPr="00B01F9E">
        <w:rPr>
          <w:rFonts w:ascii="Arial" w:hAnsi="Arial" w:cs="Arial"/>
          <w:b/>
          <w:i/>
          <w:color w:val="009BBF"/>
          <w:sz w:val="20"/>
          <w:szCs w:val="20"/>
        </w:rPr>
        <w:t>3</w:t>
      </w:r>
      <w:r w:rsidR="007976AA" w:rsidRPr="00B01F9E">
        <w:rPr>
          <w:rFonts w:ascii="Arial" w:hAnsi="Arial" w:cs="Arial"/>
          <w:b/>
          <w:i/>
          <w:color w:val="009BBF"/>
          <w:sz w:val="20"/>
          <w:szCs w:val="20"/>
        </w:rPr>
        <w:t xml:space="preserve"> </w:t>
      </w:r>
      <w:r w:rsidR="00764539" w:rsidRPr="00B01F9E">
        <w:rPr>
          <w:rFonts w:ascii="Arial" w:hAnsi="Arial" w:cs="Arial"/>
          <w:b/>
          <w:i/>
          <w:color w:val="009BBF"/>
          <w:sz w:val="20"/>
          <w:szCs w:val="20"/>
        </w:rPr>
        <w:t>Vendor Collaboration Feedback</w:t>
      </w:r>
      <w:bookmarkEnd w:id="360"/>
      <w:r w:rsidR="00764539" w:rsidRPr="00B01F9E">
        <w:rPr>
          <w:rFonts w:ascii="Arial" w:hAnsi="Arial" w:cs="Arial"/>
          <w:b/>
          <w:i/>
          <w:color w:val="009BBF"/>
          <w:sz w:val="20"/>
          <w:szCs w:val="20"/>
        </w:rPr>
        <w:t xml:space="preserve"> </w:t>
      </w:r>
    </w:p>
    <w:p w14:paraId="4EDE8AE4" w14:textId="3EF89219" w:rsidR="00E55CC2" w:rsidRPr="00B01F9E" w:rsidRDefault="00071C56" w:rsidP="00E55CC2">
      <w:pPr>
        <w:rPr>
          <w:rFonts w:ascii="Arial" w:hAnsi="Arial" w:cs="Arial"/>
          <w:sz w:val="20"/>
          <w:szCs w:val="20"/>
        </w:rPr>
      </w:pPr>
      <w:r w:rsidRPr="00B01F9E">
        <w:rPr>
          <w:rFonts w:ascii="Arial" w:hAnsi="Arial" w:cs="Arial"/>
          <w:sz w:val="20"/>
          <w:szCs w:val="20"/>
        </w:rPr>
        <w:t xml:space="preserve">The CAP </w:t>
      </w:r>
      <w:r w:rsidR="00681E33" w:rsidRPr="00B01F9E">
        <w:rPr>
          <w:rFonts w:ascii="Arial" w:hAnsi="Arial" w:cs="Arial"/>
          <w:sz w:val="20"/>
          <w:szCs w:val="20"/>
        </w:rPr>
        <w:t xml:space="preserve">collaborated with a </w:t>
      </w:r>
      <w:r w:rsidR="00307C26" w:rsidRPr="00B01F9E">
        <w:rPr>
          <w:rFonts w:ascii="Arial" w:hAnsi="Arial" w:cs="Arial"/>
          <w:sz w:val="20"/>
          <w:szCs w:val="20"/>
        </w:rPr>
        <w:t>third-party</w:t>
      </w:r>
      <w:r w:rsidR="00681E33" w:rsidRPr="00B01F9E">
        <w:rPr>
          <w:rFonts w:ascii="Arial" w:hAnsi="Arial" w:cs="Arial"/>
          <w:sz w:val="20"/>
          <w:szCs w:val="20"/>
        </w:rPr>
        <w:t xml:space="preserve"> </w:t>
      </w:r>
      <w:r w:rsidR="00DD6F8B" w:rsidRPr="00B01F9E">
        <w:rPr>
          <w:rFonts w:ascii="Arial" w:hAnsi="Arial" w:cs="Arial"/>
          <w:sz w:val="20"/>
          <w:szCs w:val="20"/>
        </w:rPr>
        <w:t xml:space="preserve">vendor, </w:t>
      </w:r>
      <w:r w:rsidR="00EC3012" w:rsidRPr="00B01F9E">
        <w:rPr>
          <w:rFonts w:ascii="Arial" w:hAnsi="Arial" w:cs="Arial"/>
          <w:sz w:val="20"/>
          <w:szCs w:val="20"/>
        </w:rPr>
        <w:t>ELLKAY</w:t>
      </w:r>
      <w:r w:rsidR="00DD6F8B" w:rsidRPr="00B01F9E">
        <w:rPr>
          <w:rFonts w:ascii="Arial" w:hAnsi="Arial" w:cs="Arial"/>
          <w:sz w:val="20"/>
          <w:szCs w:val="20"/>
        </w:rPr>
        <w:t xml:space="preserve">, to establish the interface engine </w:t>
      </w:r>
      <w:r w:rsidR="00B576F7" w:rsidRPr="00B01F9E">
        <w:rPr>
          <w:rFonts w:ascii="Arial" w:hAnsi="Arial" w:cs="Arial"/>
          <w:sz w:val="20"/>
          <w:szCs w:val="20"/>
        </w:rPr>
        <w:t>for</w:t>
      </w:r>
      <w:r w:rsidR="008E7A36" w:rsidRPr="00B01F9E">
        <w:rPr>
          <w:rFonts w:ascii="Arial" w:hAnsi="Arial" w:cs="Arial"/>
          <w:sz w:val="20"/>
          <w:szCs w:val="20"/>
        </w:rPr>
        <w:t xml:space="preserve"> the POC.</w:t>
      </w:r>
      <w:r w:rsidR="008E7A36" w:rsidRPr="00B01F9E">
        <w:rPr>
          <w:rFonts w:ascii="Arial" w:hAnsi="Arial" w:cs="Arial"/>
          <w:b/>
          <w:bCs/>
          <w:sz w:val="20"/>
          <w:szCs w:val="20"/>
        </w:rPr>
        <w:t xml:space="preserve"> </w:t>
      </w:r>
      <w:r w:rsidR="008E7A36" w:rsidRPr="00B01F9E">
        <w:rPr>
          <w:rFonts w:ascii="Arial" w:hAnsi="Arial" w:cs="Arial"/>
          <w:sz w:val="20"/>
          <w:szCs w:val="20"/>
        </w:rPr>
        <w:t xml:space="preserve">An additional </w:t>
      </w:r>
      <w:r w:rsidR="00E55CC2" w:rsidRPr="00B01F9E">
        <w:rPr>
          <w:rFonts w:ascii="Arial" w:hAnsi="Arial" w:cs="Arial"/>
          <w:sz w:val="20"/>
          <w:szCs w:val="20"/>
        </w:rPr>
        <w:t xml:space="preserve">survey was designed to gather </w:t>
      </w:r>
      <w:r w:rsidR="00EC3012" w:rsidRPr="00B01F9E">
        <w:rPr>
          <w:rFonts w:ascii="Arial" w:hAnsi="Arial" w:cs="Arial"/>
          <w:sz w:val="20"/>
          <w:szCs w:val="20"/>
        </w:rPr>
        <w:t xml:space="preserve">ELLKAY’s </w:t>
      </w:r>
      <w:r w:rsidR="00E55CC2" w:rsidRPr="00B01F9E">
        <w:rPr>
          <w:rFonts w:ascii="Arial" w:hAnsi="Arial" w:cs="Arial"/>
          <w:sz w:val="20"/>
          <w:szCs w:val="20"/>
        </w:rPr>
        <w:t xml:space="preserve">feedback on the challenges encountered during the POC. Their insights were </w:t>
      </w:r>
      <w:r w:rsidR="00A63A3E" w:rsidRPr="00B01F9E">
        <w:rPr>
          <w:rFonts w:ascii="Arial" w:hAnsi="Arial" w:cs="Arial"/>
          <w:sz w:val="20"/>
          <w:szCs w:val="20"/>
        </w:rPr>
        <w:t xml:space="preserve">valuable </w:t>
      </w:r>
      <w:r w:rsidR="00E55CC2" w:rsidRPr="00B01F9E">
        <w:rPr>
          <w:rFonts w:ascii="Arial" w:hAnsi="Arial" w:cs="Arial"/>
          <w:sz w:val="20"/>
          <w:szCs w:val="20"/>
        </w:rPr>
        <w:t>for the CAP to enhance the collaboration.</w:t>
      </w:r>
      <w:r w:rsidR="00714659" w:rsidRPr="00B01F9E">
        <w:rPr>
          <w:rFonts w:ascii="Arial" w:hAnsi="Arial" w:cs="Arial"/>
          <w:sz w:val="20"/>
          <w:szCs w:val="20"/>
        </w:rPr>
        <w:t xml:space="preserve"> Please refer to </w:t>
      </w:r>
      <w:hyperlink w:anchor="_7.3.1.2_Coding_Feedback_1" w:history="1">
        <w:r w:rsidR="00665985" w:rsidRPr="00B01F9E">
          <w:rPr>
            <w:rStyle w:val="Hyperlink"/>
            <w:rFonts w:ascii="Arial" w:hAnsi="Arial" w:cs="Arial"/>
            <w:sz w:val="20"/>
            <w:szCs w:val="20"/>
          </w:rPr>
          <w:t>Section 7.3.1.2</w:t>
        </w:r>
      </w:hyperlink>
      <w:r w:rsidR="00665985" w:rsidRPr="00B01F9E">
        <w:rPr>
          <w:rFonts w:ascii="Arial" w:hAnsi="Arial" w:cs="Arial"/>
          <w:sz w:val="20"/>
          <w:szCs w:val="20"/>
        </w:rPr>
        <w:t xml:space="preserve"> </w:t>
      </w:r>
      <w:r w:rsidR="00714659" w:rsidRPr="00B01F9E">
        <w:rPr>
          <w:rFonts w:ascii="Arial" w:hAnsi="Arial" w:cs="Arial"/>
          <w:sz w:val="20"/>
          <w:szCs w:val="20"/>
        </w:rPr>
        <w:t xml:space="preserve">for the full survey that was shared with </w:t>
      </w:r>
      <w:r w:rsidR="00EC3012" w:rsidRPr="00B01F9E">
        <w:rPr>
          <w:rFonts w:ascii="Arial" w:hAnsi="Arial" w:cs="Arial"/>
          <w:sz w:val="20"/>
          <w:szCs w:val="20"/>
        </w:rPr>
        <w:t>ELLKAY</w:t>
      </w:r>
      <w:r w:rsidR="00714659" w:rsidRPr="00B01F9E">
        <w:rPr>
          <w:rFonts w:ascii="Arial" w:hAnsi="Arial" w:cs="Arial"/>
          <w:sz w:val="20"/>
          <w:szCs w:val="20"/>
        </w:rPr>
        <w:t>.</w:t>
      </w:r>
    </w:p>
    <w:p w14:paraId="28217594" w14:textId="388C1C43" w:rsidR="00160D39" w:rsidRPr="00B01F9E" w:rsidRDefault="00994912" w:rsidP="00FB088B">
      <w:pPr>
        <w:spacing w:after="120"/>
        <w:rPr>
          <w:rFonts w:ascii="Arial" w:hAnsi="Arial" w:cs="Arial"/>
          <w:sz w:val="20"/>
          <w:szCs w:val="20"/>
        </w:rPr>
      </w:pPr>
      <w:r w:rsidRPr="00B01F9E">
        <w:rPr>
          <w:rFonts w:ascii="Arial" w:hAnsi="Arial" w:cs="Arial"/>
          <w:sz w:val="20"/>
          <w:szCs w:val="20"/>
        </w:rPr>
        <w:t xml:space="preserve">The survey responses highlighted that the project faced challenges due to changes in scope, which impacted both time and resources. </w:t>
      </w:r>
      <w:r w:rsidR="00EC3012" w:rsidRPr="00B01F9E">
        <w:rPr>
          <w:rFonts w:ascii="Arial" w:hAnsi="Arial" w:cs="Arial"/>
          <w:sz w:val="20"/>
          <w:szCs w:val="20"/>
        </w:rPr>
        <w:t>ELLKAY</w:t>
      </w:r>
      <w:r w:rsidRPr="00B01F9E">
        <w:rPr>
          <w:rFonts w:ascii="Arial" w:hAnsi="Arial" w:cs="Arial"/>
          <w:sz w:val="20"/>
          <w:szCs w:val="20"/>
        </w:rPr>
        <w:t xml:space="preserve"> experienced difficulties because the initial scope was not clearly defined and underwent modifications. However, recurring testing calls and pre-established connections facilitated faster turnaround times. </w:t>
      </w:r>
    </w:p>
    <w:p w14:paraId="234E2584" w14:textId="77777777" w:rsidR="008703EE" w:rsidRPr="00B01F9E" w:rsidRDefault="008703EE" w:rsidP="00AA1474">
      <w:pPr>
        <w:spacing w:before="120" w:after="0"/>
        <w:rPr>
          <w:rFonts w:ascii="Arial" w:hAnsi="Arial" w:cs="Arial"/>
          <w:b/>
          <w:bCs/>
          <w:color w:val="009BBF"/>
          <w:sz w:val="20"/>
          <w:szCs w:val="20"/>
        </w:rPr>
        <w:sectPr w:rsidR="008703EE" w:rsidRPr="00B01F9E" w:rsidSect="00C5319E">
          <w:pgSz w:w="12240" w:h="15840"/>
          <w:pgMar w:top="1440" w:right="1440" w:bottom="1440" w:left="1440" w:header="0" w:footer="720" w:gutter="0"/>
          <w:cols w:space="720"/>
          <w:docGrid w:linePitch="360"/>
        </w:sectPr>
      </w:pPr>
    </w:p>
    <w:p w14:paraId="2BC77048" w14:textId="7CAF8EBF" w:rsidR="00B63EB8" w:rsidRPr="00B01F9E" w:rsidRDefault="009F1F82" w:rsidP="00FB088B">
      <w:pPr>
        <w:pStyle w:val="Heading1"/>
        <w:spacing w:after="120"/>
        <w:rPr>
          <w:color w:val="009BBF"/>
          <w:sz w:val="20"/>
          <w:szCs w:val="20"/>
        </w:rPr>
      </w:pPr>
      <w:bookmarkStart w:id="361" w:name="_4._TRAINING_AND"/>
      <w:bookmarkStart w:id="362" w:name="_Toc177137007"/>
      <w:bookmarkEnd w:id="361"/>
      <w:r w:rsidRPr="00B01F9E">
        <w:rPr>
          <w:color w:val="009BBF"/>
          <w:sz w:val="20"/>
          <w:szCs w:val="20"/>
        </w:rPr>
        <w:lastRenderedPageBreak/>
        <w:t>4</w:t>
      </w:r>
      <w:r w:rsidR="00C0123E" w:rsidRPr="00B01F9E">
        <w:rPr>
          <w:color w:val="009BBF"/>
          <w:sz w:val="20"/>
          <w:szCs w:val="20"/>
        </w:rPr>
        <w:t>. TRAINING AND EDUCATION MATERIALS</w:t>
      </w:r>
      <w:bookmarkEnd w:id="362"/>
      <w:r w:rsidR="00C0123E" w:rsidRPr="00B01F9E">
        <w:rPr>
          <w:color w:val="009BBF"/>
          <w:sz w:val="20"/>
          <w:szCs w:val="20"/>
        </w:rPr>
        <w:t xml:space="preserve"> </w:t>
      </w:r>
    </w:p>
    <w:p w14:paraId="40E0BF7D" w14:textId="18A00997" w:rsidR="007505DE" w:rsidRPr="00B01F9E" w:rsidRDefault="009F1F82" w:rsidP="00FB088B">
      <w:pPr>
        <w:pStyle w:val="Heading2"/>
        <w:spacing w:before="0" w:after="120"/>
        <w:rPr>
          <w:rFonts w:ascii="Arial" w:hAnsi="Arial" w:cs="Arial"/>
          <w:b/>
          <w:bCs/>
          <w:color w:val="009BBF"/>
          <w:sz w:val="20"/>
          <w:szCs w:val="20"/>
        </w:rPr>
      </w:pPr>
      <w:bookmarkStart w:id="363" w:name="_Toc177137008"/>
      <w:r w:rsidRPr="00B01F9E">
        <w:rPr>
          <w:rFonts w:ascii="Arial" w:hAnsi="Arial" w:cs="Arial"/>
          <w:b/>
          <w:bCs/>
          <w:color w:val="009BBF"/>
          <w:sz w:val="20"/>
          <w:szCs w:val="20"/>
        </w:rPr>
        <w:t>4</w:t>
      </w:r>
      <w:r w:rsidR="007505DE" w:rsidRPr="00B01F9E">
        <w:rPr>
          <w:rFonts w:ascii="Arial" w:hAnsi="Arial" w:cs="Arial"/>
          <w:b/>
          <w:bCs/>
          <w:color w:val="009BBF"/>
          <w:sz w:val="20"/>
          <w:szCs w:val="20"/>
        </w:rPr>
        <w:t xml:space="preserve">.1 </w:t>
      </w:r>
      <w:r w:rsidR="00A954CF" w:rsidRPr="00B01F9E">
        <w:rPr>
          <w:rFonts w:ascii="Arial" w:hAnsi="Arial" w:cs="Arial"/>
          <w:b/>
          <w:bCs/>
          <w:color w:val="009BBF"/>
          <w:sz w:val="20"/>
          <w:szCs w:val="20"/>
        </w:rPr>
        <w:t>Development Process and Overview</w:t>
      </w:r>
      <w:bookmarkEnd w:id="363"/>
      <w:r w:rsidR="00A954CF" w:rsidRPr="00B01F9E">
        <w:rPr>
          <w:rFonts w:ascii="Arial" w:hAnsi="Arial" w:cs="Arial"/>
          <w:b/>
          <w:bCs/>
          <w:color w:val="009BBF"/>
          <w:sz w:val="20"/>
          <w:szCs w:val="20"/>
        </w:rPr>
        <w:t xml:space="preserve"> </w:t>
      </w:r>
    </w:p>
    <w:p w14:paraId="0E272DCF" w14:textId="1D1FD568" w:rsidR="00B952B4" w:rsidRPr="00B01F9E" w:rsidRDefault="00B952B4" w:rsidP="001D2B7D">
      <w:pPr>
        <w:rPr>
          <w:rFonts w:ascii="Arial" w:hAnsi="Arial" w:cs="Arial"/>
          <w:sz w:val="20"/>
          <w:szCs w:val="20"/>
        </w:rPr>
      </w:pPr>
      <w:r w:rsidRPr="00B01F9E">
        <w:rPr>
          <w:rFonts w:ascii="Arial" w:hAnsi="Arial" w:cs="Arial"/>
          <w:sz w:val="20"/>
          <w:szCs w:val="20"/>
        </w:rPr>
        <w:t xml:space="preserve">The Year 2 training and education initiatives expanded upon the design from Year 1 which established a plan for the QA Program POC. The objective was to design and develop training and education material prototypes to educate laboratories on system changes required to implement the LIDR codes, connect to the quality organization interface, and participate in the QA Program. This </w:t>
      </w:r>
      <w:r w:rsidR="00266C3B" w:rsidRPr="00B01F9E">
        <w:rPr>
          <w:rFonts w:ascii="Arial" w:hAnsi="Arial" w:cs="Arial"/>
          <w:sz w:val="20"/>
          <w:szCs w:val="20"/>
        </w:rPr>
        <w:t>section</w:t>
      </w:r>
      <w:r w:rsidRPr="00B01F9E">
        <w:rPr>
          <w:rFonts w:ascii="Arial" w:hAnsi="Arial" w:cs="Arial"/>
          <w:sz w:val="20"/>
          <w:szCs w:val="20"/>
        </w:rPr>
        <w:t xml:space="preserve"> provides an overview of the final training and education material prototypes and their content. </w:t>
      </w:r>
    </w:p>
    <w:p w14:paraId="688EA54D" w14:textId="7E7C6407" w:rsidR="008F1E09" w:rsidRPr="00B01F9E" w:rsidRDefault="00B952B4" w:rsidP="001D2B7D">
      <w:pPr>
        <w:rPr>
          <w:rFonts w:ascii="Arial" w:hAnsi="Arial" w:cs="Arial"/>
          <w:sz w:val="20"/>
          <w:szCs w:val="20"/>
        </w:rPr>
      </w:pPr>
      <w:r w:rsidRPr="00B01F9E">
        <w:rPr>
          <w:rFonts w:ascii="Arial" w:hAnsi="Arial" w:cs="Arial"/>
          <w:sz w:val="20"/>
          <w:szCs w:val="20"/>
        </w:rPr>
        <w:t xml:space="preserve">The training and education material prototypes are intended to supplement the QA Program POC. While these materials are not designed for immediate use in a production environment, they can serve as a valuable blueprint for potential future training materials. </w:t>
      </w:r>
    </w:p>
    <w:p w14:paraId="3ABA12AD" w14:textId="2FD13C93" w:rsidR="008F1E09" w:rsidRPr="00B01F9E" w:rsidRDefault="008F1E09" w:rsidP="00A44DE3">
      <w:pPr>
        <w:pStyle w:val="ListParagraph"/>
        <w:spacing w:after="120"/>
        <w:ind w:left="0"/>
        <w:rPr>
          <w:rFonts w:ascii="Arial" w:hAnsi="Arial" w:cs="Arial"/>
          <w:b/>
          <w:bCs/>
          <w:sz w:val="20"/>
          <w:szCs w:val="20"/>
        </w:rPr>
      </w:pPr>
      <w:r w:rsidRPr="00B01F9E">
        <w:rPr>
          <w:rFonts w:ascii="Arial" w:hAnsi="Arial" w:cs="Arial"/>
          <w:b/>
          <w:bCs/>
          <w:sz w:val="20"/>
          <w:szCs w:val="20"/>
        </w:rPr>
        <w:t xml:space="preserve">Training and Education Material Prototype Development Process </w:t>
      </w:r>
    </w:p>
    <w:p w14:paraId="1CFB2664" w14:textId="6E384993" w:rsidR="0081380F" w:rsidRPr="00B01F9E" w:rsidRDefault="007979E1" w:rsidP="00A44DE3">
      <w:pPr>
        <w:spacing w:after="120"/>
        <w:rPr>
          <w:rFonts w:ascii="Arial" w:hAnsi="Arial" w:cs="Arial"/>
          <w:b/>
          <w:iCs/>
          <w:sz w:val="20"/>
          <w:szCs w:val="20"/>
        </w:rPr>
      </w:pPr>
      <w:r w:rsidRPr="00B01F9E">
        <w:rPr>
          <w:rFonts w:ascii="Arial" w:hAnsi="Arial" w:cs="Arial"/>
          <w:b/>
          <w:iCs/>
          <w:sz w:val="20"/>
          <w:szCs w:val="20"/>
        </w:rPr>
        <w:t>Methodology</w:t>
      </w:r>
    </w:p>
    <w:p w14:paraId="334CD014" w14:textId="449ECE5C" w:rsidR="00DD3B98" w:rsidRPr="00B01F9E" w:rsidRDefault="00DD3B98" w:rsidP="00A44DE3">
      <w:pPr>
        <w:pStyle w:val="ListParagraph"/>
        <w:spacing w:after="120"/>
        <w:ind w:left="0"/>
        <w:contextualSpacing w:val="0"/>
        <w:rPr>
          <w:rFonts w:ascii="Arial" w:hAnsi="Arial" w:cs="Arial"/>
          <w:b/>
          <w:bCs/>
          <w:color w:val="4BACC6"/>
          <w:sz w:val="20"/>
          <w:szCs w:val="20"/>
        </w:rPr>
      </w:pPr>
      <w:r w:rsidRPr="00B01F9E">
        <w:rPr>
          <w:rFonts w:ascii="Arial" w:hAnsi="Arial" w:cs="Arial"/>
          <w:sz w:val="20"/>
          <w:szCs w:val="20"/>
        </w:rPr>
        <w:t xml:space="preserve">The development of the training and education material prototypes </w:t>
      </w:r>
      <w:r w:rsidR="00015076" w:rsidRPr="00B01F9E">
        <w:rPr>
          <w:rFonts w:ascii="Arial" w:hAnsi="Arial" w:cs="Arial"/>
          <w:sz w:val="20"/>
          <w:szCs w:val="20"/>
        </w:rPr>
        <w:t>was</w:t>
      </w:r>
      <w:r w:rsidRPr="00B01F9E">
        <w:rPr>
          <w:rFonts w:ascii="Arial" w:hAnsi="Arial" w:cs="Arial"/>
          <w:sz w:val="20"/>
          <w:szCs w:val="20"/>
        </w:rPr>
        <w:t xml:space="preserve"> based on a systematic and research-driven approach, ensuring instructional integrity from conception to delivery. </w:t>
      </w:r>
    </w:p>
    <w:p w14:paraId="76E242BC" w14:textId="4A626F13" w:rsidR="00DD3B98" w:rsidRPr="00B01F9E" w:rsidRDefault="00DD3B98" w:rsidP="00A44DE3">
      <w:pPr>
        <w:pStyle w:val="ListParagraph"/>
        <w:spacing w:after="120"/>
        <w:ind w:left="0"/>
        <w:contextualSpacing w:val="0"/>
        <w:rPr>
          <w:rFonts w:ascii="Arial" w:hAnsi="Arial" w:cs="Arial"/>
          <w:sz w:val="20"/>
          <w:szCs w:val="20"/>
        </w:rPr>
      </w:pPr>
      <w:r w:rsidRPr="00B01F9E">
        <w:rPr>
          <w:rFonts w:ascii="Arial" w:hAnsi="Arial" w:cs="Arial"/>
          <w:sz w:val="20"/>
          <w:szCs w:val="20"/>
        </w:rPr>
        <w:t>The development process adhere</w:t>
      </w:r>
      <w:r w:rsidR="00283E46" w:rsidRPr="00B01F9E">
        <w:rPr>
          <w:rFonts w:ascii="Arial" w:hAnsi="Arial" w:cs="Arial"/>
          <w:sz w:val="20"/>
          <w:szCs w:val="20"/>
        </w:rPr>
        <w:t>d</w:t>
      </w:r>
      <w:r w:rsidRPr="00B01F9E">
        <w:rPr>
          <w:rFonts w:ascii="Arial" w:hAnsi="Arial" w:cs="Arial"/>
          <w:sz w:val="20"/>
          <w:szCs w:val="20"/>
        </w:rPr>
        <w:t xml:space="preserve"> to the following key phases, accompanied by a technical review procedure: Analysis, Design, Development, Testing, Production, and Evaluation. These phases dictate</w:t>
      </w:r>
      <w:r w:rsidR="00C34634" w:rsidRPr="00B01F9E">
        <w:rPr>
          <w:rFonts w:ascii="Arial" w:hAnsi="Arial" w:cs="Arial"/>
          <w:sz w:val="20"/>
          <w:szCs w:val="20"/>
        </w:rPr>
        <w:t>d</w:t>
      </w:r>
      <w:r w:rsidRPr="00B01F9E">
        <w:rPr>
          <w:rFonts w:ascii="Arial" w:hAnsi="Arial" w:cs="Arial"/>
          <w:sz w:val="20"/>
          <w:szCs w:val="20"/>
        </w:rPr>
        <w:t xml:space="preserve"> the project’s primary tasks and timeline, ensuring a comprehensive and systematic progression towards completion. </w:t>
      </w:r>
    </w:p>
    <w:p w14:paraId="61272E4A" w14:textId="3E61788E" w:rsidR="00DD3B98" w:rsidRPr="00B01F9E" w:rsidRDefault="00DD3B98" w:rsidP="00A44DE3">
      <w:pPr>
        <w:spacing w:after="120"/>
        <w:rPr>
          <w:rFonts w:ascii="Arial" w:hAnsi="Arial" w:cs="Arial"/>
          <w:sz w:val="20"/>
          <w:szCs w:val="20"/>
        </w:rPr>
      </w:pPr>
      <w:r w:rsidRPr="00B01F9E">
        <w:rPr>
          <w:rFonts w:ascii="Arial" w:hAnsi="Arial" w:cs="Arial"/>
          <w:sz w:val="20"/>
          <w:szCs w:val="20"/>
        </w:rPr>
        <w:t xml:space="preserve">Additionally, key considerations </w:t>
      </w:r>
      <w:r w:rsidR="00283E46" w:rsidRPr="00B01F9E">
        <w:rPr>
          <w:rFonts w:ascii="Arial" w:hAnsi="Arial" w:cs="Arial"/>
          <w:sz w:val="20"/>
          <w:szCs w:val="20"/>
        </w:rPr>
        <w:t>were</w:t>
      </w:r>
      <w:r w:rsidRPr="00B01F9E">
        <w:rPr>
          <w:rFonts w:ascii="Arial" w:hAnsi="Arial" w:cs="Arial"/>
          <w:sz w:val="20"/>
          <w:szCs w:val="20"/>
        </w:rPr>
        <w:t xml:space="preserve"> applied to each training and education material prototype, aiming to provide an optimal learning experience for every participant. </w:t>
      </w:r>
    </w:p>
    <w:p w14:paraId="3727C0CC" w14:textId="77777777" w:rsidR="00DD3B98" w:rsidRPr="00B01F9E" w:rsidRDefault="00DD3B98" w:rsidP="00550F50">
      <w:pPr>
        <w:pStyle w:val="ListParagraph"/>
        <w:numPr>
          <w:ilvl w:val="0"/>
          <w:numId w:val="24"/>
        </w:numPr>
        <w:spacing w:after="120"/>
        <w:ind w:left="720"/>
        <w:rPr>
          <w:rFonts w:ascii="Arial" w:hAnsi="Arial" w:cs="Arial"/>
          <w:sz w:val="20"/>
          <w:szCs w:val="20"/>
        </w:rPr>
      </w:pPr>
      <w:r w:rsidRPr="00B01F9E">
        <w:rPr>
          <w:rFonts w:ascii="Arial" w:hAnsi="Arial" w:cs="Arial"/>
          <w:sz w:val="20"/>
          <w:szCs w:val="20"/>
        </w:rPr>
        <w:t>Uses an interactive approach employing balanced levels of information delivery and learner-centered application activities that enhance knowledge and skills</w:t>
      </w:r>
    </w:p>
    <w:p w14:paraId="0B1C2BE1" w14:textId="77777777" w:rsidR="00DD3B98" w:rsidRPr="00B01F9E" w:rsidRDefault="00DD3B98" w:rsidP="00550F50">
      <w:pPr>
        <w:pStyle w:val="ListParagraph"/>
        <w:numPr>
          <w:ilvl w:val="0"/>
          <w:numId w:val="24"/>
        </w:numPr>
        <w:ind w:left="720"/>
        <w:rPr>
          <w:rFonts w:ascii="Arial" w:hAnsi="Arial" w:cs="Arial"/>
          <w:sz w:val="20"/>
          <w:szCs w:val="20"/>
        </w:rPr>
      </w:pPr>
      <w:r w:rsidRPr="00B01F9E">
        <w:rPr>
          <w:rFonts w:ascii="Arial" w:hAnsi="Arial" w:cs="Arial"/>
          <w:sz w:val="20"/>
          <w:szCs w:val="20"/>
        </w:rPr>
        <w:t>Uses media that reflects the participants’ needs and learning styles, settings, and objectives while considering logistics issues of learners, including available resources and equipment</w:t>
      </w:r>
    </w:p>
    <w:p w14:paraId="52CBFB14" w14:textId="77777777" w:rsidR="00DD3B98" w:rsidRPr="00B01F9E" w:rsidRDefault="00DD3B98" w:rsidP="00550F50">
      <w:pPr>
        <w:pStyle w:val="ListParagraph"/>
        <w:numPr>
          <w:ilvl w:val="0"/>
          <w:numId w:val="24"/>
        </w:numPr>
        <w:ind w:left="720"/>
        <w:rPr>
          <w:rFonts w:ascii="Arial" w:hAnsi="Arial" w:cs="Arial"/>
          <w:sz w:val="20"/>
          <w:szCs w:val="20"/>
        </w:rPr>
      </w:pPr>
      <w:r w:rsidRPr="00B01F9E">
        <w:rPr>
          <w:rFonts w:ascii="Arial" w:hAnsi="Arial" w:cs="Arial"/>
          <w:sz w:val="20"/>
          <w:szCs w:val="20"/>
        </w:rPr>
        <w:t>Places emphasis on knowledge and skills transfer to the learners’ work experiences, including job aids and suggestions for transferring new learning to on-the-job practical situations</w:t>
      </w:r>
    </w:p>
    <w:p w14:paraId="766C0BC6" w14:textId="77777777" w:rsidR="00DD3B98" w:rsidRPr="00B01F9E" w:rsidRDefault="00DD3B98" w:rsidP="00550F50">
      <w:pPr>
        <w:pStyle w:val="ListParagraph"/>
        <w:numPr>
          <w:ilvl w:val="0"/>
          <w:numId w:val="24"/>
        </w:numPr>
        <w:ind w:left="720"/>
        <w:rPr>
          <w:rFonts w:ascii="Arial" w:hAnsi="Arial" w:cs="Arial"/>
          <w:sz w:val="20"/>
          <w:szCs w:val="20"/>
        </w:rPr>
      </w:pPr>
      <w:r w:rsidRPr="00B01F9E">
        <w:rPr>
          <w:rFonts w:ascii="Arial" w:hAnsi="Arial" w:cs="Arial"/>
          <w:sz w:val="20"/>
          <w:szCs w:val="20"/>
        </w:rPr>
        <w:t>Applies and integrates the participants’ background, experience, and expertise in training activities</w:t>
      </w:r>
    </w:p>
    <w:p w14:paraId="37802416" w14:textId="3898B0BA" w:rsidR="00DD3B98" w:rsidRPr="00B01F9E" w:rsidRDefault="00DD3B98" w:rsidP="00A44DE3">
      <w:pPr>
        <w:spacing w:after="120"/>
        <w:rPr>
          <w:rFonts w:ascii="Arial" w:hAnsi="Arial" w:cs="Arial"/>
          <w:b/>
          <w:iCs/>
          <w:sz w:val="20"/>
          <w:szCs w:val="20"/>
        </w:rPr>
      </w:pPr>
      <w:r w:rsidRPr="00B01F9E">
        <w:rPr>
          <w:rFonts w:ascii="Arial" w:hAnsi="Arial" w:cs="Arial"/>
          <w:b/>
          <w:iCs/>
          <w:sz w:val="20"/>
          <w:szCs w:val="20"/>
        </w:rPr>
        <w:t>Training Objectives</w:t>
      </w:r>
    </w:p>
    <w:p w14:paraId="4AE3A53F" w14:textId="3F4EA0A7" w:rsidR="00F827D2" w:rsidRPr="00B01F9E" w:rsidRDefault="00F827D2" w:rsidP="00A44DE3">
      <w:pPr>
        <w:spacing w:after="120"/>
        <w:rPr>
          <w:rFonts w:ascii="Arial" w:hAnsi="Arial" w:cs="Arial"/>
          <w:b/>
          <w:color w:val="4BACC6"/>
          <w:sz w:val="20"/>
          <w:szCs w:val="20"/>
        </w:rPr>
      </w:pPr>
      <w:r w:rsidRPr="00B01F9E">
        <w:rPr>
          <w:rFonts w:ascii="Arial" w:hAnsi="Arial" w:cs="Arial"/>
          <w:sz w:val="20"/>
          <w:szCs w:val="20"/>
        </w:rPr>
        <w:t xml:space="preserve">The training and education material prototypes </w:t>
      </w:r>
      <w:r w:rsidR="00E054B5" w:rsidRPr="00B01F9E">
        <w:rPr>
          <w:rFonts w:ascii="Arial" w:hAnsi="Arial" w:cs="Arial"/>
          <w:sz w:val="20"/>
          <w:szCs w:val="20"/>
        </w:rPr>
        <w:t xml:space="preserve">were </w:t>
      </w:r>
      <w:r w:rsidRPr="00B01F9E">
        <w:rPr>
          <w:rFonts w:ascii="Arial" w:hAnsi="Arial" w:cs="Arial"/>
          <w:sz w:val="20"/>
          <w:szCs w:val="20"/>
        </w:rPr>
        <w:t xml:space="preserve">designed to accomplish the following objectives: </w:t>
      </w:r>
    </w:p>
    <w:p w14:paraId="1A473A14" w14:textId="37CF81ED" w:rsidR="00F827D2" w:rsidRPr="00B01F9E" w:rsidRDefault="00F827D2" w:rsidP="00550F50">
      <w:pPr>
        <w:pStyle w:val="ListParagraph"/>
        <w:numPr>
          <w:ilvl w:val="0"/>
          <w:numId w:val="25"/>
        </w:numPr>
        <w:spacing w:after="120"/>
        <w:ind w:left="720"/>
        <w:rPr>
          <w:rFonts w:ascii="Arial" w:hAnsi="Arial" w:cs="Arial"/>
          <w:sz w:val="20"/>
          <w:szCs w:val="20"/>
        </w:rPr>
      </w:pPr>
      <w:r w:rsidRPr="00B01F9E">
        <w:rPr>
          <w:rFonts w:ascii="Arial" w:hAnsi="Arial" w:cs="Arial"/>
          <w:sz w:val="20"/>
          <w:szCs w:val="20"/>
        </w:rPr>
        <w:t>Create educational material showcasing the value of IVD laboratory data coding validation, including SHIELD</w:t>
      </w:r>
      <w:r w:rsidR="006A20A5" w:rsidRPr="00B01F9E">
        <w:rPr>
          <w:rFonts w:ascii="Arial" w:hAnsi="Arial" w:cs="Arial"/>
          <w:sz w:val="20"/>
          <w:szCs w:val="20"/>
        </w:rPr>
        <w:t>.</w:t>
      </w:r>
    </w:p>
    <w:p w14:paraId="398BE317" w14:textId="2BA7D6CE" w:rsidR="00F827D2" w:rsidRPr="00B01F9E" w:rsidRDefault="00F827D2" w:rsidP="00550F50">
      <w:pPr>
        <w:pStyle w:val="ListParagraph"/>
        <w:numPr>
          <w:ilvl w:val="0"/>
          <w:numId w:val="25"/>
        </w:numPr>
        <w:ind w:left="720"/>
        <w:rPr>
          <w:rFonts w:ascii="Arial" w:hAnsi="Arial" w:cs="Arial"/>
          <w:sz w:val="20"/>
          <w:szCs w:val="20"/>
        </w:rPr>
      </w:pPr>
      <w:r w:rsidRPr="00B01F9E">
        <w:rPr>
          <w:rFonts w:ascii="Arial" w:hAnsi="Arial" w:cs="Arial"/>
          <w:sz w:val="20"/>
          <w:szCs w:val="20"/>
        </w:rPr>
        <w:t>Create and provide training material for the data submission processes</w:t>
      </w:r>
      <w:r w:rsidR="006A20A5" w:rsidRPr="00B01F9E">
        <w:rPr>
          <w:rFonts w:ascii="Arial" w:hAnsi="Arial" w:cs="Arial"/>
          <w:sz w:val="20"/>
          <w:szCs w:val="20"/>
        </w:rPr>
        <w:t>.</w:t>
      </w:r>
    </w:p>
    <w:p w14:paraId="4693AA51" w14:textId="3F7E7392" w:rsidR="00F827D2" w:rsidRPr="00B01F9E" w:rsidRDefault="00F827D2" w:rsidP="00550F50">
      <w:pPr>
        <w:pStyle w:val="ListParagraph"/>
        <w:numPr>
          <w:ilvl w:val="0"/>
          <w:numId w:val="25"/>
        </w:numPr>
        <w:spacing w:after="120"/>
        <w:ind w:left="720"/>
        <w:rPr>
          <w:rFonts w:ascii="Arial" w:hAnsi="Arial" w:cs="Arial"/>
          <w:sz w:val="20"/>
          <w:szCs w:val="20"/>
        </w:rPr>
      </w:pPr>
      <w:r w:rsidRPr="00B01F9E">
        <w:rPr>
          <w:rFonts w:ascii="Arial" w:hAnsi="Arial" w:cs="Arial"/>
          <w:sz w:val="20"/>
          <w:szCs w:val="20"/>
        </w:rPr>
        <w:t>Create and provide training material for the implementation of technical solutions</w:t>
      </w:r>
      <w:r w:rsidR="006A20A5" w:rsidRPr="00B01F9E">
        <w:rPr>
          <w:rFonts w:ascii="Arial" w:hAnsi="Arial" w:cs="Arial"/>
          <w:sz w:val="20"/>
          <w:szCs w:val="20"/>
        </w:rPr>
        <w:t>.</w:t>
      </w:r>
    </w:p>
    <w:p w14:paraId="29F9D1C6" w14:textId="1C863032" w:rsidR="00F827D2" w:rsidRPr="00B01F9E" w:rsidRDefault="00F827D2" w:rsidP="00550F50">
      <w:pPr>
        <w:pStyle w:val="ListParagraph"/>
        <w:numPr>
          <w:ilvl w:val="0"/>
          <w:numId w:val="25"/>
        </w:numPr>
        <w:ind w:left="720"/>
        <w:rPr>
          <w:rFonts w:ascii="Arial" w:hAnsi="Arial" w:cs="Arial"/>
          <w:sz w:val="20"/>
          <w:szCs w:val="20"/>
        </w:rPr>
      </w:pPr>
      <w:r w:rsidRPr="00B01F9E">
        <w:rPr>
          <w:rFonts w:ascii="Arial" w:hAnsi="Arial" w:cs="Arial"/>
          <w:sz w:val="20"/>
          <w:szCs w:val="20"/>
        </w:rPr>
        <w:t>Create documentation and training for troubleshooting potential failures and managing error messages</w:t>
      </w:r>
      <w:r w:rsidR="006A20A5" w:rsidRPr="00B01F9E">
        <w:rPr>
          <w:rFonts w:ascii="Arial" w:hAnsi="Arial" w:cs="Arial"/>
          <w:sz w:val="20"/>
          <w:szCs w:val="20"/>
        </w:rPr>
        <w:t>.</w:t>
      </w:r>
      <w:r w:rsidRPr="00B01F9E">
        <w:rPr>
          <w:rFonts w:ascii="Arial" w:hAnsi="Arial" w:cs="Arial"/>
          <w:sz w:val="20"/>
          <w:szCs w:val="20"/>
        </w:rPr>
        <w:t xml:space="preserve"> </w:t>
      </w:r>
    </w:p>
    <w:p w14:paraId="0BCE6271" w14:textId="77777777" w:rsidR="00815C81" w:rsidRPr="00B01F9E" w:rsidRDefault="00815C81" w:rsidP="00A44DE3">
      <w:pPr>
        <w:spacing w:after="120"/>
        <w:rPr>
          <w:rFonts w:ascii="Arial" w:hAnsi="Arial" w:cs="Arial"/>
          <w:b/>
          <w:iCs/>
          <w:sz w:val="20"/>
          <w:szCs w:val="20"/>
        </w:rPr>
      </w:pPr>
    </w:p>
    <w:p w14:paraId="7B169682" w14:textId="3922EC42" w:rsidR="00DD3B98" w:rsidRPr="00B01F9E" w:rsidRDefault="00F827D2" w:rsidP="00A44DE3">
      <w:pPr>
        <w:spacing w:after="120"/>
        <w:rPr>
          <w:rFonts w:ascii="Arial" w:hAnsi="Arial" w:cs="Arial"/>
          <w:b/>
          <w:iCs/>
          <w:sz w:val="20"/>
          <w:szCs w:val="20"/>
        </w:rPr>
      </w:pPr>
      <w:r w:rsidRPr="00B01F9E">
        <w:rPr>
          <w:rFonts w:ascii="Arial" w:hAnsi="Arial" w:cs="Arial"/>
          <w:b/>
          <w:iCs/>
          <w:sz w:val="20"/>
          <w:szCs w:val="20"/>
        </w:rPr>
        <w:lastRenderedPageBreak/>
        <w:t>Target Audience</w:t>
      </w:r>
    </w:p>
    <w:p w14:paraId="5AE4E72B" w14:textId="4522C61E" w:rsidR="003A6DE4" w:rsidRPr="00B01F9E" w:rsidRDefault="003A6DE4" w:rsidP="00A44DE3">
      <w:pPr>
        <w:spacing w:after="120"/>
        <w:rPr>
          <w:rFonts w:ascii="Arial" w:hAnsi="Arial" w:cs="Arial"/>
          <w:sz w:val="20"/>
          <w:szCs w:val="20"/>
        </w:rPr>
      </w:pPr>
      <w:r w:rsidRPr="00B01F9E">
        <w:rPr>
          <w:rFonts w:ascii="Arial" w:hAnsi="Arial" w:cs="Arial"/>
          <w:sz w:val="20"/>
          <w:szCs w:val="20"/>
        </w:rPr>
        <w:t xml:space="preserve">The materials </w:t>
      </w:r>
      <w:r w:rsidR="00A03C4D" w:rsidRPr="00B01F9E">
        <w:rPr>
          <w:rFonts w:ascii="Arial" w:hAnsi="Arial" w:cs="Arial"/>
          <w:sz w:val="20"/>
          <w:szCs w:val="20"/>
        </w:rPr>
        <w:t>were</w:t>
      </w:r>
      <w:r w:rsidRPr="00B01F9E">
        <w:rPr>
          <w:rFonts w:ascii="Arial" w:hAnsi="Arial" w:cs="Arial"/>
          <w:sz w:val="20"/>
          <w:szCs w:val="20"/>
        </w:rPr>
        <w:t xml:space="preserve"> geared towards both information technology (IT) staff and laboratory personnel. Participants in the learning activities will likely have a range of knowledge, skills, and experience. Each target audience group includes, but is not limited to, the following: </w:t>
      </w:r>
    </w:p>
    <w:p w14:paraId="7456CD58" w14:textId="77777777" w:rsidR="003A6DE4" w:rsidRPr="00B01F9E" w:rsidRDefault="003A6DE4" w:rsidP="00550F50">
      <w:pPr>
        <w:pStyle w:val="paragraph"/>
        <w:spacing w:before="0" w:beforeAutospacing="0" w:after="0" w:afterAutospacing="0"/>
        <w:ind w:left="360"/>
        <w:textAlignment w:val="baseline"/>
        <w:rPr>
          <w:rFonts w:ascii="Arial" w:hAnsi="Arial" w:cs="Arial"/>
          <w:b/>
          <w:bCs/>
          <w:sz w:val="20"/>
          <w:szCs w:val="20"/>
        </w:rPr>
      </w:pPr>
      <w:r w:rsidRPr="00B01F9E">
        <w:rPr>
          <w:rStyle w:val="normaltextrun"/>
          <w:rFonts w:ascii="Arial" w:hAnsi="Arial" w:cs="Arial"/>
          <w:b/>
          <w:bCs/>
          <w:sz w:val="20"/>
          <w:szCs w:val="20"/>
        </w:rPr>
        <w:t>IT Staff</w:t>
      </w:r>
    </w:p>
    <w:p w14:paraId="082D2900" w14:textId="74276292" w:rsidR="003A6DE4" w:rsidRPr="00B01F9E" w:rsidRDefault="003A6DE4" w:rsidP="00550F50">
      <w:pPr>
        <w:pStyle w:val="paragraph"/>
        <w:numPr>
          <w:ilvl w:val="0"/>
          <w:numId w:val="22"/>
        </w:numPr>
        <w:spacing w:before="0" w:beforeAutospacing="0" w:after="0" w:afterAutospacing="0"/>
        <w:ind w:left="720"/>
        <w:textAlignment w:val="baseline"/>
        <w:rPr>
          <w:rFonts w:ascii="Arial" w:hAnsi="Arial" w:cs="Arial"/>
          <w:b/>
          <w:bCs/>
          <w:sz w:val="20"/>
          <w:szCs w:val="20"/>
        </w:rPr>
      </w:pPr>
      <w:r w:rsidRPr="00B01F9E">
        <w:rPr>
          <w:rStyle w:val="normaltextrun"/>
          <w:rFonts w:ascii="Arial" w:hAnsi="Arial" w:cs="Arial"/>
          <w:sz w:val="20"/>
          <w:szCs w:val="20"/>
        </w:rPr>
        <w:t xml:space="preserve">LIS administrators/analysts </w:t>
      </w:r>
    </w:p>
    <w:p w14:paraId="478AAC42" w14:textId="77777777" w:rsidR="003A6DE4" w:rsidRPr="00B01F9E" w:rsidRDefault="003A6DE4" w:rsidP="00550F50">
      <w:pPr>
        <w:pStyle w:val="paragraph"/>
        <w:numPr>
          <w:ilvl w:val="0"/>
          <w:numId w:val="22"/>
        </w:numPr>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sz w:val="20"/>
          <w:szCs w:val="20"/>
        </w:rPr>
        <w:t>Laboratory interface team members</w:t>
      </w:r>
      <w:r w:rsidRPr="00B01F9E">
        <w:rPr>
          <w:rStyle w:val="eop"/>
          <w:rFonts w:ascii="Arial" w:hAnsi="Arial" w:cs="Arial"/>
          <w:sz w:val="20"/>
          <w:szCs w:val="20"/>
        </w:rPr>
        <w:t> </w:t>
      </w:r>
    </w:p>
    <w:p w14:paraId="2DFF2FDA" w14:textId="77777777" w:rsidR="003A6DE4" w:rsidRPr="00B01F9E" w:rsidRDefault="003A6DE4" w:rsidP="003A6DE4">
      <w:pPr>
        <w:pStyle w:val="paragraph"/>
        <w:spacing w:before="0" w:beforeAutospacing="0" w:after="0" w:afterAutospacing="0"/>
        <w:ind w:left="360"/>
        <w:textAlignment w:val="baseline"/>
        <w:rPr>
          <w:rFonts w:ascii="Arial" w:hAnsi="Arial" w:cs="Arial"/>
          <w:sz w:val="20"/>
          <w:szCs w:val="20"/>
        </w:rPr>
      </w:pPr>
      <w:r w:rsidRPr="00B01F9E">
        <w:rPr>
          <w:rStyle w:val="eop"/>
          <w:rFonts w:ascii="Arial" w:hAnsi="Arial" w:cs="Arial"/>
          <w:sz w:val="20"/>
          <w:szCs w:val="20"/>
        </w:rPr>
        <w:t> </w:t>
      </w:r>
    </w:p>
    <w:p w14:paraId="31DB89CD" w14:textId="77777777" w:rsidR="003A6DE4" w:rsidRPr="00B01F9E" w:rsidRDefault="003A6DE4" w:rsidP="00550F50">
      <w:pPr>
        <w:pStyle w:val="paragraph"/>
        <w:spacing w:before="0" w:beforeAutospacing="0" w:after="0" w:afterAutospacing="0"/>
        <w:ind w:left="360"/>
        <w:textAlignment w:val="baseline"/>
        <w:rPr>
          <w:rFonts w:ascii="Arial" w:hAnsi="Arial" w:cs="Arial"/>
          <w:b/>
          <w:bCs/>
          <w:sz w:val="20"/>
          <w:szCs w:val="20"/>
        </w:rPr>
      </w:pPr>
      <w:r w:rsidRPr="00B01F9E">
        <w:rPr>
          <w:rStyle w:val="normaltextrun"/>
          <w:rFonts w:ascii="Arial" w:hAnsi="Arial" w:cs="Arial"/>
          <w:b/>
          <w:bCs/>
          <w:sz w:val="20"/>
          <w:szCs w:val="20"/>
        </w:rPr>
        <w:t>Laboratory Personnel</w:t>
      </w:r>
    </w:p>
    <w:p w14:paraId="4E423B83" w14:textId="77777777" w:rsidR="003A6DE4" w:rsidRPr="00B01F9E" w:rsidRDefault="003A6DE4" w:rsidP="00550F50">
      <w:pPr>
        <w:pStyle w:val="paragraph"/>
        <w:numPr>
          <w:ilvl w:val="0"/>
          <w:numId w:val="26"/>
        </w:numPr>
        <w:tabs>
          <w:tab w:val="num" w:pos="1080"/>
        </w:tabs>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sz w:val="20"/>
          <w:szCs w:val="20"/>
        </w:rPr>
        <w:t>Laboratory medical directors</w:t>
      </w:r>
      <w:r w:rsidRPr="00B01F9E">
        <w:rPr>
          <w:rStyle w:val="eop"/>
          <w:rFonts w:ascii="Arial" w:hAnsi="Arial" w:cs="Arial"/>
          <w:sz w:val="20"/>
          <w:szCs w:val="20"/>
        </w:rPr>
        <w:t> </w:t>
      </w:r>
    </w:p>
    <w:p w14:paraId="5DF1F9B6" w14:textId="77777777" w:rsidR="003A6DE4" w:rsidRPr="00B01F9E" w:rsidRDefault="003A6DE4" w:rsidP="00550F50">
      <w:pPr>
        <w:pStyle w:val="paragraph"/>
        <w:numPr>
          <w:ilvl w:val="0"/>
          <w:numId w:val="26"/>
        </w:numPr>
        <w:tabs>
          <w:tab w:val="num" w:pos="1080"/>
        </w:tabs>
        <w:spacing w:before="0" w:beforeAutospacing="0" w:after="0" w:afterAutospacing="0"/>
        <w:ind w:left="720"/>
        <w:textAlignment w:val="baseline"/>
        <w:rPr>
          <w:rFonts w:ascii="Arial" w:hAnsi="Arial" w:cs="Arial"/>
          <w:sz w:val="20"/>
          <w:szCs w:val="20"/>
        </w:rPr>
      </w:pPr>
      <w:r w:rsidRPr="00B01F9E">
        <w:rPr>
          <w:rStyle w:val="normaltextrun"/>
          <w:rFonts w:ascii="Arial" w:hAnsi="Arial" w:cs="Arial"/>
          <w:sz w:val="20"/>
          <w:szCs w:val="20"/>
        </w:rPr>
        <w:t>Pathologists</w:t>
      </w:r>
      <w:r w:rsidRPr="00B01F9E">
        <w:rPr>
          <w:rStyle w:val="eop"/>
          <w:rFonts w:ascii="Arial" w:hAnsi="Arial" w:cs="Arial"/>
          <w:sz w:val="20"/>
          <w:szCs w:val="20"/>
        </w:rPr>
        <w:t> </w:t>
      </w:r>
    </w:p>
    <w:p w14:paraId="2705B541" w14:textId="77777777" w:rsidR="003A6DE4" w:rsidRPr="00B01F9E" w:rsidRDefault="003A6DE4" w:rsidP="00550F50">
      <w:pPr>
        <w:pStyle w:val="paragraph"/>
        <w:numPr>
          <w:ilvl w:val="0"/>
          <w:numId w:val="26"/>
        </w:numPr>
        <w:tabs>
          <w:tab w:val="num" w:pos="1080"/>
        </w:tabs>
        <w:spacing w:before="0" w:beforeAutospacing="0" w:after="0" w:afterAutospacing="0"/>
        <w:ind w:left="720"/>
        <w:textAlignment w:val="baseline"/>
        <w:rPr>
          <w:rStyle w:val="eop"/>
          <w:rFonts w:ascii="Arial" w:hAnsi="Arial" w:cs="Arial"/>
          <w:sz w:val="20"/>
          <w:szCs w:val="20"/>
        </w:rPr>
      </w:pPr>
      <w:r w:rsidRPr="00B01F9E">
        <w:rPr>
          <w:rStyle w:val="normaltextrun"/>
          <w:rFonts w:ascii="Arial" w:hAnsi="Arial" w:cs="Arial"/>
          <w:sz w:val="20"/>
          <w:szCs w:val="20"/>
        </w:rPr>
        <w:t>Laboratory staff who use the program</w:t>
      </w:r>
      <w:r w:rsidRPr="00B01F9E">
        <w:rPr>
          <w:rStyle w:val="eop"/>
          <w:rFonts w:ascii="Arial" w:hAnsi="Arial" w:cs="Arial"/>
          <w:sz w:val="20"/>
          <w:szCs w:val="20"/>
        </w:rPr>
        <w:t> </w:t>
      </w:r>
    </w:p>
    <w:p w14:paraId="210734F0" w14:textId="77777777" w:rsidR="003A6DE4" w:rsidRPr="00B01F9E" w:rsidRDefault="003A6DE4" w:rsidP="003A6DE4">
      <w:pPr>
        <w:pStyle w:val="paragraph"/>
        <w:spacing w:before="0" w:beforeAutospacing="0" w:after="0" w:afterAutospacing="0"/>
        <w:ind w:left="1080"/>
        <w:textAlignment w:val="baseline"/>
        <w:rPr>
          <w:rFonts w:ascii="Arial" w:hAnsi="Arial" w:cs="Arial"/>
          <w:sz w:val="20"/>
          <w:szCs w:val="20"/>
        </w:rPr>
      </w:pPr>
    </w:p>
    <w:p w14:paraId="2C86A91D" w14:textId="77777777" w:rsidR="003A6DE4" w:rsidRPr="00B01F9E" w:rsidRDefault="003A6DE4" w:rsidP="00A44DE3">
      <w:pPr>
        <w:spacing w:after="120"/>
        <w:rPr>
          <w:rFonts w:ascii="Arial" w:hAnsi="Arial" w:cs="Arial"/>
          <w:sz w:val="20"/>
          <w:szCs w:val="20"/>
        </w:rPr>
      </w:pPr>
      <w:r w:rsidRPr="00B01F9E">
        <w:rPr>
          <w:rFonts w:ascii="Arial" w:hAnsi="Arial" w:cs="Arial"/>
          <w:sz w:val="20"/>
          <w:szCs w:val="20"/>
        </w:rPr>
        <w:t xml:space="preserve">Based on the objectives and target audience, the training and education delivery methods were selected to prioritize ease of delivery, implementation, and maintenance. </w:t>
      </w:r>
    </w:p>
    <w:p w14:paraId="62290033" w14:textId="6B3146D7" w:rsidR="003A6DE4" w:rsidRPr="00B01F9E" w:rsidRDefault="009F1F82" w:rsidP="00A44DE3">
      <w:pPr>
        <w:pStyle w:val="Heading2"/>
        <w:spacing w:before="0" w:after="120"/>
        <w:rPr>
          <w:rFonts w:ascii="Arial" w:hAnsi="Arial" w:cs="Arial"/>
          <w:b/>
          <w:color w:val="009BBF"/>
          <w:sz w:val="20"/>
          <w:szCs w:val="20"/>
        </w:rPr>
      </w:pPr>
      <w:bookmarkStart w:id="364" w:name="_Toc177137009"/>
      <w:r w:rsidRPr="00B01F9E">
        <w:rPr>
          <w:rFonts w:ascii="Arial" w:hAnsi="Arial" w:cs="Arial"/>
          <w:b/>
          <w:bCs/>
          <w:color w:val="009BBF"/>
          <w:sz w:val="20"/>
          <w:szCs w:val="20"/>
        </w:rPr>
        <w:t>4</w:t>
      </w:r>
      <w:r w:rsidR="009B673B" w:rsidRPr="00B01F9E">
        <w:rPr>
          <w:rFonts w:ascii="Arial" w:hAnsi="Arial" w:cs="Arial"/>
          <w:b/>
          <w:bCs/>
          <w:color w:val="009BBF"/>
          <w:sz w:val="20"/>
          <w:szCs w:val="20"/>
        </w:rPr>
        <w:t xml:space="preserve">.2 </w:t>
      </w:r>
      <w:r w:rsidR="003A6DE4" w:rsidRPr="00B01F9E">
        <w:rPr>
          <w:rFonts w:ascii="Arial" w:hAnsi="Arial" w:cs="Arial"/>
          <w:b/>
          <w:color w:val="009BBF"/>
          <w:sz w:val="20"/>
          <w:szCs w:val="20"/>
        </w:rPr>
        <w:t xml:space="preserve">Training and Education Material </w:t>
      </w:r>
      <w:r w:rsidR="00436F27" w:rsidRPr="00B01F9E">
        <w:rPr>
          <w:rFonts w:ascii="Arial" w:hAnsi="Arial" w:cs="Arial"/>
          <w:b/>
          <w:bCs/>
          <w:color w:val="009BBF"/>
          <w:sz w:val="20"/>
          <w:szCs w:val="20"/>
        </w:rPr>
        <w:t>Prototypes</w:t>
      </w:r>
      <w:bookmarkEnd w:id="364"/>
      <w:r w:rsidR="003A6DE4" w:rsidRPr="00B01F9E">
        <w:rPr>
          <w:rFonts w:ascii="Arial" w:hAnsi="Arial" w:cs="Arial"/>
          <w:b/>
          <w:color w:val="009BBF"/>
          <w:sz w:val="20"/>
          <w:szCs w:val="20"/>
        </w:rPr>
        <w:t xml:space="preserve"> </w:t>
      </w:r>
    </w:p>
    <w:p w14:paraId="219C3A4A" w14:textId="542500A0" w:rsidR="00EB2DBD" w:rsidRPr="00B01F9E" w:rsidRDefault="006C547C" w:rsidP="00A44DE3">
      <w:pPr>
        <w:spacing w:after="120"/>
        <w:rPr>
          <w:rFonts w:ascii="Arial" w:hAnsi="Arial" w:cs="Arial"/>
          <w:b/>
          <w:bCs/>
          <w:color w:val="4BACC6"/>
          <w:sz w:val="20"/>
          <w:szCs w:val="20"/>
        </w:rPr>
      </w:pPr>
      <w:r w:rsidRPr="00B01F9E">
        <w:rPr>
          <w:rFonts w:ascii="Arial" w:hAnsi="Arial" w:cs="Arial"/>
          <w:sz w:val="20"/>
          <w:szCs w:val="20"/>
        </w:rPr>
        <w:t xml:space="preserve">Four types of training and education material prototypes were developed: a high-level video introduction, a technical guide in PDF format, a user guide in PDF format, and an online e-learning course. </w:t>
      </w:r>
      <w:r w:rsidR="001E7B5D" w:rsidRPr="00B01F9E">
        <w:rPr>
          <w:rFonts w:ascii="Arial" w:hAnsi="Arial" w:cs="Arial"/>
          <w:sz w:val="20"/>
          <w:szCs w:val="20"/>
        </w:rPr>
        <w:t xml:space="preserve">The </w:t>
      </w:r>
      <w:r w:rsidR="00815C81" w:rsidRPr="00B01F9E">
        <w:rPr>
          <w:rFonts w:ascii="Arial" w:hAnsi="Arial" w:cs="Arial"/>
          <w:sz w:val="20"/>
          <w:szCs w:val="20"/>
        </w:rPr>
        <w:t xml:space="preserve">link to the final </w:t>
      </w:r>
      <w:r w:rsidR="001E7B5D" w:rsidRPr="00B01F9E">
        <w:rPr>
          <w:rFonts w:ascii="Arial" w:hAnsi="Arial" w:cs="Arial"/>
          <w:sz w:val="20"/>
          <w:szCs w:val="20"/>
        </w:rPr>
        <w:t>materials</w:t>
      </w:r>
      <w:r w:rsidRPr="00B01F9E">
        <w:rPr>
          <w:rFonts w:ascii="Arial" w:hAnsi="Arial" w:cs="Arial"/>
          <w:sz w:val="20"/>
          <w:szCs w:val="20"/>
        </w:rPr>
        <w:t xml:space="preserve"> and</w:t>
      </w:r>
      <w:r w:rsidR="001E7B5D" w:rsidRPr="00B01F9E">
        <w:rPr>
          <w:rFonts w:ascii="Arial" w:hAnsi="Arial" w:cs="Arial"/>
          <w:sz w:val="20"/>
          <w:szCs w:val="20"/>
        </w:rPr>
        <w:t xml:space="preserve"> descriptions of</w:t>
      </w:r>
      <w:r w:rsidRPr="00B01F9E">
        <w:rPr>
          <w:rFonts w:ascii="Arial" w:hAnsi="Arial" w:cs="Arial"/>
          <w:sz w:val="20"/>
          <w:szCs w:val="20"/>
        </w:rPr>
        <w:t xml:space="preserve"> their anticipated benefits are </w:t>
      </w:r>
      <w:r w:rsidR="001E7B5D" w:rsidRPr="00B01F9E">
        <w:rPr>
          <w:rFonts w:ascii="Arial" w:hAnsi="Arial" w:cs="Arial"/>
          <w:sz w:val="20"/>
          <w:szCs w:val="20"/>
        </w:rPr>
        <w:t>included</w:t>
      </w:r>
      <w:r w:rsidRPr="00B01F9E">
        <w:rPr>
          <w:rFonts w:ascii="Arial" w:hAnsi="Arial" w:cs="Arial"/>
          <w:sz w:val="20"/>
          <w:szCs w:val="20"/>
        </w:rPr>
        <w:t xml:space="preserve"> in Table </w:t>
      </w:r>
      <w:r w:rsidR="00E9198F" w:rsidRPr="00B01F9E">
        <w:rPr>
          <w:rFonts w:ascii="Arial" w:hAnsi="Arial" w:cs="Arial"/>
          <w:sz w:val="20"/>
          <w:szCs w:val="20"/>
        </w:rPr>
        <w:t>1</w:t>
      </w:r>
      <w:r w:rsidR="0017372F" w:rsidRPr="00B01F9E">
        <w:rPr>
          <w:rFonts w:ascii="Arial" w:hAnsi="Arial" w:cs="Arial"/>
          <w:sz w:val="20"/>
          <w:szCs w:val="20"/>
        </w:rPr>
        <w:t>2</w:t>
      </w:r>
      <w:r w:rsidRPr="00B01F9E">
        <w:rPr>
          <w:rFonts w:ascii="Arial" w:hAnsi="Arial" w:cs="Arial"/>
          <w:sz w:val="20"/>
          <w:szCs w:val="20"/>
        </w:rPr>
        <w:t xml:space="preserve">. </w:t>
      </w:r>
    </w:p>
    <w:p w14:paraId="2B700472" w14:textId="230A65F3" w:rsidR="00F4155B" w:rsidRPr="00B01F9E" w:rsidRDefault="00F4155B" w:rsidP="00A44DE3">
      <w:pPr>
        <w:pStyle w:val="ListParagraph"/>
        <w:spacing w:after="0"/>
        <w:ind w:left="0"/>
        <w:rPr>
          <w:rFonts w:ascii="Arial" w:hAnsi="Arial" w:cs="Arial"/>
          <w:b/>
          <w:bCs/>
          <w:color w:val="009BBF"/>
          <w:sz w:val="20"/>
          <w:szCs w:val="20"/>
        </w:rPr>
      </w:pPr>
      <w:r w:rsidRPr="00B01F9E">
        <w:rPr>
          <w:rFonts w:ascii="Arial" w:hAnsi="Arial" w:cs="Arial"/>
          <w:b/>
          <w:bCs/>
          <w:color w:val="009BBF"/>
          <w:sz w:val="20"/>
          <w:szCs w:val="20"/>
        </w:rPr>
        <w:t xml:space="preserve">Table </w:t>
      </w:r>
      <w:r w:rsidR="00E9198F" w:rsidRPr="00B01F9E">
        <w:rPr>
          <w:rFonts w:ascii="Arial" w:hAnsi="Arial" w:cs="Arial"/>
          <w:b/>
          <w:bCs/>
          <w:color w:val="009BBF"/>
          <w:sz w:val="20"/>
          <w:szCs w:val="20"/>
        </w:rPr>
        <w:t>1</w:t>
      </w:r>
      <w:r w:rsidR="0017372F" w:rsidRPr="00B01F9E">
        <w:rPr>
          <w:rFonts w:ascii="Arial" w:hAnsi="Arial" w:cs="Arial"/>
          <w:b/>
          <w:bCs/>
          <w:color w:val="009BBF"/>
          <w:sz w:val="20"/>
          <w:szCs w:val="20"/>
        </w:rPr>
        <w:t>2</w:t>
      </w:r>
      <w:r w:rsidRPr="00B01F9E">
        <w:rPr>
          <w:rFonts w:ascii="Arial" w:hAnsi="Arial" w:cs="Arial"/>
          <w:b/>
          <w:bCs/>
          <w:color w:val="009BBF"/>
          <w:sz w:val="20"/>
          <w:szCs w:val="20"/>
        </w:rPr>
        <w:t>: Training and Education Material</w:t>
      </w:r>
      <w:r w:rsidR="00436F27" w:rsidRPr="00B01F9E">
        <w:rPr>
          <w:rFonts w:ascii="Arial" w:hAnsi="Arial" w:cs="Arial"/>
          <w:b/>
          <w:bCs/>
          <w:color w:val="009BBF"/>
          <w:sz w:val="20"/>
          <w:szCs w:val="20"/>
        </w:rPr>
        <w:t xml:space="preserve"> Prototypes </w:t>
      </w:r>
    </w:p>
    <w:tbl>
      <w:tblPr>
        <w:tblStyle w:val="TableGrid"/>
        <w:tblW w:w="0" w:type="auto"/>
        <w:tblLook w:val="04A0" w:firstRow="1" w:lastRow="0" w:firstColumn="1" w:lastColumn="0" w:noHBand="0" w:noVBand="1"/>
      </w:tblPr>
      <w:tblGrid>
        <w:gridCol w:w="2515"/>
        <w:gridCol w:w="2340"/>
        <w:gridCol w:w="4495"/>
      </w:tblGrid>
      <w:tr w:rsidR="00C66B4E" w:rsidRPr="00B01F9E" w14:paraId="2EBBBFBC" w14:textId="77777777" w:rsidTr="00C93C67">
        <w:tc>
          <w:tcPr>
            <w:tcW w:w="2515" w:type="dxa"/>
            <w:shd w:val="clear" w:color="auto" w:fill="009ABF" w:themeFill="text1"/>
          </w:tcPr>
          <w:p w14:paraId="24EC5133" w14:textId="1CD5CD99" w:rsidR="00C66B4E" w:rsidRPr="00B01F9E" w:rsidRDefault="00C66B4E" w:rsidP="00C93C67">
            <w:pPr>
              <w:pStyle w:val="ListParagraph"/>
              <w:ind w:left="0"/>
              <w:rPr>
                <w:rFonts w:ascii="Arial" w:hAnsi="Arial" w:cs="Arial"/>
                <w:b/>
                <w:bCs/>
                <w:color w:val="FFFFFF"/>
                <w:sz w:val="20"/>
                <w:szCs w:val="20"/>
              </w:rPr>
            </w:pPr>
            <w:r w:rsidRPr="00B01F9E">
              <w:rPr>
                <w:rFonts w:ascii="Arial" w:hAnsi="Arial" w:cs="Arial"/>
                <w:b/>
                <w:bCs/>
                <w:color w:val="FFFFFF"/>
                <w:sz w:val="20"/>
                <w:szCs w:val="20"/>
              </w:rPr>
              <w:t>Training and Education Material Prototype</w:t>
            </w:r>
          </w:p>
        </w:tc>
        <w:tc>
          <w:tcPr>
            <w:tcW w:w="2340" w:type="dxa"/>
            <w:shd w:val="clear" w:color="auto" w:fill="009ABF" w:themeFill="text1"/>
          </w:tcPr>
          <w:p w14:paraId="18F3DAE3" w14:textId="19CE0E81" w:rsidR="00C66B4E" w:rsidRPr="00B01F9E" w:rsidRDefault="00C66B4E" w:rsidP="00C93C67">
            <w:pPr>
              <w:pStyle w:val="ListParagraph"/>
              <w:ind w:left="0"/>
              <w:rPr>
                <w:rFonts w:ascii="Arial" w:hAnsi="Arial" w:cs="Arial"/>
                <w:b/>
                <w:bCs/>
                <w:color w:val="FFFFFF"/>
                <w:sz w:val="20"/>
                <w:szCs w:val="20"/>
              </w:rPr>
            </w:pPr>
            <w:r w:rsidRPr="00B01F9E">
              <w:rPr>
                <w:rFonts w:ascii="Arial" w:hAnsi="Arial" w:cs="Arial"/>
                <w:b/>
                <w:bCs/>
                <w:color w:val="FFFFFF"/>
                <w:sz w:val="20"/>
                <w:szCs w:val="20"/>
              </w:rPr>
              <w:t>Target Audience</w:t>
            </w:r>
          </w:p>
        </w:tc>
        <w:tc>
          <w:tcPr>
            <w:tcW w:w="4495" w:type="dxa"/>
            <w:shd w:val="clear" w:color="auto" w:fill="009ABF" w:themeFill="text1"/>
          </w:tcPr>
          <w:p w14:paraId="5E20E345" w14:textId="7B97A304" w:rsidR="00C66B4E" w:rsidRPr="00B01F9E" w:rsidRDefault="00C66B4E" w:rsidP="00C93C67">
            <w:pPr>
              <w:pStyle w:val="ListParagraph"/>
              <w:ind w:left="0"/>
              <w:rPr>
                <w:rFonts w:ascii="Arial" w:hAnsi="Arial" w:cs="Arial"/>
                <w:b/>
                <w:bCs/>
                <w:color w:val="FFFFFF"/>
                <w:sz w:val="20"/>
                <w:szCs w:val="20"/>
              </w:rPr>
            </w:pPr>
            <w:r w:rsidRPr="00B01F9E">
              <w:rPr>
                <w:rFonts w:ascii="Arial" w:hAnsi="Arial" w:cs="Arial"/>
                <w:b/>
                <w:bCs/>
                <w:color w:val="FFFFFF"/>
                <w:sz w:val="20"/>
                <w:szCs w:val="20"/>
              </w:rPr>
              <w:t>Benefits</w:t>
            </w:r>
          </w:p>
        </w:tc>
      </w:tr>
      <w:tr w:rsidR="00C66B4E" w:rsidRPr="00B01F9E" w14:paraId="34E52251" w14:textId="77777777" w:rsidTr="00C93C67">
        <w:trPr>
          <w:trHeight w:val="1584"/>
        </w:trPr>
        <w:tc>
          <w:tcPr>
            <w:tcW w:w="2515" w:type="dxa"/>
          </w:tcPr>
          <w:p w14:paraId="73B757D3" w14:textId="09B392CB" w:rsidR="00C66B4E" w:rsidRPr="00B01F9E" w:rsidRDefault="00000000" w:rsidP="00C64DB2">
            <w:pPr>
              <w:pStyle w:val="ListParagraph"/>
              <w:ind w:left="0"/>
              <w:rPr>
                <w:rFonts w:ascii="Arial" w:hAnsi="Arial" w:cs="Arial"/>
                <w:b/>
                <w:bCs/>
                <w:color w:val="009BBF"/>
                <w:sz w:val="20"/>
                <w:szCs w:val="20"/>
              </w:rPr>
            </w:pPr>
            <w:hyperlink r:id="rId69" w:history="1">
              <w:r w:rsidR="00C66B4E" w:rsidRPr="00B01F9E">
                <w:rPr>
                  <w:rStyle w:val="Hyperlink"/>
                  <w:rFonts w:ascii="Arial" w:eastAsia="Times New Roman" w:hAnsi="Arial" w:cs="Arial"/>
                  <w:sz w:val="20"/>
                  <w:szCs w:val="20"/>
                </w:rPr>
                <w:t>High-level video introduction to the program concepts</w:t>
              </w:r>
            </w:hyperlink>
          </w:p>
        </w:tc>
        <w:tc>
          <w:tcPr>
            <w:tcW w:w="2340" w:type="dxa"/>
          </w:tcPr>
          <w:p w14:paraId="5BB13342" w14:textId="7FA07208" w:rsidR="00C66B4E" w:rsidRPr="00B01F9E" w:rsidRDefault="00917793" w:rsidP="00C64DB2">
            <w:pPr>
              <w:pStyle w:val="ListParagraph"/>
              <w:ind w:left="0"/>
              <w:rPr>
                <w:rFonts w:ascii="Arial" w:hAnsi="Arial" w:cs="Arial"/>
                <w:b/>
                <w:bCs/>
                <w:color w:val="009BBF"/>
                <w:sz w:val="20"/>
                <w:szCs w:val="20"/>
              </w:rPr>
            </w:pPr>
            <w:r w:rsidRPr="00B01F9E">
              <w:rPr>
                <w:rFonts w:ascii="Arial" w:eastAsia="Times New Roman" w:hAnsi="Arial" w:cs="Arial"/>
                <w:sz w:val="20"/>
                <w:szCs w:val="20"/>
              </w:rPr>
              <w:t>All audiences</w:t>
            </w:r>
          </w:p>
        </w:tc>
        <w:tc>
          <w:tcPr>
            <w:tcW w:w="4495" w:type="dxa"/>
          </w:tcPr>
          <w:p w14:paraId="56B8CC63" w14:textId="52A6FA5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Can use across different audiences</w:t>
            </w:r>
          </w:p>
          <w:p w14:paraId="0A85D52C" w14:textId="6ADECD32"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Can be used to market the program</w:t>
            </w:r>
          </w:p>
          <w:p w14:paraId="58DA882D" w14:textId="0072DF18"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Can be used to introduce training modules</w:t>
            </w:r>
          </w:p>
          <w:p w14:paraId="380863B0" w14:textId="6FD8524F" w:rsidR="00C66B4E"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Motivational in nature by highlighting the impact on the healthcare ecosystem, laboratory, and patient care</w:t>
            </w:r>
          </w:p>
        </w:tc>
      </w:tr>
      <w:tr w:rsidR="00C66B4E" w:rsidRPr="00B01F9E" w14:paraId="2B2ED3F3" w14:textId="77777777" w:rsidTr="00C93C67">
        <w:trPr>
          <w:trHeight w:val="1584"/>
        </w:trPr>
        <w:tc>
          <w:tcPr>
            <w:tcW w:w="2515" w:type="dxa"/>
          </w:tcPr>
          <w:p w14:paraId="55624CEC" w14:textId="3AF64B75" w:rsidR="00C66B4E" w:rsidRPr="00B01F9E" w:rsidRDefault="00000000" w:rsidP="00C64DB2">
            <w:pPr>
              <w:pStyle w:val="ListParagraph"/>
              <w:ind w:left="0"/>
              <w:rPr>
                <w:rFonts w:ascii="Arial" w:hAnsi="Arial" w:cs="Arial"/>
                <w:b/>
                <w:bCs/>
                <w:color w:val="009BBF"/>
                <w:sz w:val="20"/>
                <w:szCs w:val="20"/>
              </w:rPr>
            </w:pPr>
            <w:hyperlink r:id="rId70" w:history="1">
              <w:r w:rsidR="00917793" w:rsidRPr="00B01F9E">
                <w:rPr>
                  <w:rStyle w:val="Hyperlink"/>
                  <w:rFonts w:ascii="Arial" w:eastAsia="Times New Roman" w:hAnsi="Arial" w:cs="Arial"/>
                  <w:sz w:val="20"/>
                  <w:szCs w:val="20"/>
                </w:rPr>
                <w:t>Technical Guide (PDF)</w:t>
              </w:r>
            </w:hyperlink>
          </w:p>
        </w:tc>
        <w:tc>
          <w:tcPr>
            <w:tcW w:w="2340" w:type="dxa"/>
          </w:tcPr>
          <w:p w14:paraId="372DEF39" w14:textId="65388542" w:rsidR="00C66B4E" w:rsidRPr="00B01F9E" w:rsidRDefault="00917793" w:rsidP="00C64DB2">
            <w:pPr>
              <w:pStyle w:val="ListParagraph"/>
              <w:ind w:left="0"/>
              <w:rPr>
                <w:rFonts w:ascii="Arial" w:hAnsi="Arial" w:cs="Arial"/>
                <w:b/>
                <w:bCs/>
                <w:color w:val="009BBF"/>
                <w:sz w:val="20"/>
                <w:szCs w:val="20"/>
              </w:rPr>
            </w:pPr>
            <w:r w:rsidRPr="00B01F9E">
              <w:rPr>
                <w:rFonts w:ascii="Arial" w:eastAsia="Times New Roman" w:hAnsi="Arial" w:cs="Arial"/>
                <w:sz w:val="20"/>
                <w:szCs w:val="20"/>
              </w:rPr>
              <w:t>LIS administrators, laboratory interface team members, and laboratory staff</w:t>
            </w:r>
          </w:p>
        </w:tc>
        <w:tc>
          <w:tcPr>
            <w:tcW w:w="4495" w:type="dxa"/>
          </w:tcPr>
          <w:p w14:paraId="4B2F7E3A"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Lower cost way to document processes during development of the program </w:t>
            </w:r>
          </w:p>
          <w:p w14:paraId="780A4751"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Lower cost way to provide instructions to configure the LIS </w:t>
            </w:r>
          </w:p>
          <w:p w14:paraId="2247F1D1"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Easy access to content to configure initial set-up </w:t>
            </w:r>
          </w:p>
          <w:p w14:paraId="783F305A" w14:textId="15C42EE6" w:rsidR="00C66B4E"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Serves as an ongoing reference resource for staff</w:t>
            </w:r>
          </w:p>
        </w:tc>
      </w:tr>
      <w:tr w:rsidR="00C66B4E" w:rsidRPr="00B01F9E" w14:paraId="4A14BB00" w14:textId="77777777" w:rsidTr="00C93C67">
        <w:trPr>
          <w:trHeight w:val="1584"/>
        </w:trPr>
        <w:tc>
          <w:tcPr>
            <w:tcW w:w="2515" w:type="dxa"/>
          </w:tcPr>
          <w:p w14:paraId="3E85D071" w14:textId="65C10E2D" w:rsidR="00C66B4E" w:rsidRPr="00B01F9E" w:rsidRDefault="00000000" w:rsidP="00C64DB2">
            <w:pPr>
              <w:pStyle w:val="ListParagraph"/>
              <w:ind w:left="0"/>
              <w:rPr>
                <w:rFonts w:ascii="Arial" w:hAnsi="Arial" w:cs="Arial"/>
                <w:b/>
                <w:bCs/>
                <w:color w:val="009BBF"/>
                <w:sz w:val="20"/>
                <w:szCs w:val="20"/>
              </w:rPr>
            </w:pPr>
            <w:hyperlink r:id="rId71" w:history="1">
              <w:r w:rsidR="00917793" w:rsidRPr="00B01F9E">
                <w:rPr>
                  <w:rStyle w:val="Hyperlink"/>
                  <w:rFonts w:ascii="Arial" w:eastAsia="Times New Roman" w:hAnsi="Arial" w:cs="Arial"/>
                  <w:sz w:val="20"/>
                  <w:szCs w:val="20"/>
                </w:rPr>
                <w:t>User Guide (PDF)</w:t>
              </w:r>
            </w:hyperlink>
          </w:p>
        </w:tc>
        <w:tc>
          <w:tcPr>
            <w:tcW w:w="2340" w:type="dxa"/>
          </w:tcPr>
          <w:p w14:paraId="2E9A5D9D" w14:textId="7F95DDC0" w:rsidR="00C66B4E" w:rsidRPr="00B01F9E" w:rsidRDefault="00917793" w:rsidP="00C64DB2">
            <w:pPr>
              <w:pStyle w:val="ListParagraph"/>
              <w:ind w:left="0"/>
              <w:rPr>
                <w:rFonts w:ascii="Arial" w:hAnsi="Arial" w:cs="Arial"/>
                <w:b/>
                <w:bCs/>
                <w:color w:val="009BBF"/>
                <w:sz w:val="20"/>
                <w:szCs w:val="20"/>
              </w:rPr>
            </w:pPr>
            <w:r w:rsidRPr="00B01F9E">
              <w:rPr>
                <w:rFonts w:ascii="Arial" w:eastAsia="Times New Roman" w:hAnsi="Arial" w:cs="Arial"/>
                <w:sz w:val="20"/>
                <w:szCs w:val="20"/>
              </w:rPr>
              <w:t>Laboratory medical directors, pathologists, and laboratory staff who use the program</w:t>
            </w:r>
          </w:p>
        </w:tc>
        <w:tc>
          <w:tcPr>
            <w:tcW w:w="4495" w:type="dxa"/>
          </w:tcPr>
          <w:p w14:paraId="17C3EFCC"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Provides step-by-step instructions on tasks for participating in the QA Program</w:t>
            </w:r>
          </w:p>
          <w:p w14:paraId="1868154E"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Cost-effective compared to in-person training </w:t>
            </w:r>
          </w:p>
          <w:p w14:paraId="73060C5A" w14:textId="78D82DF5" w:rsidR="00C66B4E"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Serves as an ongoing resource for staff</w:t>
            </w:r>
          </w:p>
        </w:tc>
      </w:tr>
      <w:tr w:rsidR="00917793" w:rsidRPr="00B01F9E" w14:paraId="7D29F1C1" w14:textId="77777777" w:rsidTr="00C93C67">
        <w:trPr>
          <w:trHeight w:val="1584"/>
        </w:trPr>
        <w:tc>
          <w:tcPr>
            <w:tcW w:w="2515" w:type="dxa"/>
          </w:tcPr>
          <w:p w14:paraId="35D63B26" w14:textId="4319AC77" w:rsidR="00917793" w:rsidRPr="00B01F9E" w:rsidRDefault="00000000" w:rsidP="00C64DB2">
            <w:pPr>
              <w:pStyle w:val="ListParagraph"/>
              <w:ind w:left="0"/>
              <w:rPr>
                <w:rFonts w:ascii="Arial" w:eastAsia="Times New Roman" w:hAnsi="Arial" w:cs="Arial"/>
                <w:sz w:val="20"/>
                <w:szCs w:val="20"/>
              </w:rPr>
            </w:pPr>
            <w:hyperlink r:id="rId72" w:history="1">
              <w:r w:rsidR="00917793" w:rsidRPr="00B01F9E">
                <w:rPr>
                  <w:rStyle w:val="Hyperlink"/>
                  <w:rFonts w:ascii="Arial" w:eastAsia="Times New Roman" w:hAnsi="Arial" w:cs="Arial"/>
                  <w:sz w:val="20"/>
                  <w:szCs w:val="20"/>
                </w:rPr>
                <w:t>e-learning Course (Online)</w:t>
              </w:r>
            </w:hyperlink>
          </w:p>
        </w:tc>
        <w:tc>
          <w:tcPr>
            <w:tcW w:w="2340" w:type="dxa"/>
          </w:tcPr>
          <w:p w14:paraId="76A7EF8D" w14:textId="6466854D" w:rsidR="00917793" w:rsidRPr="00B01F9E" w:rsidRDefault="00917793" w:rsidP="00C64DB2">
            <w:pPr>
              <w:pStyle w:val="ListParagraph"/>
              <w:ind w:left="0"/>
              <w:rPr>
                <w:rFonts w:ascii="Arial" w:hAnsi="Arial" w:cs="Arial"/>
                <w:b/>
                <w:bCs/>
                <w:color w:val="009BBF"/>
                <w:sz w:val="20"/>
                <w:szCs w:val="20"/>
              </w:rPr>
            </w:pPr>
            <w:r w:rsidRPr="00B01F9E">
              <w:rPr>
                <w:rFonts w:ascii="Arial" w:eastAsia="Times New Roman" w:hAnsi="Arial" w:cs="Arial"/>
                <w:sz w:val="20"/>
                <w:szCs w:val="20"/>
              </w:rPr>
              <w:t>Laboratory staff</w:t>
            </w:r>
          </w:p>
        </w:tc>
        <w:tc>
          <w:tcPr>
            <w:tcW w:w="4495" w:type="dxa"/>
          </w:tcPr>
          <w:p w14:paraId="521F3CBA"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Cost-effective compared to in-person training </w:t>
            </w:r>
          </w:p>
          <w:p w14:paraId="136989AF"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Ability for learners to work at own pace </w:t>
            </w:r>
          </w:p>
          <w:p w14:paraId="52D3B772"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Consistent training across learners </w:t>
            </w:r>
          </w:p>
          <w:p w14:paraId="1F566340" w14:textId="77777777"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 xml:space="preserve">Ability to easily update content </w:t>
            </w:r>
          </w:p>
          <w:p w14:paraId="239DF0C1" w14:textId="585DBE32" w:rsidR="00917793" w:rsidRPr="00B01F9E" w:rsidRDefault="00917793" w:rsidP="00C64DB2">
            <w:pPr>
              <w:numPr>
                <w:ilvl w:val="0"/>
                <w:numId w:val="48"/>
              </w:numPr>
              <w:tabs>
                <w:tab w:val="clear" w:pos="720"/>
              </w:tabs>
              <w:ind w:left="350" w:hanging="280"/>
              <w:rPr>
                <w:rFonts w:ascii="Arial" w:eastAsia="Times New Roman" w:hAnsi="Arial" w:cs="Arial"/>
                <w:sz w:val="20"/>
                <w:szCs w:val="20"/>
              </w:rPr>
            </w:pPr>
            <w:r w:rsidRPr="00B01F9E">
              <w:rPr>
                <w:rFonts w:ascii="Arial" w:eastAsia="Times New Roman" w:hAnsi="Arial" w:cs="Arial"/>
                <w:sz w:val="20"/>
                <w:szCs w:val="20"/>
              </w:rPr>
              <w:t>Includes a link to the user guide, technical guide, and video</w:t>
            </w:r>
          </w:p>
        </w:tc>
      </w:tr>
    </w:tbl>
    <w:p w14:paraId="52446046" w14:textId="3C782316" w:rsidR="004E6309" w:rsidRPr="00B01F9E" w:rsidRDefault="00F4155B" w:rsidP="00A44DE3">
      <w:pPr>
        <w:spacing w:after="120"/>
        <w:rPr>
          <w:rFonts w:ascii="Arial" w:hAnsi="Arial" w:cs="Arial"/>
          <w:sz w:val="20"/>
          <w:szCs w:val="20"/>
        </w:rPr>
      </w:pPr>
      <w:r w:rsidRPr="00B01F9E">
        <w:rPr>
          <w:rFonts w:ascii="Arial" w:hAnsi="Arial" w:cs="Arial"/>
          <w:sz w:val="20"/>
          <w:szCs w:val="20"/>
        </w:rPr>
        <w:t>Note: The final training and education material prototypes are linked in the table above.</w:t>
      </w:r>
    </w:p>
    <w:p w14:paraId="3D9EDF5B" w14:textId="77777777" w:rsidR="00B17537" w:rsidRPr="00B01F9E" w:rsidRDefault="00B17537" w:rsidP="00A44DE3">
      <w:pPr>
        <w:spacing w:after="120"/>
        <w:rPr>
          <w:rFonts w:ascii="Arial" w:hAnsi="Arial" w:cs="Arial"/>
          <w:bCs/>
          <w:sz w:val="20"/>
          <w:szCs w:val="20"/>
        </w:rPr>
      </w:pPr>
      <w:r w:rsidRPr="00B01F9E">
        <w:rPr>
          <w:rFonts w:ascii="Arial" w:hAnsi="Arial" w:cs="Arial"/>
          <w:sz w:val="20"/>
          <w:szCs w:val="20"/>
        </w:rPr>
        <w:t>The video introduction</w:t>
      </w:r>
      <w:r w:rsidRPr="00B01F9E">
        <w:rPr>
          <w:rFonts w:ascii="Arial" w:hAnsi="Arial" w:cs="Arial"/>
          <w:b/>
          <w:bCs/>
          <w:sz w:val="20"/>
          <w:szCs w:val="20"/>
        </w:rPr>
        <w:t xml:space="preserve"> </w:t>
      </w:r>
      <w:r w:rsidRPr="00B01F9E">
        <w:rPr>
          <w:rFonts w:ascii="Arial" w:hAnsi="Arial" w:cs="Arial"/>
          <w:sz w:val="20"/>
          <w:szCs w:val="20"/>
        </w:rPr>
        <w:t xml:space="preserve">provides an introduction and overview of the QA Program. It opens with a scripted, live action patient scenario to illustrate the possible consequences of insufficient clinical interoperability. </w:t>
      </w:r>
    </w:p>
    <w:p w14:paraId="12EB8A8A" w14:textId="78A1EF90" w:rsidR="00B17537" w:rsidRPr="00B01F9E" w:rsidRDefault="00B17537" w:rsidP="00A44DE3">
      <w:pPr>
        <w:spacing w:after="120"/>
        <w:rPr>
          <w:rFonts w:ascii="Arial" w:hAnsi="Arial" w:cs="Arial"/>
          <w:bCs/>
          <w:sz w:val="20"/>
          <w:szCs w:val="20"/>
        </w:rPr>
      </w:pPr>
      <w:r w:rsidRPr="00B01F9E">
        <w:rPr>
          <w:rFonts w:ascii="Arial" w:hAnsi="Arial" w:cs="Arial"/>
          <w:bCs/>
          <w:sz w:val="20"/>
          <w:szCs w:val="20"/>
        </w:rPr>
        <w:t>The full-length video is available as a standalone resource for audiences to watch in its entirety. This format is ideal for audiences watching the video live or using it as marketing or introductory material. Additionally, the video is integrated into the e-learning platform and</w:t>
      </w:r>
      <w:r w:rsidRPr="00B01F9E">
        <w:rPr>
          <w:rFonts w:ascii="Arial" w:hAnsi="Arial" w:cs="Arial"/>
          <w:sz w:val="20"/>
          <w:szCs w:val="20"/>
        </w:rPr>
        <w:t xml:space="preserve"> is divided into three distinct modules.</w:t>
      </w:r>
      <w:r w:rsidRPr="00B01F9E">
        <w:rPr>
          <w:rFonts w:ascii="Arial" w:hAnsi="Arial" w:cs="Arial"/>
          <w:bCs/>
          <w:sz w:val="20"/>
          <w:szCs w:val="20"/>
        </w:rPr>
        <w:t xml:space="preserve"> This approach provides users with a more engaging learning experience and helps them better understand the connection between the video and the e-learning content. Please refer to </w:t>
      </w:r>
      <w:r w:rsidR="00533CE4" w:rsidRPr="00B01F9E">
        <w:rPr>
          <w:rFonts w:ascii="Arial" w:hAnsi="Arial" w:cs="Arial"/>
          <w:sz w:val="20"/>
          <w:szCs w:val="20"/>
        </w:rPr>
        <w:t xml:space="preserve">Section </w:t>
      </w:r>
      <w:r w:rsidR="00322C54" w:rsidRPr="00B01F9E">
        <w:rPr>
          <w:rFonts w:ascii="Arial" w:hAnsi="Arial" w:cs="Arial"/>
          <w:sz w:val="20"/>
          <w:szCs w:val="20"/>
        </w:rPr>
        <w:t>7</w:t>
      </w:r>
      <w:r w:rsidR="00533CE4" w:rsidRPr="00B01F9E">
        <w:rPr>
          <w:rFonts w:ascii="Arial" w:hAnsi="Arial" w:cs="Arial"/>
          <w:sz w:val="20"/>
          <w:szCs w:val="20"/>
        </w:rPr>
        <w:t>.3.2</w:t>
      </w:r>
      <w:r w:rsidRPr="00B01F9E">
        <w:rPr>
          <w:rFonts w:ascii="Arial" w:hAnsi="Arial" w:cs="Arial"/>
          <w:sz w:val="20"/>
          <w:szCs w:val="20"/>
        </w:rPr>
        <w:t xml:space="preserve"> </w:t>
      </w:r>
      <w:r w:rsidRPr="00B01F9E">
        <w:rPr>
          <w:rFonts w:ascii="Arial" w:hAnsi="Arial" w:cs="Arial"/>
          <w:bCs/>
          <w:sz w:val="20"/>
          <w:szCs w:val="20"/>
        </w:rPr>
        <w:t xml:space="preserve">to view the script and screenplay used in the final video. </w:t>
      </w:r>
    </w:p>
    <w:p w14:paraId="712E99DC" w14:textId="77777777" w:rsidR="00B17537" w:rsidRPr="00B01F9E" w:rsidRDefault="00B17537" w:rsidP="00A44DE3">
      <w:pPr>
        <w:spacing w:after="120"/>
        <w:rPr>
          <w:rFonts w:ascii="Arial" w:hAnsi="Arial" w:cs="Arial"/>
          <w:sz w:val="20"/>
          <w:szCs w:val="20"/>
        </w:rPr>
      </w:pPr>
      <w:r w:rsidRPr="00B01F9E">
        <w:rPr>
          <w:rFonts w:ascii="Arial" w:hAnsi="Arial" w:cs="Arial"/>
          <w:sz w:val="20"/>
          <w:szCs w:val="20"/>
        </w:rPr>
        <w:t xml:space="preserve">The video includes the following topics: </w:t>
      </w:r>
    </w:p>
    <w:p w14:paraId="23D182F0" w14:textId="77777777" w:rsidR="00B17537" w:rsidRPr="00B01F9E" w:rsidRDefault="00B17537" w:rsidP="00B17537">
      <w:pPr>
        <w:pStyle w:val="ListParagraph"/>
        <w:numPr>
          <w:ilvl w:val="0"/>
          <w:numId w:val="32"/>
        </w:numPr>
        <w:spacing w:before="120" w:after="120"/>
        <w:ind w:left="720"/>
        <w:rPr>
          <w:rFonts w:ascii="Arial" w:hAnsi="Arial" w:cs="Arial"/>
          <w:sz w:val="20"/>
          <w:szCs w:val="20"/>
        </w:rPr>
      </w:pPr>
      <w:r w:rsidRPr="00B01F9E">
        <w:rPr>
          <w:rFonts w:ascii="Arial" w:hAnsi="Arial" w:cs="Arial"/>
          <w:sz w:val="20"/>
          <w:szCs w:val="20"/>
        </w:rPr>
        <w:t>Why clinical interoperability is important</w:t>
      </w:r>
    </w:p>
    <w:p w14:paraId="3798E7F6" w14:textId="702A6ED4" w:rsidR="00B17537" w:rsidRPr="00B01F9E" w:rsidRDefault="00B17537" w:rsidP="00B17537">
      <w:pPr>
        <w:pStyle w:val="ListParagraph"/>
        <w:numPr>
          <w:ilvl w:val="0"/>
          <w:numId w:val="32"/>
        </w:numPr>
        <w:ind w:left="720"/>
        <w:rPr>
          <w:rFonts w:ascii="Arial" w:hAnsi="Arial" w:cs="Arial"/>
          <w:sz w:val="20"/>
          <w:szCs w:val="20"/>
        </w:rPr>
      </w:pPr>
      <w:r w:rsidRPr="00B01F9E">
        <w:rPr>
          <w:rFonts w:ascii="Arial" w:hAnsi="Arial" w:cs="Arial"/>
          <w:sz w:val="20"/>
          <w:szCs w:val="20"/>
        </w:rPr>
        <w:t>SHIELD overview</w:t>
      </w:r>
    </w:p>
    <w:p w14:paraId="000799BE" w14:textId="6A17C791" w:rsidR="00B17537" w:rsidRPr="00B01F9E" w:rsidRDefault="00B17537" w:rsidP="00B17537">
      <w:pPr>
        <w:pStyle w:val="ListParagraph"/>
        <w:numPr>
          <w:ilvl w:val="0"/>
          <w:numId w:val="32"/>
        </w:numPr>
        <w:ind w:left="720"/>
        <w:rPr>
          <w:rFonts w:ascii="Arial" w:hAnsi="Arial" w:cs="Arial"/>
          <w:sz w:val="20"/>
          <w:szCs w:val="20"/>
        </w:rPr>
      </w:pPr>
      <w:r w:rsidRPr="00B01F9E">
        <w:rPr>
          <w:rFonts w:ascii="Arial" w:hAnsi="Arial" w:cs="Arial"/>
          <w:sz w:val="20"/>
          <w:szCs w:val="20"/>
        </w:rPr>
        <w:t xml:space="preserve">The QA </w:t>
      </w:r>
      <w:r w:rsidR="003B343C" w:rsidRPr="00B01F9E">
        <w:rPr>
          <w:rFonts w:ascii="Arial" w:hAnsi="Arial" w:cs="Arial"/>
          <w:sz w:val="20"/>
          <w:szCs w:val="20"/>
        </w:rPr>
        <w:t>P</w:t>
      </w:r>
      <w:r w:rsidRPr="00B01F9E">
        <w:rPr>
          <w:rFonts w:ascii="Arial" w:hAnsi="Arial" w:cs="Arial"/>
          <w:sz w:val="20"/>
          <w:szCs w:val="20"/>
        </w:rPr>
        <w:t>rogram for monitoring the encoding of the LIDR data elements</w:t>
      </w:r>
    </w:p>
    <w:p w14:paraId="3EA1CB8A" w14:textId="77777777" w:rsidR="00B17537" w:rsidRPr="00B01F9E" w:rsidRDefault="00B17537" w:rsidP="00B17537">
      <w:pPr>
        <w:pStyle w:val="ListParagraph"/>
        <w:numPr>
          <w:ilvl w:val="0"/>
          <w:numId w:val="32"/>
        </w:numPr>
        <w:ind w:left="720"/>
        <w:rPr>
          <w:rFonts w:ascii="Arial" w:hAnsi="Arial" w:cs="Arial"/>
          <w:sz w:val="20"/>
          <w:szCs w:val="20"/>
        </w:rPr>
      </w:pPr>
      <w:r w:rsidRPr="00B01F9E">
        <w:rPr>
          <w:rFonts w:ascii="Arial" w:hAnsi="Arial" w:cs="Arial"/>
          <w:sz w:val="20"/>
          <w:szCs w:val="20"/>
        </w:rPr>
        <w:t>Data elements and mapping</w:t>
      </w:r>
    </w:p>
    <w:p w14:paraId="600A4BD8" w14:textId="016B7A45" w:rsidR="00B17537" w:rsidRPr="00B01F9E" w:rsidRDefault="00B17537" w:rsidP="00B17537">
      <w:pPr>
        <w:pStyle w:val="ListParagraph"/>
        <w:numPr>
          <w:ilvl w:val="0"/>
          <w:numId w:val="32"/>
        </w:numPr>
        <w:ind w:left="720"/>
        <w:rPr>
          <w:rFonts w:ascii="Arial" w:hAnsi="Arial" w:cs="Arial"/>
          <w:sz w:val="20"/>
          <w:szCs w:val="20"/>
        </w:rPr>
      </w:pPr>
      <w:r w:rsidRPr="00B01F9E">
        <w:rPr>
          <w:rFonts w:ascii="Arial" w:hAnsi="Arial" w:cs="Arial"/>
          <w:sz w:val="20"/>
          <w:szCs w:val="20"/>
        </w:rPr>
        <w:t xml:space="preserve">Benefits of the QA </w:t>
      </w:r>
      <w:r w:rsidR="003B343C" w:rsidRPr="00B01F9E">
        <w:rPr>
          <w:rFonts w:ascii="Arial" w:hAnsi="Arial" w:cs="Arial"/>
          <w:sz w:val="20"/>
          <w:szCs w:val="20"/>
        </w:rPr>
        <w:t>P</w:t>
      </w:r>
      <w:r w:rsidRPr="00B01F9E">
        <w:rPr>
          <w:rFonts w:ascii="Arial" w:hAnsi="Arial" w:cs="Arial"/>
          <w:sz w:val="20"/>
          <w:szCs w:val="20"/>
        </w:rPr>
        <w:t xml:space="preserve">rogram </w:t>
      </w:r>
    </w:p>
    <w:p w14:paraId="33720BC9" w14:textId="1D70CF74" w:rsidR="00965147" w:rsidRPr="00B01F9E" w:rsidRDefault="00965147" w:rsidP="00A44DE3">
      <w:pPr>
        <w:spacing w:after="120"/>
        <w:rPr>
          <w:rFonts w:ascii="Arial" w:hAnsi="Arial" w:cs="Arial"/>
          <w:sz w:val="20"/>
          <w:szCs w:val="20"/>
        </w:rPr>
      </w:pPr>
      <w:r w:rsidRPr="00B01F9E">
        <w:rPr>
          <w:rFonts w:ascii="Arial" w:hAnsi="Arial" w:cs="Arial"/>
          <w:sz w:val="20"/>
          <w:szCs w:val="20"/>
        </w:rPr>
        <w:t xml:space="preserve">The technical guide serves as a reference document for LIS analysts. It addresses the QA Program design, interface configuration instructions, LIS encoding with LIDR elements, and preparation guidelines for QA Program submissions. Note that these guides occasionally refer to Epic-specific acronyms that are well known and understood by certified LIS analysts. </w:t>
      </w:r>
    </w:p>
    <w:p w14:paraId="393AE8F3" w14:textId="77777777" w:rsidR="00965147" w:rsidRPr="00B01F9E" w:rsidRDefault="00965147" w:rsidP="00A44DE3">
      <w:pPr>
        <w:spacing w:after="120"/>
        <w:rPr>
          <w:rFonts w:ascii="Arial" w:hAnsi="Arial" w:cs="Arial"/>
          <w:sz w:val="20"/>
          <w:szCs w:val="20"/>
        </w:rPr>
      </w:pPr>
      <w:r w:rsidRPr="00B01F9E">
        <w:rPr>
          <w:rFonts w:ascii="Arial" w:hAnsi="Arial" w:cs="Arial"/>
          <w:sz w:val="20"/>
          <w:szCs w:val="20"/>
        </w:rPr>
        <w:t>The technical guide addresses how to:</w:t>
      </w:r>
    </w:p>
    <w:p w14:paraId="24077E55" w14:textId="77777777" w:rsidR="00965147" w:rsidRPr="00B01F9E" w:rsidRDefault="00965147" w:rsidP="00965147">
      <w:pPr>
        <w:pStyle w:val="ListParagraph"/>
        <w:numPr>
          <w:ilvl w:val="0"/>
          <w:numId w:val="33"/>
        </w:numPr>
        <w:ind w:left="720"/>
        <w:rPr>
          <w:rFonts w:ascii="Arial" w:hAnsi="Arial" w:cs="Arial"/>
          <w:sz w:val="20"/>
          <w:szCs w:val="20"/>
        </w:rPr>
      </w:pPr>
      <w:r w:rsidRPr="00B01F9E">
        <w:rPr>
          <w:rFonts w:ascii="Arial" w:hAnsi="Arial" w:cs="Arial"/>
          <w:sz w:val="20"/>
          <w:szCs w:val="20"/>
        </w:rPr>
        <w:t>Configure the LIS to interact with the QA Program</w:t>
      </w:r>
    </w:p>
    <w:p w14:paraId="4E86445E" w14:textId="77777777" w:rsidR="00965147" w:rsidRPr="00B01F9E" w:rsidRDefault="00965147" w:rsidP="00965147">
      <w:pPr>
        <w:pStyle w:val="ListParagraph"/>
        <w:numPr>
          <w:ilvl w:val="0"/>
          <w:numId w:val="35"/>
        </w:numPr>
        <w:ind w:left="1440"/>
        <w:rPr>
          <w:rFonts w:ascii="Arial" w:hAnsi="Arial" w:cs="Arial"/>
          <w:sz w:val="20"/>
          <w:szCs w:val="20"/>
        </w:rPr>
      </w:pPr>
      <w:r w:rsidRPr="00B01F9E">
        <w:rPr>
          <w:rFonts w:ascii="Arial" w:hAnsi="Arial" w:cs="Arial"/>
          <w:sz w:val="20"/>
          <w:szCs w:val="20"/>
        </w:rPr>
        <w:t>Configure submitter records</w:t>
      </w:r>
    </w:p>
    <w:p w14:paraId="0FF99A8D" w14:textId="4B6BA59B" w:rsidR="00965147" w:rsidRPr="00B01F9E" w:rsidRDefault="00965147" w:rsidP="00965147">
      <w:pPr>
        <w:pStyle w:val="ListParagraph"/>
        <w:numPr>
          <w:ilvl w:val="0"/>
          <w:numId w:val="35"/>
        </w:numPr>
        <w:ind w:left="1440"/>
        <w:rPr>
          <w:rFonts w:ascii="Arial" w:hAnsi="Arial" w:cs="Arial"/>
          <w:sz w:val="20"/>
          <w:szCs w:val="20"/>
        </w:rPr>
      </w:pPr>
      <w:r w:rsidRPr="00B01F9E">
        <w:rPr>
          <w:rFonts w:ascii="Arial" w:hAnsi="Arial" w:cs="Arial"/>
          <w:sz w:val="20"/>
          <w:szCs w:val="20"/>
        </w:rPr>
        <w:t>Prepare the system to encode the instrument and kit UDIs</w:t>
      </w:r>
    </w:p>
    <w:p w14:paraId="75AAC2E0" w14:textId="1F387056" w:rsidR="00965147" w:rsidRPr="00B01F9E" w:rsidRDefault="00965147" w:rsidP="00965147">
      <w:pPr>
        <w:pStyle w:val="ListParagraph"/>
        <w:numPr>
          <w:ilvl w:val="0"/>
          <w:numId w:val="35"/>
        </w:numPr>
        <w:ind w:left="1440"/>
        <w:rPr>
          <w:rFonts w:ascii="Arial" w:hAnsi="Arial" w:cs="Arial"/>
          <w:sz w:val="20"/>
          <w:szCs w:val="20"/>
        </w:rPr>
      </w:pPr>
      <w:r w:rsidRPr="00B01F9E">
        <w:rPr>
          <w:rFonts w:ascii="Arial" w:hAnsi="Arial" w:cs="Arial"/>
          <w:sz w:val="20"/>
          <w:szCs w:val="20"/>
        </w:rPr>
        <w:t>Encode additional LIDR data elements into the laboratory LIS and/or EHR</w:t>
      </w:r>
    </w:p>
    <w:p w14:paraId="3302F94C" w14:textId="77777777" w:rsidR="00965147" w:rsidRPr="00B01F9E" w:rsidRDefault="00965147" w:rsidP="00965147">
      <w:pPr>
        <w:pStyle w:val="ListParagraph"/>
        <w:numPr>
          <w:ilvl w:val="0"/>
          <w:numId w:val="34"/>
        </w:numPr>
        <w:ind w:left="720"/>
        <w:rPr>
          <w:rFonts w:ascii="Arial" w:hAnsi="Arial" w:cs="Arial"/>
          <w:sz w:val="20"/>
          <w:szCs w:val="20"/>
        </w:rPr>
      </w:pPr>
      <w:r w:rsidRPr="00B01F9E">
        <w:rPr>
          <w:rFonts w:ascii="Arial" w:hAnsi="Arial" w:cs="Arial"/>
          <w:sz w:val="20"/>
          <w:szCs w:val="20"/>
        </w:rPr>
        <w:t xml:space="preserve">Create a non-patient proficiency test result interface </w:t>
      </w:r>
    </w:p>
    <w:p w14:paraId="14229E12" w14:textId="77777777" w:rsidR="00965147" w:rsidRPr="00B01F9E" w:rsidRDefault="00965147" w:rsidP="00965147">
      <w:pPr>
        <w:pStyle w:val="ListParagraph"/>
        <w:numPr>
          <w:ilvl w:val="0"/>
          <w:numId w:val="36"/>
        </w:numPr>
        <w:ind w:left="1440"/>
        <w:rPr>
          <w:rFonts w:ascii="Arial" w:hAnsi="Arial" w:cs="Arial"/>
          <w:sz w:val="20"/>
          <w:szCs w:val="20"/>
        </w:rPr>
      </w:pPr>
      <w:r w:rsidRPr="00B01F9E">
        <w:rPr>
          <w:rFonts w:ascii="Arial" w:hAnsi="Arial" w:cs="Arial"/>
          <w:sz w:val="20"/>
          <w:szCs w:val="20"/>
        </w:rPr>
        <w:t>Create a new interface</w:t>
      </w:r>
    </w:p>
    <w:p w14:paraId="0F16DAA1" w14:textId="77777777" w:rsidR="00965147" w:rsidRPr="00B01F9E" w:rsidRDefault="00965147" w:rsidP="00965147">
      <w:pPr>
        <w:pStyle w:val="ListParagraph"/>
        <w:numPr>
          <w:ilvl w:val="0"/>
          <w:numId w:val="36"/>
        </w:numPr>
        <w:ind w:left="1440"/>
        <w:rPr>
          <w:rFonts w:ascii="Arial" w:hAnsi="Arial" w:cs="Arial"/>
          <w:sz w:val="20"/>
          <w:szCs w:val="20"/>
        </w:rPr>
      </w:pPr>
      <w:r w:rsidRPr="00B01F9E">
        <w:rPr>
          <w:rFonts w:ascii="Arial" w:hAnsi="Arial" w:cs="Arial"/>
          <w:sz w:val="20"/>
          <w:szCs w:val="20"/>
        </w:rPr>
        <w:t>Edit settings to allow for transmission of LIDR elements</w:t>
      </w:r>
    </w:p>
    <w:p w14:paraId="7ACE0DE7" w14:textId="77777777" w:rsidR="00965147" w:rsidRPr="00B01F9E" w:rsidRDefault="00965147" w:rsidP="00965147">
      <w:pPr>
        <w:pStyle w:val="ListParagraph"/>
        <w:numPr>
          <w:ilvl w:val="0"/>
          <w:numId w:val="36"/>
        </w:numPr>
        <w:ind w:left="1440"/>
        <w:rPr>
          <w:rFonts w:ascii="Arial" w:hAnsi="Arial" w:cs="Arial"/>
          <w:sz w:val="20"/>
          <w:szCs w:val="20"/>
        </w:rPr>
      </w:pPr>
      <w:r w:rsidRPr="00B01F9E">
        <w:rPr>
          <w:rFonts w:ascii="Arial" w:hAnsi="Arial" w:cs="Arial"/>
          <w:sz w:val="20"/>
          <w:szCs w:val="20"/>
        </w:rPr>
        <w:t>Use settings on the interface engine to transform the message to accommodate the interface specifications</w:t>
      </w:r>
    </w:p>
    <w:p w14:paraId="4DF858B1" w14:textId="77777777" w:rsidR="00965147" w:rsidRPr="00B01F9E" w:rsidRDefault="00965147" w:rsidP="00965147">
      <w:pPr>
        <w:pStyle w:val="ListParagraph"/>
        <w:numPr>
          <w:ilvl w:val="2"/>
          <w:numId w:val="27"/>
        </w:numPr>
        <w:ind w:left="720"/>
        <w:rPr>
          <w:rFonts w:ascii="Arial" w:hAnsi="Arial" w:cs="Arial"/>
          <w:sz w:val="20"/>
          <w:szCs w:val="20"/>
        </w:rPr>
      </w:pPr>
      <w:r w:rsidRPr="00B01F9E">
        <w:rPr>
          <w:rFonts w:ascii="Arial" w:hAnsi="Arial" w:cs="Arial"/>
          <w:sz w:val="20"/>
          <w:szCs w:val="20"/>
        </w:rPr>
        <w:t>Configure the LIDR Test Compendium Report</w:t>
      </w:r>
    </w:p>
    <w:p w14:paraId="4B6F6F38" w14:textId="77777777" w:rsidR="00965147" w:rsidRPr="00B01F9E" w:rsidRDefault="00965147" w:rsidP="00A44DE3">
      <w:pPr>
        <w:pStyle w:val="ListParagraph"/>
        <w:numPr>
          <w:ilvl w:val="4"/>
          <w:numId w:val="27"/>
        </w:numPr>
        <w:spacing w:after="120"/>
        <w:ind w:left="1440"/>
        <w:rPr>
          <w:rFonts w:ascii="Arial" w:hAnsi="Arial" w:cs="Arial"/>
          <w:sz w:val="20"/>
          <w:szCs w:val="20"/>
        </w:rPr>
      </w:pPr>
      <w:r w:rsidRPr="00B01F9E">
        <w:rPr>
          <w:rFonts w:ascii="Arial" w:hAnsi="Arial" w:cs="Arial"/>
          <w:sz w:val="20"/>
          <w:szCs w:val="20"/>
        </w:rPr>
        <w:t>Work with report writer to develop the LIDR Test Compendium Report to ensure all laboratory reportable tests are included with their associated LIDR codes</w:t>
      </w:r>
    </w:p>
    <w:p w14:paraId="4525A754" w14:textId="77777777" w:rsidR="00B52E63" w:rsidRPr="00B01F9E" w:rsidRDefault="00B52E63" w:rsidP="00A44DE3">
      <w:pPr>
        <w:pStyle w:val="NormalWeb"/>
        <w:spacing w:before="0" w:beforeAutospacing="0" w:after="120" w:afterAutospacing="0"/>
        <w:rPr>
          <w:rFonts w:ascii="Arial" w:hAnsi="Arial" w:cs="Arial"/>
          <w:sz w:val="20"/>
          <w:szCs w:val="20"/>
        </w:rPr>
      </w:pPr>
      <w:r w:rsidRPr="00B01F9E">
        <w:rPr>
          <w:rFonts w:ascii="Arial" w:hAnsi="Arial" w:cs="Arial"/>
          <w:sz w:val="20"/>
          <w:szCs w:val="20"/>
        </w:rPr>
        <w:lastRenderedPageBreak/>
        <w:t xml:space="preserve">The user guide serves as a reference document for laboratory staff responsible for executing the QA Program processes. It contains instructions for carrying out the necessary internal and external quality assessments. </w:t>
      </w:r>
    </w:p>
    <w:p w14:paraId="509109BF" w14:textId="77777777" w:rsidR="00B52E63" w:rsidRPr="00B01F9E" w:rsidRDefault="00B52E63" w:rsidP="00A44DE3">
      <w:pPr>
        <w:pStyle w:val="NormalWeb"/>
        <w:spacing w:before="0" w:beforeAutospacing="0" w:after="120" w:afterAutospacing="0"/>
        <w:rPr>
          <w:rFonts w:ascii="Arial" w:hAnsi="Arial" w:cs="Arial"/>
          <w:sz w:val="20"/>
          <w:szCs w:val="20"/>
        </w:rPr>
      </w:pPr>
      <w:r w:rsidRPr="00B01F9E">
        <w:rPr>
          <w:rFonts w:ascii="Arial" w:hAnsi="Arial" w:cs="Arial"/>
          <w:sz w:val="20"/>
          <w:szCs w:val="20"/>
        </w:rPr>
        <w:t>This includes the following three processes:</w:t>
      </w:r>
    </w:p>
    <w:p w14:paraId="672FC21F" w14:textId="77777777" w:rsidR="00B52E63" w:rsidRPr="00B01F9E" w:rsidRDefault="00B52E63" w:rsidP="00A44DE3">
      <w:pPr>
        <w:pStyle w:val="ListParagraph"/>
        <w:numPr>
          <w:ilvl w:val="0"/>
          <w:numId w:val="74"/>
        </w:numPr>
        <w:spacing w:after="120" w:line="276" w:lineRule="auto"/>
        <w:rPr>
          <w:rFonts w:ascii="Arial" w:eastAsia="Times New Roman" w:hAnsi="Arial" w:cs="Arial"/>
          <w:sz w:val="20"/>
          <w:szCs w:val="20"/>
        </w:rPr>
      </w:pPr>
      <w:r w:rsidRPr="00B01F9E">
        <w:rPr>
          <w:rFonts w:ascii="Arial" w:eastAsia="Times New Roman" w:hAnsi="Arial" w:cs="Arial"/>
          <w:sz w:val="20"/>
          <w:szCs w:val="20"/>
        </w:rPr>
        <w:t>Perform the Self-Assessment</w:t>
      </w:r>
    </w:p>
    <w:p w14:paraId="2E370205" w14:textId="77777777" w:rsidR="00B52E63" w:rsidRPr="00B01F9E" w:rsidRDefault="00B52E63" w:rsidP="00B52E63">
      <w:pPr>
        <w:pStyle w:val="ListParagraph"/>
        <w:numPr>
          <w:ilvl w:val="1"/>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Print the LIDR Test Compendium Report and internally review for accuracy</w:t>
      </w:r>
    </w:p>
    <w:p w14:paraId="0F553CBB" w14:textId="77777777" w:rsidR="00B52E63" w:rsidRPr="00B01F9E" w:rsidRDefault="00B52E63" w:rsidP="00B52E63">
      <w:pPr>
        <w:pStyle w:val="ListParagraph"/>
        <w:numPr>
          <w:ilvl w:val="0"/>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Perform the External Assessment: LIDR Test Compendium Error Check</w:t>
      </w:r>
    </w:p>
    <w:p w14:paraId="54078D47" w14:textId="77777777" w:rsidR="00B52E63" w:rsidRPr="00B01F9E" w:rsidRDefault="00B52E63" w:rsidP="00B52E63">
      <w:pPr>
        <w:pStyle w:val="ListParagraph"/>
        <w:numPr>
          <w:ilvl w:val="1"/>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 xml:space="preserve">Submit a LIDR Test Compendium Report for external assessment by the quality organization for comparison to LIDR </w:t>
      </w:r>
    </w:p>
    <w:p w14:paraId="40C3B13D" w14:textId="3C53224C" w:rsidR="00B52E63" w:rsidRPr="00B01F9E" w:rsidRDefault="00B52E63" w:rsidP="00B52E63">
      <w:pPr>
        <w:pStyle w:val="ListParagraph"/>
        <w:numPr>
          <w:ilvl w:val="1"/>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 xml:space="preserve">Understand how to interpret the </w:t>
      </w:r>
      <w:r w:rsidR="0043197C" w:rsidRPr="00B01F9E">
        <w:rPr>
          <w:rFonts w:ascii="Arial" w:eastAsia="Times New Roman" w:hAnsi="Arial" w:cs="Arial"/>
          <w:sz w:val="20"/>
          <w:szCs w:val="20"/>
        </w:rPr>
        <w:t xml:space="preserve">LIDR </w:t>
      </w:r>
      <w:r w:rsidRPr="00B01F9E">
        <w:rPr>
          <w:rFonts w:ascii="Arial" w:eastAsia="Times New Roman" w:hAnsi="Arial" w:cs="Arial"/>
          <w:sz w:val="20"/>
          <w:szCs w:val="20"/>
        </w:rPr>
        <w:t>Test Compendium Error Check analysis reports</w:t>
      </w:r>
    </w:p>
    <w:p w14:paraId="2E733FD6" w14:textId="77777777" w:rsidR="00B52E63" w:rsidRPr="00B01F9E" w:rsidRDefault="00B52E63" w:rsidP="00B52E63">
      <w:pPr>
        <w:pStyle w:val="ListParagraph"/>
        <w:numPr>
          <w:ilvl w:val="1"/>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Resolve coding errors identified through the LIDR Test Compendium Error Check</w:t>
      </w:r>
    </w:p>
    <w:p w14:paraId="1664C3F2" w14:textId="77777777" w:rsidR="00B52E63" w:rsidRPr="00B01F9E" w:rsidRDefault="00B52E63" w:rsidP="00B52E63">
      <w:pPr>
        <w:pStyle w:val="ListParagraph"/>
        <w:numPr>
          <w:ilvl w:val="0"/>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Perform the External Assessment: Instance Error Check</w:t>
      </w:r>
    </w:p>
    <w:p w14:paraId="32BDCE2B" w14:textId="77777777" w:rsidR="00B52E63" w:rsidRPr="00B01F9E" w:rsidRDefault="00B52E63" w:rsidP="00B52E63">
      <w:pPr>
        <w:pStyle w:val="ListParagraph"/>
        <w:numPr>
          <w:ilvl w:val="1"/>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Generate test orders and results sent through the result interface to the quality organization for evaluation of accurate LIDR coding of the encoded test results</w:t>
      </w:r>
    </w:p>
    <w:p w14:paraId="369B0464" w14:textId="77777777" w:rsidR="00B52E63" w:rsidRPr="00B01F9E" w:rsidRDefault="00B52E63" w:rsidP="008E6321">
      <w:pPr>
        <w:pStyle w:val="ListParagraph"/>
        <w:numPr>
          <w:ilvl w:val="1"/>
          <w:numId w:val="74"/>
        </w:numPr>
        <w:spacing w:after="120" w:line="276" w:lineRule="auto"/>
        <w:rPr>
          <w:rFonts w:ascii="Arial" w:eastAsia="Times New Roman" w:hAnsi="Arial" w:cs="Arial"/>
          <w:sz w:val="20"/>
          <w:szCs w:val="20"/>
        </w:rPr>
      </w:pPr>
      <w:r w:rsidRPr="00B01F9E">
        <w:rPr>
          <w:rFonts w:ascii="Arial" w:eastAsia="Times New Roman" w:hAnsi="Arial" w:cs="Arial"/>
          <w:sz w:val="20"/>
          <w:szCs w:val="20"/>
        </w:rPr>
        <w:t>Understand how to interpret Instance Error Check error messages as well as analytic reports on overall performance</w:t>
      </w:r>
    </w:p>
    <w:p w14:paraId="74042FB7" w14:textId="77777777" w:rsidR="00B52E63" w:rsidRPr="00B01F9E" w:rsidRDefault="00B52E63" w:rsidP="00B52E63">
      <w:pPr>
        <w:pStyle w:val="ListParagraph"/>
        <w:numPr>
          <w:ilvl w:val="1"/>
          <w:numId w:val="74"/>
        </w:numPr>
        <w:spacing w:after="200" w:line="276" w:lineRule="auto"/>
        <w:rPr>
          <w:rFonts w:ascii="Arial" w:eastAsia="Times New Roman" w:hAnsi="Arial" w:cs="Arial"/>
          <w:sz w:val="20"/>
          <w:szCs w:val="20"/>
        </w:rPr>
      </w:pPr>
      <w:r w:rsidRPr="00B01F9E">
        <w:rPr>
          <w:rFonts w:ascii="Arial" w:eastAsia="Times New Roman" w:hAnsi="Arial" w:cs="Arial"/>
          <w:sz w:val="20"/>
          <w:szCs w:val="20"/>
        </w:rPr>
        <w:t>Resolve coding errors identified through the Instance Error Check process</w:t>
      </w:r>
    </w:p>
    <w:p w14:paraId="7850A725" w14:textId="77777777" w:rsidR="005B793A" w:rsidRPr="00B01F9E" w:rsidRDefault="005B793A" w:rsidP="00671150">
      <w:pPr>
        <w:spacing w:after="120"/>
        <w:rPr>
          <w:rFonts w:ascii="Arial" w:hAnsi="Arial" w:cs="Arial"/>
          <w:sz w:val="20"/>
          <w:szCs w:val="20"/>
        </w:rPr>
      </w:pPr>
      <w:r w:rsidRPr="00B01F9E">
        <w:rPr>
          <w:rFonts w:ascii="Arial" w:hAnsi="Arial" w:cs="Arial"/>
          <w:sz w:val="20"/>
          <w:szCs w:val="20"/>
        </w:rPr>
        <w:t xml:space="preserve">The e-learning supports laboratory staff who use the program and reinforces the topics in the user/technical guides, focusing on critical tasks for executing the QA Program. </w:t>
      </w:r>
    </w:p>
    <w:p w14:paraId="4929318C" w14:textId="77777777" w:rsidR="005B793A" w:rsidRPr="00B01F9E" w:rsidRDefault="005B793A" w:rsidP="00A44DE3">
      <w:pPr>
        <w:spacing w:after="120"/>
        <w:rPr>
          <w:rFonts w:ascii="Arial" w:hAnsi="Arial" w:cs="Arial"/>
          <w:sz w:val="20"/>
          <w:szCs w:val="20"/>
        </w:rPr>
      </w:pPr>
      <w:r w:rsidRPr="00B01F9E">
        <w:rPr>
          <w:rFonts w:ascii="Arial" w:hAnsi="Arial" w:cs="Arial"/>
          <w:sz w:val="20"/>
          <w:szCs w:val="20"/>
        </w:rPr>
        <w:t>These include how to:</w:t>
      </w:r>
    </w:p>
    <w:p w14:paraId="4C5EB27B" w14:textId="77777777" w:rsidR="005B793A" w:rsidRPr="00B01F9E" w:rsidRDefault="005B793A" w:rsidP="00A44DE3">
      <w:pPr>
        <w:pStyle w:val="ListParagraph"/>
        <w:numPr>
          <w:ilvl w:val="2"/>
          <w:numId w:val="27"/>
        </w:numPr>
        <w:spacing w:after="120"/>
        <w:ind w:left="720"/>
        <w:rPr>
          <w:rFonts w:ascii="Arial" w:hAnsi="Arial" w:cs="Arial"/>
          <w:sz w:val="20"/>
          <w:szCs w:val="20"/>
        </w:rPr>
      </w:pPr>
      <w:r w:rsidRPr="00B01F9E">
        <w:rPr>
          <w:rFonts w:ascii="Arial" w:hAnsi="Arial" w:cs="Arial"/>
          <w:sz w:val="20"/>
          <w:szCs w:val="20"/>
        </w:rPr>
        <w:t>Use a LIDR Test Compendium Report to assess quality</w:t>
      </w:r>
    </w:p>
    <w:p w14:paraId="67F204BA" w14:textId="77777777" w:rsidR="005B793A" w:rsidRPr="00B01F9E" w:rsidRDefault="005B793A" w:rsidP="005B793A">
      <w:pPr>
        <w:pStyle w:val="ListParagraph"/>
        <w:numPr>
          <w:ilvl w:val="0"/>
          <w:numId w:val="28"/>
        </w:numPr>
        <w:ind w:left="1440"/>
        <w:rPr>
          <w:rFonts w:ascii="Arial" w:hAnsi="Arial" w:cs="Arial"/>
          <w:sz w:val="20"/>
          <w:szCs w:val="20"/>
        </w:rPr>
      </w:pPr>
      <w:r w:rsidRPr="00B01F9E">
        <w:rPr>
          <w:rFonts w:ascii="Arial" w:hAnsi="Arial" w:cs="Arial"/>
          <w:sz w:val="20"/>
          <w:szCs w:val="20"/>
        </w:rPr>
        <w:t>Generate a LIDR Test Compendium Report</w:t>
      </w:r>
    </w:p>
    <w:p w14:paraId="4AAC50ED" w14:textId="77777777" w:rsidR="005B793A" w:rsidRPr="00B01F9E" w:rsidRDefault="005B793A" w:rsidP="005B793A">
      <w:pPr>
        <w:pStyle w:val="ListParagraph"/>
        <w:numPr>
          <w:ilvl w:val="0"/>
          <w:numId w:val="28"/>
        </w:numPr>
        <w:ind w:left="1440"/>
        <w:rPr>
          <w:rFonts w:ascii="Arial" w:hAnsi="Arial" w:cs="Arial"/>
          <w:sz w:val="20"/>
          <w:szCs w:val="20"/>
        </w:rPr>
      </w:pPr>
      <w:r w:rsidRPr="00B01F9E">
        <w:rPr>
          <w:rFonts w:ascii="Arial" w:hAnsi="Arial" w:cs="Arial"/>
          <w:sz w:val="20"/>
          <w:szCs w:val="20"/>
        </w:rPr>
        <w:t>Perform a self-assessment</w:t>
      </w:r>
    </w:p>
    <w:p w14:paraId="4FA96984" w14:textId="77777777" w:rsidR="005B793A" w:rsidRPr="00B01F9E" w:rsidRDefault="005B793A" w:rsidP="005B793A">
      <w:pPr>
        <w:pStyle w:val="ListParagraph"/>
        <w:numPr>
          <w:ilvl w:val="0"/>
          <w:numId w:val="28"/>
        </w:numPr>
        <w:ind w:left="1440"/>
        <w:rPr>
          <w:rFonts w:ascii="Arial" w:hAnsi="Arial" w:cs="Arial"/>
          <w:sz w:val="20"/>
          <w:szCs w:val="20"/>
        </w:rPr>
      </w:pPr>
      <w:r w:rsidRPr="00B01F9E">
        <w:rPr>
          <w:rFonts w:ascii="Arial" w:hAnsi="Arial" w:cs="Arial"/>
          <w:sz w:val="20"/>
          <w:szCs w:val="20"/>
        </w:rPr>
        <w:t>Perform an external assessment</w:t>
      </w:r>
    </w:p>
    <w:p w14:paraId="3141C97E" w14:textId="77777777" w:rsidR="005B793A" w:rsidRPr="00B01F9E" w:rsidRDefault="005B793A" w:rsidP="005B793A">
      <w:pPr>
        <w:pStyle w:val="ListParagraph"/>
        <w:numPr>
          <w:ilvl w:val="2"/>
          <w:numId w:val="27"/>
        </w:numPr>
        <w:ind w:left="720"/>
        <w:rPr>
          <w:rFonts w:ascii="Arial" w:hAnsi="Arial" w:cs="Arial"/>
          <w:sz w:val="20"/>
          <w:szCs w:val="20"/>
        </w:rPr>
      </w:pPr>
      <w:r w:rsidRPr="00B01F9E">
        <w:rPr>
          <w:rFonts w:ascii="Arial" w:hAnsi="Arial" w:cs="Arial"/>
          <w:sz w:val="20"/>
          <w:szCs w:val="20"/>
        </w:rPr>
        <w:t>Use the Instance Error Check process to test the laboratory’s test result coding against the expected LIDR codes</w:t>
      </w:r>
    </w:p>
    <w:p w14:paraId="43DBA6C3" w14:textId="77777777" w:rsidR="005B793A" w:rsidRPr="00B01F9E" w:rsidRDefault="005B793A" w:rsidP="005B793A">
      <w:pPr>
        <w:pStyle w:val="ListParagraph"/>
        <w:numPr>
          <w:ilvl w:val="0"/>
          <w:numId w:val="28"/>
        </w:numPr>
        <w:ind w:left="1440"/>
        <w:rPr>
          <w:rFonts w:ascii="Arial" w:hAnsi="Arial" w:cs="Arial"/>
          <w:sz w:val="20"/>
          <w:szCs w:val="20"/>
        </w:rPr>
      </w:pPr>
      <w:r w:rsidRPr="00B01F9E">
        <w:rPr>
          <w:rFonts w:ascii="Arial" w:hAnsi="Arial" w:cs="Arial"/>
          <w:sz w:val="20"/>
          <w:szCs w:val="20"/>
        </w:rPr>
        <w:t>Register and order test cases in the LIS</w:t>
      </w:r>
    </w:p>
    <w:p w14:paraId="5C996553" w14:textId="77777777" w:rsidR="005B793A" w:rsidRPr="00B01F9E" w:rsidRDefault="005B793A" w:rsidP="005B793A">
      <w:pPr>
        <w:pStyle w:val="ListParagraph"/>
        <w:numPr>
          <w:ilvl w:val="0"/>
          <w:numId w:val="28"/>
        </w:numPr>
        <w:ind w:left="1440"/>
        <w:rPr>
          <w:rFonts w:ascii="Arial" w:hAnsi="Arial" w:cs="Arial"/>
          <w:sz w:val="20"/>
          <w:szCs w:val="20"/>
        </w:rPr>
      </w:pPr>
      <w:r w:rsidRPr="00B01F9E">
        <w:rPr>
          <w:rFonts w:ascii="Arial" w:hAnsi="Arial" w:cs="Arial"/>
          <w:sz w:val="20"/>
          <w:szCs w:val="20"/>
        </w:rPr>
        <w:t>Enter the results of the tests into the LIS</w:t>
      </w:r>
    </w:p>
    <w:p w14:paraId="03D0FCDE" w14:textId="77777777" w:rsidR="005B793A" w:rsidRPr="00B01F9E" w:rsidRDefault="005B793A" w:rsidP="005B793A">
      <w:pPr>
        <w:pStyle w:val="ListParagraph"/>
        <w:numPr>
          <w:ilvl w:val="0"/>
          <w:numId w:val="28"/>
        </w:numPr>
        <w:ind w:left="1440"/>
        <w:rPr>
          <w:rFonts w:ascii="Arial" w:hAnsi="Arial" w:cs="Arial"/>
          <w:sz w:val="20"/>
          <w:szCs w:val="20"/>
        </w:rPr>
      </w:pPr>
      <w:r w:rsidRPr="00B01F9E">
        <w:rPr>
          <w:rFonts w:ascii="Arial" w:hAnsi="Arial" w:cs="Arial"/>
          <w:sz w:val="20"/>
          <w:szCs w:val="20"/>
        </w:rPr>
        <w:t>Resolve error messages for the Instance Error Check</w:t>
      </w:r>
    </w:p>
    <w:p w14:paraId="038190B7" w14:textId="77777777" w:rsidR="005B793A" w:rsidRPr="00B01F9E" w:rsidRDefault="005B793A" w:rsidP="005B793A">
      <w:pPr>
        <w:pStyle w:val="ListParagraph"/>
        <w:numPr>
          <w:ilvl w:val="0"/>
          <w:numId w:val="28"/>
        </w:numPr>
        <w:ind w:left="1440"/>
        <w:rPr>
          <w:rFonts w:ascii="Arial" w:hAnsi="Arial" w:cs="Arial"/>
          <w:sz w:val="20"/>
          <w:szCs w:val="20"/>
        </w:rPr>
      </w:pPr>
      <w:r w:rsidRPr="00B01F9E">
        <w:rPr>
          <w:rFonts w:ascii="Arial" w:hAnsi="Arial" w:cs="Arial"/>
          <w:sz w:val="20"/>
          <w:szCs w:val="20"/>
        </w:rPr>
        <w:t>Notify LIS for any updates that may need to be made to encoded tests following the organization’s communication process</w:t>
      </w:r>
    </w:p>
    <w:p w14:paraId="6B46CC1B" w14:textId="77777777" w:rsidR="00E65CF4" w:rsidRPr="00B01F9E" w:rsidRDefault="00E65CF4" w:rsidP="00A44DE3">
      <w:pPr>
        <w:spacing w:after="120"/>
        <w:rPr>
          <w:rFonts w:ascii="Arial" w:hAnsi="Arial" w:cs="Arial"/>
          <w:sz w:val="20"/>
          <w:szCs w:val="20"/>
        </w:rPr>
      </w:pPr>
      <w:r w:rsidRPr="00B01F9E">
        <w:rPr>
          <w:rFonts w:ascii="Arial" w:hAnsi="Arial" w:cs="Arial"/>
          <w:sz w:val="20"/>
          <w:szCs w:val="20"/>
        </w:rPr>
        <w:t>The final video, technical guide, user guide, and e-learning materials are housed within the CAP AWS S3 cloud storage platform. This cloud-based storage solution offers broad accessibility, allowing any individual with the appropriate URL to access the content.</w:t>
      </w:r>
    </w:p>
    <w:p w14:paraId="161117C1" w14:textId="77777777" w:rsidR="00E65CF4" w:rsidRPr="00B01F9E" w:rsidRDefault="00E65CF4" w:rsidP="00E65CF4">
      <w:pPr>
        <w:spacing w:after="120"/>
        <w:rPr>
          <w:rFonts w:ascii="Arial" w:hAnsi="Arial" w:cs="Arial"/>
          <w:b/>
          <w:sz w:val="20"/>
          <w:szCs w:val="20"/>
        </w:rPr>
      </w:pPr>
      <w:r w:rsidRPr="00B01F9E">
        <w:rPr>
          <w:rFonts w:ascii="Arial" w:hAnsi="Arial" w:cs="Arial"/>
          <w:b/>
          <w:sz w:val="20"/>
          <w:szCs w:val="20"/>
        </w:rPr>
        <w:t>Storage Details</w:t>
      </w:r>
    </w:p>
    <w:p w14:paraId="28C908FA" w14:textId="77777777" w:rsidR="00E65CF4" w:rsidRPr="00B01F9E" w:rsidRDefault="00E65CF4" w:rsidP="00A44DE3">
      <w:pPr>
        <w:numPr>
          <w:ilvl w:val="0"/>
          <w:numId w:val="49"/>
        </w:numPr>
        <w:spacing w:after="0" w:line="240" w:lineRule="auto"/>
        <w:rPr>
          <w:rFonts w:ascii="Arial" w:hAnsi="Arial" w:cs="Arial"/>
          <w:sz w:val="20"/>
          <w:szCs w:val="20"/>
        </w:rPr>
      </w:pPr>
      <w:r w:rsidRPr="00B01F9E">
        <w:rPr>
          <w:rStyle w:val="Strong"/>
          <w:rFonts w:ascii="Arial" w:hAnsi="Arial" w:cs="Arial"/>
          <w:sz w:val="20"/>
          <w:szCs w:val="20"/>
        </w:rPr>
        <w:t>Platform:</w:t>
      </w:r>
      <w:r w:rsidRPr="00B01F9E">
        <w:rPr>
          <w:rFonts w:ascii="Arial" w:hAnsi="Arial" w:cs="Arial"/>
          <w:sz w:val="20"/>
          <w:szCs w:val="20"/>
        </w:rPr>
        <w:t xml:space="preserve"> Amazon Web Services (AWS) Simple Storage Service (S3)</w:t>
      </w:r>
    </w:p>
    <w:p w14:paraId="436A2BB2" w14:textId="77777777" w:rsidR="00E65CF4" w:rsidRPr="00B01F9E" w:rsidRDefault="00E65CF4" w:rsidP="00E65CF4">
      <w:pPr>
        <w:numPr>
          <w:ilvl w:val="0"/>
          <w:numId w:val="49"/>
        </w:numPr>
        <w:spacing w:before="100" w:beforeAutospacing="1" w:after="100" w:afterAutospacing="1" w:line="240" w:lineRule="auto"/>
        <w:rPr>
          <w:rFonts w:ascii="Arial" w:hAnsi="Arial" w:cs="Arial"/>
          <w:sz w:val="20"/>
          <w:szCs w:val="20"/>
        </w:rPr>
      </w:pPr>
      <w:r w:rsidRPr="00B01F9E">
        <w:rPr>
          <w:rStyle w:val="Strong"/>
          <w:rFonts w:ascii="Arial" w:hAnsi="Arial" w:cs="Arial"/>
          <w:sz w:val="20"/>
          <w:szCs w:val="20"/>
        </w:rPr>
        <w:t>Location:</w:t>
      </w:r>
      <w:r w:rsidRPr="00B01F9E">
        <w:rPr>
          <w:rFonts w:ascii="Arial" w:hAnsi="Arial" w:cs="Arial"/>
          <w:sz w:val="20"/>
          <w:szCs w:val="20"/>
        </w:rPr>
        <w:t xml:space="preserve"> CAP-specific AWS S3 folders</w:t>
      </w:r>
    </w:p>
    <w:p w14:paraId="5B1B3370" w14:textId="77777777" w:rsidR="00E65CF4" w:rsidRPr="00B01F9E" w:rsidRDefault="00E65CF4" w:rsidP="00E65CF4">
      <w:pPr>
        <w:numPr>
          <w:ilvl w:val="0"/>
          <w:numId w:val="49"/>
        </w:numPr>
        <w:spacing w:before="100" w:beforeAutospacing="1" w:after="100" w:afterAutospacing="1" w:line="240" w:lineRule="auto"/>
        <w:rPr>
          <w:rFonts w:ascii="Arial" w:hAnsi="Arial" w:cs="Arial"/>
          <w:sz w:val="20"/>
          <w:szCs w:val="20"/>
        </w:rPr>
      </w:pPr>
      <w:r w:rsidRPr="00B01F9E">
        <w:rPr>
          <w:rStyle w:val="Strong"/>
          <w:rFonts w:ascii="Arial" w:hAnsi="Arial" w:cs="Arial"/>
          <w:sz w:val="20"/>
          <w:szCs w:val="20"/>
        </w:rPr>
        <w:t>Access:</w:t>
      </w:r>
      <w:r w:rsidRPr="00B01F9E">
        <w:rPr>
          <w:rFonts w:ascii="Arial" w:hAnsi="Arial" w:cs="Arial"/>
          <w:sz w:val="20"/>
          <w:szCs w:val="20"/>
        </w:rPr>
        <w:t xml:space="preserve"> Publicly accessible via URL</w:t>
      </w:r>
    </w:p>
    <w:p w14:paraId="3D913F7B" w14:textId="30C4C021" w:rsidR="00E65CF4" w:rsidRPr="00B01F9E" w:rsidRDefault="00E65CF4" w:rsidP="00A44DE3">
      <w:pPr>
        <w:numPr>
          <w:ilvl w:val="0"/>
          <w:numId w:val="49"/>
        </w:numPr>
        <w:spacing w:after="120" w:line="240" w:lineRule="auto"/>
        <w:rPr>
          <w:rFonts w:ascii="Arial" w:hAnsi="Arial" w:cs="Arial"/>
          <w:color w:val="009ABF" w:themeColor="text1"/>
          <w:sz w:val="20"/>
          <w:szCs w:val="20"/>
        </w:rPr>
      </w:pPr>
      <w:r w:rsidRPr="00B01F9E">
        <w:rPr>
          <w:rStyle w:val="Strong"/>
          <w:rFonts w:ascii="Arial" w:hAnsi="Arial" w:cs="Arial"/>
          <w:sz w:val="20"/>
          <w:szCs w:val="20"/>
        </w:rPr>
        <w:t>Link:</w:t>
      </w:r>
      <w:r w:rsidRPr="00B01F9E">
        <w:rPr>
          <w:rFonts w:ascii="Arial" w:hAnsi="Arial" w:cs="Arial"/>
          <w:sz w:val="20"/>
          <w:szCs w:val="20"/>
        </w:rPr>
        <w:t xml:space="preserve"> </w:t>
      </w:r>
      <w:hyperlink r:id="rId73" w:history="1">
        <w:r w:rsidR="007D6C12" w:rsidRPr="00B01F9E">
          <w:rPr>
            <w:rStyle w:val="Hyperlink"/>
            <w:rFonts w:ascii="Arial" w:hAnsi="Arial" w:cs="Arial"/>
            <w:sz w:val="20"/>
            <w:szCs w:val="20"/>
          </w:rPr>
          <w:t>CAP Training and Education Materials</w:t>
        </w:r>
      </w:hyperlink>
    </w:p>
    <w:p w14:paraId="26E02B38" w14:textId="6BDACEFB" w:rsidR="00725437" w:rsidRPr="00B01F9E" w:rsidRDefault="00725437" w:rsidP="00A44DE3">
      <w:pPr>
        <w:spacing w:after="120" w:line="240" w:lineRule="auto"/>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lastRenderedPageBreak/>
        <w:t xml:space="preserve">Additionally, the CAP collaborated with Epic to host a version of the technical guide </w:t>
      </w:r>
      <w:r w:rsidR="00B17F82" w:rsidRPr="00B01F9E">
        <w:rPr>
          <w:rFonts w:ascii="Arial" w:eastAsia="Calibri" w:hAnsi="Arial" w:cs="Arial"/>
          <w:color w:val="000000"/>
          <w:kern w:val="2"/>
          <w:sz w:val="20"/>
          <w:szCs w:val="20"/>
          <w14:ligatures w14:val="standardContextual"/>
        </w:rPr>
        <w:t xml:space="preserve">prototype </w:t>
      </w:r>
      <w:r w:rsidRPr="00B01F9E">
        <w:rPr>
          <w:rFonts w:ascii="Arial" w:eastAsia="Calibri" w:hAnsi="Arial" w:cs="Arial"/>
          <w:color w:val="000000"/>
          <w:kern w:val="2"/>
          <w:sz w:val="20"/>
          <w:szCs w:val="20"/>
          <w14:ligatures w14:val="standardContextual"/>
        </w:rPr>
        <w:t xml:space="preserve">on the Epic user web. This guide includes detailed technical instructions for integrating the elements into test definitions and is available exclusively to laboratories that are Epic customers. </w:t>
      </w:r>
    </w:p>
    <w:p w14:paraId="6B737710" w14:textId="3225C87E" w:rsidR="00B17F82" w:rsidRPr="00B01F9E" w:rsidRDefault="00B17F82" w:rsidP="00A44DE3">
      <w:pPr>
        <w:spacing w:after="120"/>
        <w:rPr>
          <w:rFonts w:ascii="Arial" w:hAnsi="Arial" w:cs="Arial"/>
          <w:sz w:val="20"/>
          <w:szCs w:val="20"/>
        </w:rPr>
      </w:pPr>
      <w:r w:rsidRPr="00B01F9E">
        <w:rPr>
          <w:rFonts w:ascii="Arial" w:eastAsia="Calibri" w:hAnsi="Arial" w:cs="Arial"/>
          <w:color w:val="000000"/>
          <w:sz w:val="20"/>
          <w:szCs w:val="20"/>
        </w:rPr>
        <w:t xml:space="preserve">Please note that access to this prototype document is restricted to Epic users, accessible here: </w:t>
      </w:r>
      <w:hyperlink r:id="rId74" w:anchor="id=1904" w:history="1">
        <w:r w:rsidR="00983CED" w:rsidRPr="00B01F9E">
          <w:rPr>
            <w:rStyle w:val="Hyperlink"/>
            <w:rFonts w:ascii="Arial" w:eastAsia="Calibri" w:hAnsi="Arial" w:cs="Arial"/>
            <w:sz w:val="20"/>
            <w:szCs w:val="20"/>
          </w:rPr>
          <w:t>Technical Guide (Epic Version)</w:t>
        </w:r>
      </w:hyperlink>
      <w:r w:rsidRPr="00B01F9E">
        <w:rPr>
          <w:rFonts w:ascii="Arial" w:eastAsia="Calibri" w:hAnsi="Arial" w:cs="Arial"/>
          <w:color w:val="000000"/>
          <w:sz w:val="20"/>
          <w:szCs w:val="20"/>
        </w:rPr>
        <w:t xml:space="preserve">. The intent would be for Epic users implementing the QA program to work with their technical specialist and access the document via the Epic user web. </w:t>
      </w:r>
    </w:p>
    <w:p w14:paraId="7333946A" w14:textId="70432F59" w:rsidR="00E202A8" w:rsidRPr="00B01F9E" w:rsidRDefault="009F1F82" w:rsidP="00A44DE3">
      <w:pPr>
        <w:pStyle w:val="Heading2"/>
        <w:spacing w:before="0" w:after="120"/>
        <w:rPr>
          <w:rFonts w:ascii="Arial" w:hAnsi="Arial" w:cs="Arial"/>
          <w:b/>
          <w:bCs/>
          <w:color w:val="009BBF"/>
          <w:sz w:val="20"/>
          <w:szCs w:val="20"/>
        </w:rPr>
      </w:pPr>
      <w:bookmarkStart w:id="365" w:name="_Toc177137010"/>
      <w:r w:rsidRPr="00B01F9E">
        <w:rPr>
          <w:rFonts w:ascii="Arial" w:hAnsi="Arial" w:cs="Arial"/>
          <w:b/>
          <w:color w:val="009BBF"/>
          <w:sz w:val="20"/>
          <w:szCs w:val="20"/>
        </w:rPr>
        <w:t>4</w:t>
      </w:r>
      <w:r w:rsidR="00C0123E" w:rsidRPr="00B01F9E">
        <w:rPr>
          <w:rFonts w:ascii="Arial" w:hAnsi="Arial" w:cs="Arial"/>
          <w:b/>
          <w:color w:val="009BBF"/>
          <w:sz w:val="20"/>
          <w:szCs w:val="20"/>
        </w:rPr>
        <w:t xml:space="preserve">.3 </w:t>
      </w:r>
      <w:r w:rsidR="00E177F2" w:rsidRPr="00B01F9E">
        <w:rPr>
          <w:rFonts w:ascii="Arial" w:hAnsi="Arial" w:cs="Arial"/>
          <w:b/>
          <w:bCs/>
          <w:color w:val="009BBF"/>
          <w:sz w:val="20"/>
          <w:szCs w:val="20"/>
        </w:rPr>
        <w:t>Training and Education</w:t>
      </w:r>
      <w:r w:rsidR="001F7B79" w:rsidRPr="00B01F9E">
        <w:rPr>
          <w:rFonts w:ascii="Arial" w:hAnsi="Arial" w:cs="Arial"/>
          <w:b/>
          <w:bCs/>
          <w:color w:val="009BBF"/>
          <w:sz w:val="20"/>
          <w:szCs w:val="20"/>
        </w:rPr>
        <w:t xml:space="preserve"> </w:t>
      </w:r>
      <w:r w:rsidR="00F433D0" w:rsidRPr="00B01F9E">
        <w:rPr>
          <w:rFonts w:ascii="Arial" w:hAnsi="Arial" w:cs="Arial"/>
          <w:b/>
          <w:color w:val="009BBF"/>
          <w:sz w:val="20"/>
          <w:szCs w:val="20"/>
        </w:rPr>
        <w:t>Recommended Next Steps</w:t>
      </w:r>
      <w:bookmarkEnd w:id="365"/>
      <w:r w:rsidR="00F433D0" w:rsidRPr="00B01F9E">
        <w:rPr>
          <w:rFonts w:ascii="Arial" w:hAnsi="Arial" w:cs="Arial"/>
          <w:b/>
          <w:bCs/>
          <w:color w:val="009BBF"/>
          <w:sz w:val="20"/>
          <w:szCs w:val="20"/>
        </w:rPr>
        <w:t xml:space="preserve"> </w:t>
      </w:r>
    </w:p>
    <w:p w14:paraId="39F5FA9C" w14:textId="77777777" w:rsidR="00294500" w:rsidRPr="00B01F9E" w:rsidRDefault="00294500" w:rsidP="00A87E1E">
      <w:pPr>
        <w:spacing w:after="120"/>
        <w:rPr>
          <w:rFonts w:ascii="Arial" w:hAnsi="Arial" w:cs="Arial"/>
          <w:sz w:val="20"/>
          <w:szCs w:val="20"/>
        </w:rPr>
      </w:pPr>
      <w:r w:rsidRPr="00B01F9E">
        <w:rPr>
          <w:rFonts w:ascii="Arial" w:hAnsi="Arial" w:cs="Arial"/>
          <w:sz w:val="20"/>
          <w:szCs w:val="20"/>
        </w:rPr>
        <w:t xml:space="preserve">In the future, the CAP intends to leverage training and educational materials </w:t>
      </w:r>
      <w:proofErr w:type="gramStart"/>
      <w:r w:rsidRPr="00B01F9E">
        <w:rPr>
          <w:rFonts w:ascii="Arial" w:hAnsi="Arial" w:cs="Arial"/>
          <w:sz w:val="20"/>
          <w:szCs w:val="20"/>
        </w:rPr>
        <w:t>similar to</w:t>
      </w:r>
      <w:proofErr w:type="gramEnd"/>
      <w:r w:rsidRPr="00B01F9E">
        <w:rPr>
          <w:rFonts w:ascii="Arial" w:hAnsi="Arial" w:cs="Arial"/>
          <w:sz w:val="20"/>
          <w:szCs w:val="20"/>
        </w:rPr>
        <w:t xml:space="preserve"> these prototypes to provide appropriate education and support to IT staff and laboratory personnel.</w:t>
      </w:r>
    </w:p>
    <w:p w14:paraId="4C3B634B" w14:textId="7AA931A5" w:rsidR="005E3C4E" w:rsidRPr="00B01F9E" w:rsidRDefault="00294500" w:rsidP="00294500">
      <w:pPr>
        <w:spacing w:before="120" w:after="120"/>
        <w:rPr>
          <w:rFonts w:ascii="Arial" w:hAnsi="Arial" w:cs="Arial"/>
          <w:bCs/>
          <w:sz w:val="20"/>
          <w:szCs w:val="20"/>
        </w:rPr>
      </w:pPr>
      <w:r w:rsidRPr="00B01F9E">
        <w:rPr>
          <w:rFonts w:ascii="Arial" w:hAnsi="Arial" w:cs="Arial"/>
          <w:sz w:val="20"/>
          <w:szCs w:val="20"/>
        </w:rPr>
        <w:t xml:space="preserve">The current training and education material prototypes were developed specifically for the POC for use with Epic Systems. Future training and educational materials would need to be customized based on the LIS or EHR system used in each laboratory. </w:t>
      </w:r>
      <w:r w:rsidRPr="00B01F9E">
        <w:rPr>
          <w:rFonts w:ascii="Arial" w:hAnsi="Arial" w:cs="Arial"/>
          <w:bCs/>
          <w:sz w:val="20"/>
          <w:szCs w:val="20"/>
        </w:rPr>
        <w:t xml:space="preserve">Additional adjustments to the prototypes could further enhance the user experience. </w:t>
      </w:r>
    </w:p>
    <w:p w14:paraId="3903ECA6" w14:textId="77777777" w:rsidR="006F39AD" w:rsidRPr="00B01F9E" w:rsidRDefault="006F39AD">
      <w:pPr>
        <w:rPr>
          <w:rFonts w:ascii="Arial" w:hAnsi="Arial" w:cs="Arial"/>
          <w:b/>
          <w:color w:val="009BBF"/>
          <w:sz w:val="20"/>
          <w:szCs w:val="20"/>
        </w:rPr>
      </w:pPr>
      <w:r w:rsidRPr="00B01F9E">
        <w:rPr>
          <w:rFonts w:ascii="Arial" w:hAnsi="Arial" w:cs="Arial"/>
          <w:color w:val="009BBF"/>
          <w:sz w:val="20"/>
          <w:szCs w:val="20"/>
        </w:rPr>
        <w:br w:type="page"/>
      </w:r>
    </w:p>
    <w:p w14:paraId="1F3DCD21" w14:textId="571E1B23" w:rsidR="00E202A8" w:rsidRPr="00B01F9E" w:rsidRDefault="009F1F82" w:rsidP="00A44DE3">
      <w:pPr>
        <w:pStyle w:val="Heading1"/>
        <w:spacing w:after="120"/>
        <w:rPr>
          <w:color w:val="009BBF"/>
          <w:sz w:val="20"/>
          <w:szCs w:val="20"/>
        </w:rPr>
      </w:pPr>
      <w:bookmarkStart w:id="366" w:name="_5._ANALYSIS_NORMAL"/>
      <w:bookmarkStart w:id="367" w:name="_Toc177137011"/>
      <w:bookmarkEnd w:id="366"/>
      <w:r w:rsidRPr="00B01F9E">
        <w:rPr>
          <w:color w:val="009BBF"/>
          <w:sz w:val="20"/>
          <w:szCs w:val="20"/>
        </w:rPr>
        <w:lastRenderedPageBreak/>
        <w:t>5</w:t>
      </w:r>
      <w:r w:rsidR="00C0123E" w:rsidRPr="00B01F9E">
        <w:rPr>
          <w:color w:val="009BBF"/>
          <w:sz w:val="20"/>
          <w:szCs w:val="20"/>
        </w:rPr>
        <w:t>. ANALYSIS NORMAL FORM (ANF)</w:t>
      </w:r>
      <w:bookmarkEnd w:id="367"/>
      <w:r w:rsidR="00C0123E" w:rsidRPr="00B01F9E">
        <w:rPr>
          <w:color w:val="009BBF"/>
          <w:sz w:val="20"/>
          <w:szCs w:val="20"/>
        </w:rPr>
        <w:t xml:space="preserve"> </w:t>
      </w:r>
    </w:p>
    <w:p w14:paraId="71F1FE1A" w14:textId="625F9C75" w:rsidR="00E202A8" w:rsidRPr="00B01F9E" w:rsidRDefault="009F1F82" w:rsidP="00A44DE3">
      <w:pPr>
        <w:pStyle w:val="Heading2"/>
        <w:spacing w:before="0" w:after="120"/>
        <w:rPr>
          <w:rFonts w:ascii="Arial" w:hAnsi="Arial" w:cs="Arial"/>
          <w:b/>
          <w:bCs/>
          <w:color w:val="009BBF"/>
          <w:sz w:val="20"/>
          <w:szCs w:val="20"/>
        </w:rPr>
      </w:pPr>
      <w:bookmarkStart w:id="368" w:name="_Toc177137012"/>
      <w:r w:rsidRPr="00B01F9E">
        <w:rPr>
          <w:rFonts w:ascii="Arial" w:hAnsi="Arial" w:cs="Arial"/>
          <w:b/>
          <w:bCs/>
          <w:color w:val="009BBF"/>
          <w:sz w:val="20"/>
          <w:szCs w:val="20"/>
        </w:rPr>
        <w:t>5</w:t>
      </w:r>
      <w:r w:rsidR="00E202A8" w:rsidRPr="00B01F9E">
        <w:rPr>
          <w:rFonts w:ascii="Arial" w:hAnsi="Arial" w:cs="Arial"/>
          <w:b/>
          <w:bCs/>
          <w:color w:val="009BBF"/>
          <w:sz w:val="20"/>
          <w:szCs w:val="20"/>
        </w:rPr>
        <w:t>.1 ANF Background and Overview</w:t>
      </w:r>
      <w:bookmarkEnd w:id="368"/>
      <w:r w:rsidR="00E202A8" w:rsidRPr="00B01F9E">
        <w:rPr>
          <w:rFonts w:ascii="Arial" w:hAnsi="Arial" w:cs="Arial"/>
          <w:b/>
          <w:bCs/>
          <w:color w:val="009BBF"/>
          <w:sz w:val="20"/>
          <w:szCs w:val="20"/>
        </w:rPr>
        <w:t xml:space="preserve"> </w:t>
      </w:r>
    </w:p>
    <w:p w14:paraId="768ECC1D" w14:textId="01C0D9B6" w:rsidR="00005651" w:rsidRPr="00B01F9E" w:rsidRDefault="00005651" w:rsidP="00F51F6A">
      <w:pPr>
        <w:spacing w:after="120"/>
        <w:rPr>
          <w:rFonts w:ascii="Arial" w:hAnsi="Arial" w:cs="Arial"/>
          <w:color w:val="000000" w:themeColor="text2"/>
          <w:sz w:val="20"/>
          <w:szCs w:val="20"/>
        </w:rPr>
      </w:pPr>
      <w:r w:rsidRPr="00B01F9E">
        <w:rPr>
          <w:rFonts w:ascii="Arial" w:hAnsi="Arial" w:cs="Arial"/>
          <w:color w:val="000000" w:themeColor="text2"/>
          <w:sz w:val="20"/>
          <w:szCs w:val="20"/>
        </w:rPr>
        <w:t>According to the ANF Ballot</w:t>
      </w:r>
      <w:bookmarkStart w:id="369" w:name="_Ref175585023"/>
      <w:r w:rsidR="004767B4" w:rsidRPr="00B01F9E">
        <w:rPr>
          <w:rFonts w:ascii="Arial" w:hAnsi="Arial" w:cs="Arial"/>
          <w:color w:val="000000" w:themeColor="text2"/>
          <w:sz w:val="20"/>
          <w:szCs w:val="20"/>
        </w:rPr>
        <w:t>,</w:t>
      </w:r>
      <w:r w:rsidR="00921E92" w:rsidRPr="00B01F9E">
        <w:rPr>
          <w:rFonts w:ascii="Arial" w:hAnsi="Arial" w:cs="Arial"/>
          <w:color w:val="000000" w:themeColor="text2"/>
          <w:sz w:val="20"/>
          <w:szCs w:val="20"/>
          <w:vertAlign w:val="superscript"/>
        </w:rPr>
        <w:t>6</w:t>
      </w:r>
      <w:bookmarkEnd w:id="369"/>
      <w:r w:rsidRPr="00B01F9E">
        <w:rPr>
          <w:rFonts w:ascii="Arial" w:hAnsi="Arial" w:cs="Arial"/>
          <w:color w:val="000000" w:themeColor="text2"/>
          <w:sz w:val="20"/>
          <w:szCs w:val="20"/>
        </w:rPr>
        <w:t xml:space="preserve"> </w:t>
      </w:r>
    </w:p>
    <w:p w14:paraId="0DD378BF" w14:textId="0EE1B3A2" w:rsidR="000475B5" w:rsidRPr="00B01F9E" w:rsidRDefault="0057333F" w:rsidP="00F51F6A">
      <w:pPr>
        <w:spacing w:after="120"/>
        <w:ind w:left="720"/>
        <w:rPr>
          <w:rFonts w:ascii="Arial" w:hAnsi="Arial" w:cs="Arial"/>
          <w:color w:val="000000" w:themeColor="text2"/>
          <w:sz w:val="20"/>
          <w:szCs w:val="20"/>
        </w:rPr>
      </w:pPr>
      <w:r w:rsidRPr="00B01F9E">
        <w:rPr>
          <w:rFonts w:ascii="Arial" w:hAnsi="Arial" w:cs="Arial"/>
          <w:color w:val="000000" w:themeColor="text2"/>
          <w:sz w:val="20"/>
          <w:szCs w:val="20"/>
        </w:rPr>
        <w:t>“Analysis Normal Form (ANF) is intended for projects that aggregate clinical statements from a variety of sources, independent of formalism or approach used by the source system. The users of ANF—and subsequent implementation guidance—are developing applications that require determination if a clinical fact or situation was observed to exist or happen, and they wish to ensure that this determination is reliable and performed in accordance with the principles of patient safety and high-reliability organizations. These applications may include clinical decision support, reimbursement, public health reporting, outcomes research, and other types of data analysis. The Learning EHR, 21st Century Cures, Patient-Centered Outcomes Research, and other US national, or international initiatives all examples of efforts that can benefit from ANF as they all depend on interoperable, reusable, and analysis-ready information that can improve outcomes, produce new therapies, and put into practice ‘precision medicine.’”</w:t>
      </w:r>
    </w:p>
    <w:p w14:paraId="376ECDA1" w14:textId="2180FEBA" w:rsidR="004E73E8" w:rsidRPr="00B01F9E" w:rsidRDefault="004E73E8" w:rsidP="00F51F6A">
      <w:pPr>
        <w:spacing w:after="120"/>
        <w:rPr>
          <w:rFonts w:ascii="Arial" w:hAnsi="Arial" w:cs="Arial"/>
          <w:sz w:val="20"/>
          <w:szCs w:val="20"/>
        </w:rPr>
      </w:pPr>
      <w:r w:rsidRPr="00B01F9E">
        <w:rPr>
          <w:rFonts w:ascii="Arial" w:hAnsi="Arial" w:cs="Arial"/>
          <w:sz w:val="20"/>
          <w:szCs w:val="20"/>
        </w:rPr>
        <w:t>As outlined in Section 5.1.5 of the BAA Contract #</w:t>
      </w:r>
      <w:r w:rsidRPr="00B01F9E">
        <w:rPr>
          <w:rStyle w:val="cf01"/>
          <w:rFonts w:ascii="Arial" w:hAnsi="Arial" w:cs="Arial"/>
          <w:sz w:val="20"/>
          <w:szCs w:val="20"/>
        </w:rPr>
        <w:t>75F40122C00179</w:t>
      </w:r>
      <w:r w:rsidRPr="00B01F9E">
        <w:rPr>
          <w:rFonts w:ascii="Arial" w:hAnsi="Arial" w:cs="Arial"/>
          <w:sz w:val="20"/>
          <w:szCs w:val="20"/>
        </w:rPr>
        <w:t xml:space="preserve">, the original objective of </w:t>
      </w:r>
      <w:r w:rsidR="00E14A16" w:rsidRPr="00B01F9E">
        <w:rPr>
          <w:rFonts w:ascii="Arial" w:hAnsi="Arial" w:cs="Arial"/>
          <w:sz w:val="20"/>
          <w:szCs w:val="20"/>
        </w:rPr>
        <w:t xml:space="preserve">the </w:t>
      </w:r>
      <w:r w:rsidR="002B6E4D" w:rsidRPr="00B01F9E">
        <w:rPr>
          <w:rFonts w:ascii="Arial" w:hAnsi="Arial" w:cs="Arial"/>
          <w:sz w:val="20"/>
          <w:szCs w:val="20"/>
        </w:rPr>
        <w:t xml:space="preserve">CAP ANF initiative </w:t>
      </w:r>
      <w:r w:rsidRPr="00B01F9E">
        <w:rPr>
          <w:rFonts w:ascii="Arial" w:hAnsi="Arial" w:cs="Arial"/>
          <w:sz w:val="20"/>
          <w:szCs w:val="20"/>
        </w:rPr>
        <w:t xml:space="preserve">was to identify which terminologies should be used to support specific use cases in the laboratory medicine domain. </w:t>
      </w:r>
    </w:p>
    <w:p w14:paraId="2D9DDEDC" w14:textId="53F348EA" w:rsidR="00F42E5B" w:rsidRPr="00B01F9E" w:rsidRDefault="004E73E8" w:rsidP="00F51F6A">
      <w:pPr>
        <w:spacing w:after="120"/>
        <w:rPr>
          <w:rFonts w:ascii="Arial" w:hAnsi="Arial" w:cs="Arial"/>
          <w:bCs/>
          <w:color w:val="000000" w:themeColor="text2"/>
          <w:sz w:val="20"/>
          <w:szCs w:val="20"/>
        </w:rPr>
      </w:pPr>
      <w:r w:rsidRPr="00B01F9E">
        <w:rPr>
          <w:rFonts w:ascii="Arial" w:hAnsi="Arial" w:cs="Arial"/>
          <w:sz w:val="20"/>
          <w:szCs w:val="20"/>
        </w:rPr>
        <w:t xml:space="preserve">After discussions among the key stakeholders, the objective was revised to the following: </w:t>
      </w:r>
      <w:r w:rsidR="00F42E5B" w:rsidRPr="00B01F9E">
        <w:rPr>
          <w:rFonts w:ascii="Arial" w:hAnsi="Arial" w:cs="Arial"/>
          <w:bCs/>
          <w:color w:val="000000" w:themeColor="text2"/>
          <w:sz w:val="20"/>
          <w:szCs w:val="20"/>
        </w:rPr>
        <w:t xml:space="preserve">develop clinical narratives focused on laboratory workflows involving </w:t>
      </w:r>
      <w:r w:rsidR="00AD2577" w:rsidRPr="00B01F9E">
        <w:rPr>
          <w:rFonts w:ascii="Arial" w:hAnsi="Arial" w:cs="Arial"/>
          <w:bCs/>
          <w:color w:val="000000" w:themeColor="text2"/>
          <w:sz w:val="20"/>
          <w:szCs w:val="20"/>
        </w:rPr>
        <w:t>IVD</w:t>
      </w:r>
      <w:r w:rsidR="00F42E5B" w:rsidRPr="00B01F9E">
        <w:rPr>
          <w:rFonts w:ascii="Arial" w:hAnsi="Arial" w:cs="Arial"/>
          <w:bCs/>
          <w:color w:val="000000" w:themeColor="text2"/>
          <w:sz w:val="20"/>
          <w:szCs w:val="20"/>
        </w:rPr>
        <w:t xml:space="preserve"> tests to provide recommendations supporting ANF statement development. </w:t>
      </w:r>
    </w:p>
    <w:p w14:paraId="30D37893" w14:textId="0C6D276B" w:rsidR="004E73E8" w:rsidRPr="00B01F9E" w:rsidRDefault="00F42E5B" w:rsidP="00F51F6A">
      <w:pPr>
        <w:spacing w:after="120"/>
        <w:rPr>
          <w:rFonts w:ascii="Arial" w:hAnsi="Arial" w:cs="Arial"/>
          <w:color w:val="000000" w:themeColor="text2"/>
          <w:sz w:val="20"/>
          <w:szCs w:val="20"/>
        </w:rPr>
      </w:pPr>
      <w:r w:rsidRPr="00B01F9E">
        <w:rPr>
          <w:rFonts w:ascii="Arial" w:hAnsi="Arial" w:cs="Arial"/>
          <w:bCs/>
          <w:color w:val="000000" w:themeColor="text2"/>
          <w:sz w:val="20"/>
          <w:szCs w:val="20"/>
        </w:rPr>
        <w:t>The clinical narratives that were developed depict orders</w:t>
      </w:r>
      <w:r w:rsidR="004E73E8" w:rsidRPr="00B01F9E">
        <w:rPr>
          <w:rFonts w:ascii="Arial" w:hAnsi="Arial" w:cs="Arial"/>
          <w:color w:val="000000" w:themeColor="text2"/>
          <w:sz w:val="20"/>
          <w:szCs w:val="20"/>
        </w:rPr>
        <w:t xml:space="preserve"> and </w:t>
      </w:r>
      <w:r w:rsidRPr="00B01F9E">
        <w:rPr>
          <w:rFonts w:ascii="Arial" w:hAnsi="Arial" w:cs="Arial"/>
          <w:bCs/>
          <w:color w:val="000000" w:themeColor="text2"/>
          <w:sz w:val="20"/>
          <w:szCs w:val="20"/>
        </w:rPr>
        <w:t>tests exchanged between laboratories. These necessitate</w:t>
      </w:r>
      <w:r w:rsidR="004E73E8" w:rsidRPr="00B01F9E">
        <w:rPr>
          <w:rFonts w:ascii="Arial" w:hAnsi="Arial" w:cs="Arial"/>
          <w:color w:val="000000" w:themeColor="text2"/>
          <w:sz w:val="20"/>
          <w:szCs w:val="20"/>
        </w:rPr>
        <w:t xml:space="preserve"> the </w:t>
      </w:r>
      <w:r w:rsidRPr="00B01F9E">
        <w:rPr>
          <w:rFonts w:ascii="Arial" w:hAnsi="Arial" w:cs="Arial"/>
          <w:bCs/>
          <w:color w:val="000000" w:themeColor="text2"/>
          <w:sz w:val="20"/>
          <w:szCs w:val="20"/>
        </w:rPr>
        <w:t>use of IVD instruments and their resulting outputs. Based on these narratives, the CAP identified and recommended appropriate data</w:t>
      </w:r>
      <w:r w:rsidR="004E73E8" w:rsidRPr="00B01F9E">
        <w:rPr>
          <w:rFonts w:ascii="Arial" w:hAnsi="Arial" w:cs="Arial"/>
          <w:color w:val="000000" w:themeColor="text2"/>
          <w:sz w:val="20"/>
          <w:szCs w:val="20"/>
        </w:rPr>
        <w:t xml:space="preserve"> elements</w:t>
      </w:r>
      <w:r w:rsidRPr="00B01F9E">
        <w:rPr>
          <w:rFonts w:ascii="Arial" w:hAnsi="Arial" w:cs="Arial"/>
          <w:bCs/>
          <w:color w:val="000000" w:themeColor="text2"/>
          <w:sz w:val="20"/>
          <w:szCs w:val="20"/>
        </w:rPr>
        <w:t xml:space="preserve"> to accurately convey elements of anatomic pathology (AP) and clinical pathology (CP) laboratories</w:t>
      </w:r>
      <w:r w:rsidR="00CF2494" w:rsidRPr="00B01F9E">
        <w:rPr>
          <w:rFonts w:ascii="Arial" w:hAnsi="Arial" w:cs="Arial"/>
          <w:bCs/>
          <w:color w:val="000000" w:themeColor="text2"/>
          <w:sz w:val="20"/>
          <w:szCs w:val="20"/>
        </w:rPr>
        <w:t xml:space="preserve"> to</w:t>
      </w:r>
      <w:r w:rsidR="000F0145" w:rsidRPr="00B01F9E">
        <w:rPr>
          <w:rFonts w:ascii="Arial" w:hAnsi="Arial" w:cs="Arial"/>
          <w:bCs/>
          <w:color w:val="000000" w:themeColor="text2"/>
          <w:sz w:val="20"/>
          <w:szCs w:val="20"/>
        </w:rPr>
        <w:t xml:space="preserve"> help</w:t>
      </w:r>
      <w:r w:rsidRPr="00B01F9E">
        <w:rPr>
          <w:rFonts w:ascii="Arial" w:hAnsi="Arial" w:cs="Arial"/>
          <w:bCs/>
          <w:color w:val="000000" w:themeColor="text2"/>
          <w:sz w:val="20"/>
          <w:szCs w:val="20"/>
        </w:rPr>
        <w:t xml:space="preserve"> ensur</w:t>
      </w:r>
      <w:r w:rsidR="00CF2494" w:rsidRPr="00B01F9E">
        <w:rPr>
          <w:rFonts w:ascii="Arial" w:hAnsi="Arial" w:cs="Arial"/>
          <w:bCs/>
          <w:color w:val="000000" w:themeColor="text2"/>
          <w:sz w:val="20"/>
          <w:szCs w:val="20"/>
        </w:rPr>
        <w:t>e</w:t>
      </w:r>
      <w:r w:rsidRPr="00B01F9E">
        <w:rPr>
          <w:rFonts w:ascii="Arial" w:hAnsi="Arial" w:cs="Arial"/>
          <w:bCs/>
          <w:color w:val="000000" w:themeColor="text2"/>
          <w:sz w:val="20"/>
          <w:szCs w:val="20"/>
        </w:rPr>
        <w:t xml:space="preserve"> that ANF </w:t>
      </w:r>
      <w:r w:rsidR="00CF2494" w:rsidRPr="00B01F9E">
        <w:rPr>
          <w:rFonts w:ascii="Arial" w:hAnsi="Arial" w:cs="Arial"/>
          <w:bCs/>
          <w:color w:val="000000" w:themeColor="text2"/>
          <w:sz w:val="20"/>
          <w:szCs w:val="20"/>
        </w:rPr>
        <w:t>is</w:t>
      </w:r>
      <w:r w:rsidRPr="00B01F9E">
        <w:rPr>
          <w:rFonts w:ascii="Arial" w:hAnsi="Arial" w:cs="Arial"/>
          <w:bCs/>
          <w:color w:val="000000" w:themeColor="text2"/>
          <w:sz w:val="20"/>
          <w:szCs w:val="20"/>
        </w:rPr>
        <w:t xml:space="preserve"> an understandable, reproducible, and useful framework</w:t>
      </w:r>
      <w:r w:rsidR="00CF2494" w:rsidRPr="00B01F9E">
        <w:rPr>
          <w:rFonts w:ascii="Arial" w:hAnsi="Arial" w:cs="Arial"/>
          <w:bCs/>
          <w:color w:val="000000" w:themeColor="text2"/>
          <w:sz w:val="20"/>
          <w:szCs w:val="20"/>
        </w:rPr>
        <w:t xml:space="preserve"> </w:t>
      </w:r>
      <w:r w:rsidR="005C65A4" w:rsidRPr="00B01F9E">
        <w:rPr>
          <w:rFonts w:ascii="Arial" w:hAnsi="Arial" w:cs="Arial"/>
          <w:bCs/>
          <w:color w:val="000000" w:themeColor="text2"/>
          <w:sz w:val="20"/>
          <w:szCs w:val="20"/>
        </w:rPr>
        <w:t>incorporating</w:t>
      </w:r>
      <w:r w:rsidR="00CF2494" w:rsidRPr="00B01F9E">
        <w:rPr>
          <w:rFonts w:ascii="Arial" w:hAnsi="Arial" w:cs="Arial"/>
          <w:bCs/>
          <w:color w:val="000000" w:themeColor="text2"/>
          <w:sz w:val="20"/>
          <w:szCs w:val="20"/>
        </w:rPr>
        <w:t xml:space="preserve"> these </w:t>
      </w:r>
      <w:r w:rsidR="000F0145" w:rsidRPr="00B01F9E">
        <w:rPr>
          <w:rFonts w:ascii="Arial" w:hAnsi="Arial" w:cs="Arial"/>
          <w:bCs/>
          <w:color w:val="000000" w:themeColor="text2"/>
          <w:sz w:val="20"/>
          <w:szCs w:val="20"/>
        </w:rPr>
        <w:t>domains</w:t>
      </w:r>
      <w:r w:rsidRPr="00B01F9E">
        <w:rPr>
          <w:rFonts w:ascii="Arial" w:hAnsi="Arial" w:cs="Arial"/>
          <w:bCs/>
          <w:color w:val="000000" w:themeColor="text2"/>
          <w:sz w:val="20"/>
          <w:szCs w:val="20"/>
        </w:rPr>
        <w:t xml:space="preserve">. </w:t>
      </w:r>
    </w:p>
    <w:p w14:paraId="4E4C3CB5" w14:textId="7BBC49BD" w:rsidR="00D606D9" w:rsidRPr="00B01F9E" w:rsidRDefault="00D606D9" w:rsidP="00F51F6A">
      <w:pPr>
        <w:spacing w:after="120"/>
        <w:rPr>
          <w:rFonts w:ascii="Arial" w:hAnsi="Arial" w:cs="Arial"/>
          <w:bCs/>
          <w:color w:val="000000" w:themeColor="text2"/>
          <w:sz w:val="20"/>
          <w:szCs w:val="20"/>
        </w:rPr>
      </w:pPr>
      <w:r w:rsidRPr="00B01F9E">
        <w:rPr>
          <w:rFonts w:ascii="Arial" w:hAnsi="Arial" w:cs="Arial"/>
          <w:bCs/>
          <w:color w:val="000000" w:themeColor="text2"/>
          <w:sz w:val="20"/>
          <w:szCs w:val="20"/>
        </w:rPr>
        <w:t>This section outlines the process, key outcomes, and final recommendations developed during the project.</w:t>
      </w:r>
    </w:p>
    <w:p w14:paraId="58F8008F" w14:textId="1A21C1A3" w:rsidR="004E73E8" w:rsidRPr="00B01F9E" w:rsidRDefault="00AD2577" w:rsidP="005F1D64">
      <w:pPr>
        <w:spacing w:after="120"/>
        <w:rPr>
          <w:rFonts w:ascii="Arial" w:hAnsi="Arial" w:cs="Arial"/>
          <w:b/>
          <w:bCs/>
          <w:sz w:val="20"/>
          <w:szCs w:val="20"/>
        </w:rPr>
      </w:pPr>
      <w:r w:rsidRPr="00B01F9E">
        <w:rPr>
          <w:rFonts w:ascii="Arial" w:hAnsi="Arial" w:cs="Arial"/>
          <w:b/>
          <w:bCs/>
          <w:sz w:val="20"/>
          <w:szCs w:val="20"/>
        </w:rPr>
        <w:t>ANF</w:t>
      </w:r>
      <w:r w:rsidR="004E73E8" w:rsidRPr="00B01F9E">
        <w:rPr>
          <w:rFonts w:ascii="Arial" w:hAnsi="Arial" w:cs="Arial"/>
          <w:b/>
          <w:bCs/>
          <w:sz w:val="20"/>
          <w:szCs w:val="20"/>
        </w:rPr>
        <w:t xml:space="preserve"> and Use Cases </w:t>
      </w:r>
      <w:r w:rsidR="009B32FE" w:rsidRPr="00B01F9E">
        <w:rPr>
          <w:rFonts w:ascii="Arial" w:hAnsi="Arial" w:cs="Arial"/>
          <w:b/>
          <w:bCs/>
          <w:sz w:val="20"/>
          <w:szCs w:val="20"/>
        </w:rPr>
        <w:t>W</w:t>
      </w:r>
      <w:r w:rsidR="004E73E8" w:rsidRPr="00B01F9E">
        <w:rPr>
          <w:rFonts w:ascii="Arial" w:hAnsi="Arial" w:cs="Arial"/>
          <w:b/>
          <w:bCs/>
          <w:sz w:val="20"/>
          <w:szCs w:val="20"/>
        </w:rPr>
        <w:t xml:space="preserve">ithin Laboratory Medicine </w:t>
      </w:r>
    </w:p>
    <w:p w14:paraId="21F8454A" w14:textId="6CA03351" w:rsidR="00C462F5" w:rsidRPr="00B01F9E" w:rsidRDefault="003E2A15" w:rsidP="00F51F6A">
      <w:pPr>
        <w:spacing w:after="120"/>
        <w:rPr>
          <w:rFonts w:ascii="Arial" w:hAnsi="Arial" w:cs="Arial"/>
          <w:sz w:val="20"/>
          <w:szCs w:val="20"/>
        </w:rPr>
      </w:pPr>
      <w:r w:rsidRPr="00B01F9E">
        <w:rPr>
          <w:rFonts w:ascii="Arial" w:hAnsi="Arial" w:cs="Arial"/>
          <w:sz w:val="20"/>
          <w:szCs w:val="20"/>
        </w:rPr>
        <w:t>ANF</w:t>
      </w:r>
      <w:r w:rsidR="00C462F5" w:rsidRPr="00B01F9E">
        <w:rPr>
          <w:rFonts w:ascii="Arial" w:hAnsi="Arial" w:cs="Arial"/>
          <w:sz w:val="20"/>
          <w:szCs w:val="20"/>
        </w:rPr>
        <w:t xml:space="preserve"> is intended to create a standard set of clinical data elements to describe any use case in the clinical care of a patient, ranging from radiology and pathology to surgery and clinical medicine. Until now, ANF did not include use cases that represented the patient care delivered by the clinical or anatomic pathology laboratories. </w:t>
      </w:r>
    </w:p>
    <w:p w14:paraId="4C86F55C" w14:textId="0B8F79C7" w:rsidR="00C462F5" w:rsidRPr="00B01F9E" w:rsidRDefault="00C462F5" w:rsidP="00F51F6A">
      <w:pPr>
        <w:spacing w:after="120"/>
        <w:rPr>
          <w:rFonts w:ascii="Arial" w:hAnsi="Arial" w:cs="Arial"/>
          <w:sz w:val="20"/>
          <w:szCs w:val="20"/>
        </w:rPr>
      </w:pPr>
      <w:r w:rsidRPr="00B01F9E">
        <w:rPr>
          <w:rFonts w:ascii="Arial" w:hAnsi="Arial" w:cs="Arial"/>
          <w:sz w:val="20"/>
          <w:szCs w:val="20"/>
        </w:rPr>
        <w:t>The Year 2 efforts of the CAP’s In Vitro Diagnostic Encoded Test Result Data Validation and Quality Improvement Project include</w:t>
      </w:r>
      <w:r w:rsidR="004B7600" w:rsidRPr="00B01F9E">
        <w:rPr>
          <w:rFonts w:ascii="Arial" w:hAnsi="Arial" w:cs="Arial"/>
          <w:sz w:val="20"/>
          <w:szCs w:val="20"/>
        </w:rPr>
        <w:t>d</w:t>
      </w:r>
      <w:r w:rsidRPr="00B01F9E">
        <w:rPr>
          <w:rFonts w:ascii="Arial" w:hAnsi="Arial" w:cs="Arial"/>
          <w:sz w:val="20"/>
          <w:szCs w:val="20"/>
        </w:rPr>
        <w:t xml:space="preserve"> evaluating the applicability of ANF to pathology and laboratory medicine and its relationship to LIDR. The CAP developed </w:t>
      </w:r>
      <w:r w:rsidR="007444EC" w:rsidRPr="00B01F9E">
        <w:rPr>
          <w:rFonts w:ascii="Arial" w:hAnsi="Arial" w:cs="Arial"/>
          <w:sz w:val="20"/>
          <w:szCs w:val="20"/>
        </w:rPr>
        <w:t>eight</w:t>
      </w:r>
      <w:r w:rsidRPr="00B01F9E">
        <w:rPr>
          <w:rFonts w:ascii="Arial" w:hAnsi="Arial" w:cs="Arial"/>
          <w:sz w:val="20"/>
          <w:szCs w:val="20"/>
        </w:rPr>
        <w:t xml:space="preserve"> specific use cases for this evaluation, listed below in Table 1</w:t>
      </w:r>
      <w:r w:rsidR="0017372F" w:rsidRPr="00B01F9E">
        <w:rPr>
          <w:rFonts w:ascii="Arial" w:hAnsi="Arial" w:cs="Arial"/>
          <w:sz w:val="20"/>
          <w:szCs w:val="20"/>
        </w:rPr>
        <w:t>3</w:t>
      </w:r>
      <w:r w:rsidRPr="00B01F9E">
        <w:rPr>
          <w:rFonts w:ascii="Arial" w:hAnsi="Arial" w:cs="Arial"/>
          <w:sz w:val="20"/>
          <w:szCs w:val="20"/>
        </w:rPr>
        <w:t xml:space="preserve">. </w:t>
      </w:r>
    </w:p>
    <w:p w14:paraId="4F7F51EE" w14:textId="77777777" w:rsidR="006F39AD" w:rsidRPr="00B01F9E" w:rsidRDefault="006F39AD">
      <w:pPr>
        <w:rPr>
          <w:rFonts w:ascii="Arial" w:eastAsiaTheme="majorEastAsia" w:hAnsi="Arial" w:cs="Arial"/>
          <w:b/>
          <w:color w:val="009BBF"/>
          <w:sz w:val="20"/>
          <w:szCs w:val="20"/>
        </w:rPr>
      </w:pPr>
      <w:r w:rsidRPr="00B01F9E">
        <w:rPr>
          <w:rFonts w:ascii="Arial" w:hAnsi="Arial" w:cs="Arial"/>
          <w:b/>
          <w:color w:val="009BBF"/>
          <w:sz w:val="20"/>
          <w:szCs w:val="20"/>
        </w:rPr>
        <w:br w:type="page"/>
      </w:r>
    </w:p>
    <w:p w14:paraId="707F9D37" w14:textId="669A7B76" w:rsidR="00C462F5" w:rsidRPr="00B01F9E" w:rsidRDefault="00C462F5" w:rsidP="005F1D64">
      <w:pPr>
        <w:pStyle w:val="Heading5"/>
        <w:spacing w:before="0"/>
        <w:rPr>
          <w:rFonts w:ascii="Arial" w:hAnsi="Arial" w:cs="Arial"/>
          <w:b/>
          <w:bCs/>
          <w:color w:val="009BBF"/>
          <w:sz w:val="20"/>
          <w:szCs w:val="20"/>
        </w:rPr>
      </w:pPr>
      <w:r w:rsidRPr="00B01F9E">
        <w:rPr>
          <w:rFonts w:ascii="Arial" w:hAnsi="Arial" w:cs="Arial"/>
          <w:b/>
          <w:color w:val="009BBF"/>
          <w:sz w:val="20"/>
          <w:szCs w:val="20"/>
        </w:rPr>
        <w:lastRenderedPageBreak/>
        <w:t xml:space="preserve">Table </w:t>
      </w:r>
      <w:r w:rsidR="00EB3373" w:rsidRPr="00B01F9E">
        <w:rPr>
          <w:rFonts w:ascii="Arial" w:hAnsi="Arial" w:cs="Arial"/>
          <w:b/>
          <w:bCs/>
          <w:color w:val="009BBF"/>
          <w:sz w:val="20"/>
          <w:szCs w:val="20"/>
        </w:rPr>
        <w:t>1</w:t>
      </w:r>
      <w:r w:rsidR="0017372F" w:rsidRPr="00B01F9E">
        <w:rPr>
          <w:rFonts w:ascii="Arial" w:hAnsi="Arial" w:cs="Arial"/>
          <w:b/>
          <w:bCs/>
          <w:color w:val="009BBF"/>
          <w:sz w:val="20"/>
          <w:szCs w:val="20"/>
        </w:rPr>
        <w:t>3</w:t>
      </w:r>
      <w:r w:rsidR="00EB3373" w:rsidRPr="00B01F9E">
        <w:rPr>
          <w:rFonts w:ascii="Arial" w:hAnsi="Arial" w:cs="Arial"/>
          <w:b/>
          <w:color w:val="009BBF"/>
          <w:sz w:val="20"/>
          <w:szCs w:val="20"/>
        </w:rPr>
        <w:t>:</w:t>
      </w:r>
      <w:r w:rsidR="00EB3373" w:rsidRPr="00B01F9E">
        <w:rPr>
          <w:rFonts w:ascii="Arial" w:hAnsi="Arial" w:cs="Arial"/>
          <w:b/>
          <w:bCs/>
          <w:color w:val="009BBF"/>
          <w:sz w:val="20"/>
          <w:szCs w:val="20"/>
        </w:rPr>
        <w:t xml:space="preserve"> </w:t>
      </w:r>
      <w:r w:rsidRPr="00B01F9E">
        <w:rPr>
          <w:rFonts w:ascii="Arial" w:hAnsi="Arial" w:cs="Arial"/>
          <w:b/>
          <w:bCs/>
          <w:color w:val="009BBF"/>
          <w:sz w:val="20"/>
          <w:szCs w:val="20"/>
        </w:rPr>
        <w:t>Laboratory Use Cases</w:t>
      </w:r>
    </w:p>
    <w:tbl>
      <w:tblPr>
        <w:tblStyle w:val="TableGrid"/>
        <w:tblW w:w="0" w:type="auto"/>
        <w:tblInd w:w="-5" w:type="dxa"/>
        <w:tblLook w:val="04A0" w:firstRow="1" w:lastRow="0" w:firstColumn="1" w:lastColumn="0" w:noHBand="0" w:noVBand="1"/>
      </w:tblPr>
      <w:tblGrid>
        <w:gridCol w:w="2948"/>
        <w:gridCol w:w="5682"/>
      </w:tblGrid>
      <w:tr w:rsidR="007444EC" w:rsidRPr="00B01F9E" w14:paraId="357D7C01" w14:textId="77777777" w:rsidTr="00D27791">
        <w:tc>
          <w:tcPr>
            <w:tcW w:w="2948" w:type="dxa"/>
          </w:tcPr>
          <w:p w14:paraId="58889969" w14:textId="77777777" w:rsidR="007444EC" w:rsidRPr="00B01F9E" w:rsidRDefault="007444EC" w:rsidP="00D27791">
            <w:pPr>
              <w:rPr>
                <w:rFonts w:ascii="Arial" w:hAnsi="Arial" w:cs="Arial"/>
                <w:b/>
                <w:bCs/>
                <w:sz w:val="20"/>
                <w:szCs w:val="20"/>
              </w:rPr>
            </w:pPr>
            <w:r w:rsidRPr="00B01F9E">
              <w:rPr>
                <w:rFonts w:ascii="Arial" w:hAnsi="Arial" w:cs="Arial"/>
                <w:b/>
                <w:bCs/>
                <w:sz w:val="20"/>
                <w:szCs w:val="20"/>
              </w:rPr>
              <w:t>Use Case Type</w:t>
            </w:r>
          </w:p>
        </w:tc>
        <w:tc>
          <w:tcPr>
            <w:tcW w:w="5682" w:type="dxa"/>
          </w:tcPr>
          <w:p w14:paraId="0B722837" w14:textId="77777777" w:rsidR="007444EC" w:rsidRPr="00B01F9E" w:rsidRDefault="007444EC" w:rsidP="00D27791">
            <w:pPr>
              <w:rPr>
                <w:rFonts w:ascii="Arial" w:hAnsi="Arial" w:cs="Arial"/>
                <w:b/>
                <w:bCs/>
                <w:sz w:val="20"/>
                <w:szCs w:val="20"/>
              </w:rPr>
            </w:pPr>
            <w:r w:rsidRPr="00B01F9E">
              <w:rPr>
                <w:rFonts w:ascii="Arial" w:hAnsi="Arial" w:cs="Arial"/>
                <w:b/>
                <w:bCs/>
                <w:sz w:val="20"/>
                <w:szCs w:val="20"/>
              </w:rPr>
              <w:t xml:space="preserve">Use Case </w:t>
            </w:r>
          </w:p>
        </w:tc>
      </w:tr>
      <w:tr w:rsidR="007444EC" w:rsidRPr="00B01F9E" w14:paraId="7015A9C7" w14:textId="77777777" w:rsidTr="00D27791">
        <w:trPr>
          <w:trHeight w:val="215"/>
        </w:trPr>
        <w:tc>
          <w:tcPr>
            <w:tcW w:w="2948" w:type="dxa"/>
          </w:tcPr>
          <w:p w14:paraId="2A0B0AC8" w14:textId="77777777" w:rsidR="007444EC" w:rsidRPr="00B01F9E" w:rsidRDefault="007444EC" w:rsidP="00D27791">
            <w:pPr>
              <w:rPr>
                <w:rFonts w:ascii="Arial" w:hAnsi="Arial" w:cs="Arial"/>
                <w:sz w:val="20"/>
                <w:szCs w:val="20"/>
              </w:rPr>
            </w:pPr>
            <w:r w:rsidRPr="00B01F9E">
              <w:rPr>
                <w:rFonts w:ascii="Arial" w:hAnsi="Arial" w:cs="Arial"/>
                <w:sz w:val="20"/>
                <w:szCs w:val="20"/>
              </w:rPr>
              <w:t>Clinical Pathology</w:t>
            </w:r>
          </w:p>
        </w:tc>
        <w:tc>
          <w:tcPr>
            <w:tcW w:w="5682" w:type="dxa"/>
          </w:tcPr>
          <w:p w14:paraId="04A95B06" w14:textId="77777777" w:rsidR="007444EC" w:rsidRPr="00B01F9E" w:rsidRDefault="007444EC" w:rsidP="00D27791">
            <w:pPr>
              <w:rPr>
                <w:rFonts w:ascii="Arial" w:hAnsi="Arial" w:cs="Arial"/>
                <w:b/>
                <w:sz w:val="20"/>
                <w:szCs w:val="20"/>
              </w:rPr>
            </w:pPr>
            <w:r w:rsidRPr="00B01F9E">
              <w:rPr>
                <w:rFonts w:ascii="Arial" w:hAnsi="Arial" w:cs="Arial"/>
                <w:b/>
                <w:sz w:val="20"/>
                <w:szCs w:val="20"/>
              </w:rPr>
              <w:t>Serum Albumin Test</w:t>
            </w:r>
          </w:p>
        </w:tc>
      </w:tr>
      <w:tr w:rsidR="007444EC" w:rsidRPr="00B01F9E" w14:paraId="065059CC" w14:textId="77777777" w:rsidTr="00D27791">
        <w:tc>
          <w:tcPr>
            <w:tcW w:w="2948" w:type="dxa"/>
          </w:tcPr>
          <w:p w14:paraId="0A1F24C4" w14:textId="77777777" w:rsidR="007444EC" w:rsidRPr="00B01F9E" w:rsidRDefault="007444EC" w:rsidP="00D27791">
            <w:pPr>
              <w:rPr>
                <w:rFonts w:ascii="Arial" w:hAnsi="Arial" w:cs="Arial"/>
                <w:sz w:val="20"/>
                <w:szCs w:val="20"/>
              </w:rPr>
            </w:pPr>
            <w:r w:rsidRPr="00B01F9E">
              <w:rPr>
                <w:rFonts w:ascii="Arial" w:hAnsi="Arial" w:cs="Arial"/>
                <w:sz w:val="20"/>
                <w:szCs w:val="20"/>
              </w:rPr>
              <w:t>Anatomic Pathology</w:t>
            </w:r>
          </w:p>
        </w:tc>
        <w:tc>
          <w:tcPr>
            <w:tcW w:w="5682" w:type="dxa"/>
          </w:tcPr>
          <w:p w14:paraId="67D23536" w14:textId="77777777" w:rsidR="007444EC" w:rsidRPr="00B01F9E" w:rsidRDefault="007444EC" w:rsidP="00D27791">
            <w:pPr>
              <w:rPr>
                <w:rFonts w:ascii="Arial" w:hAnsi="Arial" w:cs="Arial"/>
                <w:sz w:val="20"/>
                <w:szCs w:val="20"/>
              </w:rPr>
            </w:pPr>
            <w:r w:rsidRPr="00B01F9E">
              <w:rPr>
                <w:rFonts w:ascii="Arial" w:hAnsi="Arial" w:cs="Arial"/>
                <w:b/>
                <w:sz w:val="20"/>
                <w:szCs w:val="20"/>
              </w:rPr>
              <w:t>Renal Biopsy</w:t>
            </w:r>
            <w:r w:rsidRPr="00B01F9E">
              <w:rPr>
                <w:rFonts w:ascii="Arial" w:hAnsi="Arial" w:cs="Arial"/>
                <w:sz w:val="20"/>
                <w:szCs w:val="20"/>
              </w:rPr>
              <w:t xml:space="preserve"> with Light Microscopy, Immunofluorescence, and Electron Microscopy</w:t>
            </w:r>
          </w:p>
        </w:tc>
      </w:tr>
      <w:tr w:rsidR="007444EC" w:rsidRPr="00B01F9E" w14:paraId="73191A56" w14:textId="77777777" w:rsidTr="00D27791">
        <w:tc>
          <w:tcPr>
            <w:tcW w:w="2948" w:type="dxa"/>
          </w:tcPr>
          <w:p w14:paraId="5391A047" w14:textId="77777777" w:rsidR="007444EC" w:rsidRPr="00B01F9E" w:rsidRDefault="007444EC" w:rsidP="00D27791">
            <w:pPr>
              <w:rPr>
                <w:rFonts w:ascii="Arial" w:hAnsi="Arial" w:cs="Arial"/>
                <w:sz w:val="20"/>
                <w:szCs w:val="20"/>
              </w:rPr>
            </w:pPr>
            <w:r w:rsidRPr="00B01F9E">
              <w:rPr>
                <w:rFonts w:ascii="Arial" w:hAnsi="Arial" w:cs="Arial"/>
                <w:sz w:val="20"/>
                <w:szCs w:val="20"/>
              </w:rPr>
              <w:t>Clinical Pathology</w:t>
            </w:r>
          </w:p>
        </w:tc>
        <w:tc>
          <w:tcPr>
            <w:tcW w:w="5682" w:type="dxa"/>
          </w:tcPr>
          <w:p w14:paraId="14BEB457" w14:textId="77777777" w:rsidR="007444EC" w:rsidRPr="00B01F9E" w:rsidRDefault="007444EC" w:rsidP="00D27791">
            <w:pPr>
              <w:rPr>
                <w:rFonts w:ascii="Arial" w:hAnsi="Arial" w:cs="Arial"/>
                <w:b/>
                <w:bCs/>
                <w:sz w:val="20"/>
                <w:szCs w:val="20"/>
              </w:rPr>
            </w:pPr>
            <w:r w:rsidRPr="00B01F9E">
              <w:rPr>
                <w:rFonts w:ascii="Arial" w:hAnsi="Arial" w:cs="Arial"/>
                <w:b/>
                <w:sz w:val="20"/>
                <w:szCs w:val="20"/>
              </w:rPr>
              <w:t>Complete Blood Count</w:t>
            </w:r>
            <w:r w:rsidRPr="00B01F9E">
              <w:rPr>
                <w:rFonts w:ascii="Arial" w:hAnsi="Arial" w:cs="Arial"/>
                <w:sz w:val="20"/>
                <w:szCs w:val="20"/>
              </w:rPr>
              <w:t xml:space="preserve"> with Hemolytic Anemia Evaluation including Transfusion Medicine</w:t>
            </w:r>
          </w:p>
        </w:tc>
      </w:tr>
      <w:tr w:rsidR="007444EC" w:rsidRPr="00B01F9E" w14:paraId="4EFE16C3" w14:textId="77777777" w:rsidTr="00D27791">
        <w:tc>
          <w:tcPr>
            <w:tcW w:w="2948" w:type="dxa"/>
          </w:tcPr>
          <w:p w14:paraId="25143FF1" w14:textId="77777777" w:rsidR="007444EC" w:rsidRPr="00B01F9E" w:rsidRDefault="007444EC" w:rsidP="00D27791">
            <w:pPr>
              <w:rPr>
                <w:rFonts w:ascii="Arial" w:hAnsi="Arial" w:cs="Arial"/>
                <w:sz w:val="20"/>
                <w:szCs w:val="20"/>
              </w:rPr>
            </w:pPr>
            <w:r w:rsidRPr="00B01F9E">
              <w:rPr>
                <w:rFonts w:ascii="Arial" w:hAnsi="Arial" w:cs="Arial"/>
                <w:sz w:val="20"/>
                <w:szCs w:val="20"/>
              </w:rPr>
              <w:t>Anatomic and Clinical Pathology</w:t>
            </w:r>
          </w:p>
        </w:tc>
        <w:tc>
          <w:tcPr>
            <w:tcW w:w="5682" w:type="dxa"/>
          </w:tcPr>
          <w:p w14:paraId="14E5CD35" w14:textId="77777777" w:rsidR="007444EC" w:rsidRPr="00B01F9E" w:rsidRDefault="007444EC" w:rsidP="00D27791">
            <w:pPr>
              <w:rPr>
                <w:rFonts w:ascii="Arial" w:hAnsi="Arial" w:cs="Arial"/>
                <w:sz w:val="20"/>
                <w:szCs w:val="20"/>
              </w:rPr>
            </w:pPr>
            <w:r w:rsidRPr="00B01F9E">
              <w:rPr>
                <w:rFonts w:ascii="Arial" w:hAnsi="Arial" w:cs="Arial"/>
                <w:b/>
                <w:sz w:val="20"/>
                <w:szCs w:val="20"/>
              </w:rPr>
              <w:t>Lymph Node Biopsy</w:t>
            </w:r>
            <w:r w:rsidRPr="00B01F9E">
              <w:rPr>
                <w:rFonts w:ascii="Arial" w:hAnsi="Arial" w:cs="Arial"/>
                <w:sz w:val="20"/>
                <w:szCs w:val="20"/>
              </w:rPr>
              <w:t xml:space="preserve"> with Hematopathology, Immunohistochemistry, Flow Cytometry, FISH, PCR and NGS</w:t>
            </w:r>
          </w:p>
        </w:tc>
      </w:tr>
      <w:tr w:rsidR="007444EC" w:rsidRPr="00B01F9E" w14:paraId="7AC5C564" w14:textId="77777777" w:rsidTr="00D27791">
        <w:tc>
          <w:tcPr>
            <w:tcW w:w="2948" w:type="dxa"/>
          </w:tcPr>
          <w:p w14:paraId="04BC0CA3" w14:textId="77777777" w:rsidR="007444EC" w:rsidRPr="00B01F9E" w:rsidRDefault="007444EC" w:rsidP="00D27791">
            <w:pPr>
              <w:rPr>
                <w:rFonts w:ascii="Arial" w:hAnsi="Arial" w:cs="Arial"/>
                <w:sz w:val="20"/>
                <w:szCs w:val="20"/>
              </w:rPr>
            </w:pPr>
            <w:r w:rsidRPr="00B01F9E">
              <w:rPr>
                <w:rFonts w:ascii="Arial" w:hAnsi="Arial" w:cs="Arial"/>
                <w:sz w:val="20"/>
                <w:szCs w:val="20"/>
              </w:rPr>
              <w:t>Anatomic Pathology</w:t>
            </w:r>
          </w:p>
        </w:tc>
        <w:tc>
          <w:tcPr>
            <w:tcW w:w="5682" w:type="dxa"/>
          </w:tcPr>
          <w:p w14:paraId="3D3D7BDE" w14:textId="77777777" w:rsidR="007444EC" w:rsidRPr="00B01F9E" w:rsidRDefault="007444EC" w:rsidP="00D27791">
            <w:pPr>
              <w:rPr>
                <w:rFonts w:ascii="Arial" w:hAnsi="Arial" w:cs="Arial"/>
                <w:sz w:val="20"/>
                <w:szCs w:val="20"/>
              </w:rPr>
            </w:pPr>
            <w:r w:rsidRPr="00B01F9E">
              <w:rPr>
                <w:rFonts w:ascii="Arial" w:hAnsi="Arial" w:cs="Arial"/>
                <w:b/>
                <w:sz w:val="20"/>
                <w:szCs w:val="20"/>
              </w:rPr>
              <w:t>Breast Resection</w:t>
            </w:r>
            <w:r w:rsidRPr="00B01F9E">
              <w:rPr>
                <w:rFonts w:ascii="Arial" w:hAnsi="Arial" w:cs="Arial"/>
                <w:sz w:val="20"/>
                <w:szCs w:val="20"/>
              </w:rPr>
              <w:t xml:space="preserve"> for Cancer with Light Microscopy and Immunohistochemistry</w:t>
            </w:r>
          </w:p>
        </w:tc>
      </w:tr>
      <w:tr w:rsidR="007444EC" w:rsidRPr="00B01F9E" w14:paraId="1A6ED0E3" w14:textId="77777777" w:rsidTr="00D27791">
        <w:trPr>
          <w:trHeight w:val="116"/>
        </w:trPr>
        <w:tc>
          <w:tcPr>
            <w:tcW w:w="2948" w:type="dxa"/>
          </w:tcPr>
          <w:p w14:paraId="1032940D" w14:textId="77777777" w:rsidR="007444EC" w:rsidRPr="00B01F9E" w:rsidRDefault="007444EC" w:rsidP="00D27791">
            <w:pPr>
              <w:rPr>
                <w:rFonts w:ascii="Arial" w:hAnsi="Arial" w:cs="Arial"/>
                <w:sz w:val="20"/>
                <w:szCs w:val="20"/>
              </w:rPr>
            </w:pPr>
            <w:r w:rsidRPr="00B01F9E">
              <w:rPr>
                <w:rFonts w:ascii="Arial" w:hAnsi="Arial" w:cs="Arial"/>
                <w:sz w:val="20"/>
                <w:szCs w:val="20"/>
              </w:rPr>
              <w:t>Clinical Pathology</w:t>
            </w:r>
          </w:p>
        </w:tc>
        <w:tc>
          <w:tcPr>
            <w:tcW w:w="5682" w:type="dxa"/>
          </w:tcPr>
          <w:p w14:paraId="7F6680F9" w14:textId="77777777" w:rsidR="007444EC" w:rsidRPr="00B01F9E" w:rsidRDefault="007444EC" w:rsidP="00D27791">
            <w:pPr>
              <w:rPr>
                <w:rFonts w:ascii="Arial" w:hAnsi="Arial" w:cs="Arial"/>
                <w:sz w:val="20"/>
                <w:szCs w:val="20"/>
              </w:rPr>
            </w:pPr>
            <w:r w:rsidRPr="00B01F9E">
              <w:rPr>
                <w:rFonts w:ascii="Arial" w:hAnsi="Arial" w:cs="Arial"/>
                <w:sz w:val="20"/>
                <w:szCs w:val="20"/>
              </w:rPr>
              <w:t xml:space="preserve">Point of Care (Self-Administered </w:t>
            </w:r>
            <w:r w:rsidRPr="00B01F9E">
              <w:rPr>
                <w:rFonts w:ascii="Arial" w:hAnsi="Arial" w:cs="Arial"/>
                <w:b/>
                <w:sz w:val="20"/>
                <w:szCs w:val="20"/>
              </w:rPr>
              <w:t>Syphilis Test</w:t>
            </w:r>
            <w:r w:rsidRPr="00B01F9E">
              <w:rPr>
                <w:rFonts w:ascii="Arial" w:hAnsi="Arial" w:cs="Arial"/>
                <w:sz w:val="20"/>
                <w:szCs w:val="20"/>
              </w:rPr>
              <w:t>) with Public Health Reporting</w:t>
            </w:r>
          </w:p>
        </w:tc>
      </w:tr>
      <w:tr w:rsidR="007444EC" w:rsidRPr="00B01F9E" w14:paraId="3B181B4B" w14:textId="77777777" w:rsidTr="00D27791">
        <w:trPr>
          <w:trHeight w:val="116"/>
        </w:trPr>
        <w:tc>
          <w:tcPr>
            <w:tcW w:w="2948" w:type="dxa"/>
          </w:tcPr>
          <w:p w14:paraId="285054D4" w14:textId="77777777" w:rsidR="007444EC" w:rsidRPr="00B01F9E" w:rsidRDefault="007444EC" w:rsidP="00D27791">
            <w:pPr>
              <w:rPr>
                <w:rFonts w:ascii="Arial" w:hAnsi="Arial" w:cs="Arial"/>
                <w:sz w:val="20"/>
                <w:szCs w:val="20"/>
              </w:rPr>
            </w:pPr>
            <w:r w:rsidRPr="00B01F9E">
              <w:rPr>
                <w:rFonts w:ascii="Arial" w:hAnsi="Arial" w:cs="Arial"/>
                <w:sz w:val="20"/>
                <w:szCs w:val="20"/>
              </w:rPr>
              <w:t>Anatomic and Clinical Pathology</w:t>
            </w:r>
          </w:p>
        </w:tc>
        <w:tc>
          <w:tcPr>
            <w:tcW w:w="5682" w:type="dxa"/>
          </w:tcPr>
          <w:p w14:paraId="2CD323FB" w14:textId="77777777" w:rsidR="007444EC" w:rsidRPr="00B01F9E" w:rsidRDefault="007444EC" w:rsidP="00D27791">
            <w:pPr>
              <w:rPr>
                <w:rFonts w:ascii="Arial" w:hAnsi="Arial" w:cs="Arial"/>
                <w:b/>
                <w:bCs/>
                <w:sz w:val="20"/>
                <w:szCs w:val="20"/>
              </w:rPr>
            </w:pPr>
            <w:r w:rsidRPr="00B01F9E">
              <w:rPr>
                <w:rFonts w:ascii="Arial" w:hAnsi="Arial" w:cs="Arial"/>
                <w:b/>
                <w:sz w:val="20"/>
                <w:szCs w:val="20"/>
              </w:rPr>
              <w:t xml:space="preserve">Toxicology </w:t>
            </w:r>
            <w:r w:rsidRPr="00B01F9E">
              <w:rPr>
                <w:rFonts w:ascii="Arial" w:hAnsi="Arial" w:cs="Arial"/>
                <w:sz w:val="20"/>
                <w:szCs w:val="20"/>
              </w:rPr>
              <w:t>with Qualitative and Quantitative Results used for Autopsy Reporting</w:t>
            </w:r>
          </w:p>
        </w:tc>
      </w:tr>
      <w:tr w:rsidR="007444EC" w:rsidRPr="00B01F9E" w14:paraId="60067F06" w14:textId="77777777" w:rsidTr="00D27791">
        <w:trPr>
          <w:trHeight w:val="116"/>
        </w:trPr>
        <w:tc>
          <w:tcPr>
            <w:tcW w:w="2948" w:type="dxa"/>
          </w:tcPr>
          <w:p w14:paraId="26DBCE2F" w14:textId="77777777" w:rsidR="007444EC" w:rsidRPr="00B01F9E" w:rsidRDefault="007444EC" w:rsidP="00D27791">
            <w:pPr>
              <w:rPr>
                <w:rFonts w:ascii="Arial" w:hAnsi="Arial" w:cs="Arial"/>
                <w:sz w:val="20"/>
                <w:szCs w:val="20"/>
              </w:rPr>
            </w:pPr>
            <w:r w:rsidRPr="00B01F9E">
              <w:rPr>
                <w:rFonts w:ascii="Arial" w:hAnsi="Arial" w:cs="Arial"/>
                <w:sz w:val="20"/>
                <w:szCs w:val="20"/>
              </w:rPr>
              <w:t>Clinical Pathology</w:t>
            </w:r>
          </w:p>
        </w:tc>
        <w:tc>
          <w:tcPr>
            <w:tcW w:w="5682" w:type="dxa"/>
          </w:tcPr>
          <w:p w14:paraId="5981B4EB" w14:textId="77777777" w:rsidR="007444EC" w:rsidRPr="00B01F9E" w:rsidRDefault="007444EC" w:rsidP="00D27791">
            <w:pPr>
              <w:rPr>
                <w:rFonts w:ascii="Arial" w:hAnsi="Arial" w:cs="Arial"/>
                <w:b/>
                <w:bCs/>
                <w:sz w:val="20"/>
                <w:szCs w:val="20"/>
              </w:rPr>
            </w:pPr>
            <w:r w:rsidRPr="00B01F9E">
              <w:rPr>
                <w:rFonts w:ascii="Arial" w:hAnsi="Arial" w:cs="Arial"/>
                <w:b/>
                <w:sz w:val="20"/>
                <w:szCs w:val="20"/>
              </w:rPr>
              <w:t>Blood Culture</w:t>
            </w:r>
            <w:r w:rsidRPr="00B01F9E">
              <w:rPr>
                <w:rFonts w:ascii="Arial" w:hAnsi="Arial" w:cs="Arial"/>
                <w:sz w:val="20"/>
                <w:szCs w:val="20"/>
              </w:rPr>
              <w:t xml:space="preserve"> with Microorganism Identification and Antimicrobial Susceptibility</w:t>
            </w:r>
          </w:p>
        </w:tc>
      </w:tr>
    </w:tbl>
    <w:p w14:paraId="2CB5F6EA" w14:textId="597A7E88" w:rsidR="00C462F5" w:rsidRPr="00B01F9E" w:rsidRDefault="00C462F5" w:rsidP="005F1D64">
      <w:pPr>
        <w:spacing w:after="120"/>
        <w:rPr>
          <w:rFonts w:ascii="Arial" w:hAnsi="Arial" w:cs="Arial"/>
          <w:sz w:val="20"/>
          <w:szCs w:val="20"/>
        </w:rPr>
      </w:pPr>
      <w:r w:rsidRPr="00B01F9E">
        <w:rPr>
          <w:rFonts w:ascii="Arial" w:hAnsi="Arial" w:cs="Arial"/>
          <w:sz w:val="20"/>
          <w:szCs w:val="20"/>
        </w:rPr>
        <w:t>Note: Refer to attached Excel file for details of ANF use cases</w:t>
      </w:r>
      <w:r w:rsidR="00356FC3" w:rsidRPr="00B01F9E">
        <w:rPr>
          <w:rFonts w:ascii="Arial" w:hAnsi="Arial" w:cs="Arial"/>
          <w:sz w:val="20"/>
          <w:szCs w:val="20"/>
        </w:rPr>
        <w:t xml:space="preserve"> (</w:t>
      </w:r>
      <w:hyperlink w:anchor="_7.3.3_ANF_Supplemental" w:history="1">
        <w:r w:rsidR="00356FC3" w:rsidRPr="00B01F9E">
          <w:rPr>
            <w:rStyle w:val="Hyperlink"/>
            <w:rFonts w:ascii="Arial" w:hAnsi="Arial" w:cs="Arial"/>
            <w:sz w:val="20"/>
            <w:szCs w:val="20"/>
          </w:rPr>
          <w:t xml:space="preserve">Section </w:t>
        </w:r>
        <w:r w:rsidR="00322C54" w:rsidRPr="00B01F9E">
          <w:rPr>
            <w:rStyle w:val="Hyperlink"/>
            <w:rFonts w:ascii="Arial" w:hAnsi="Arial" w:cs="Arial"/>
            <w:sz w:val="20"/>
            <w:szCs w:val="20"/>
          </w:rPr>
          <w:t>7</w:t>
        </w:r>
        <w:r w:rsidR="00356FC3" w:rsidRPr="00B01F9E">
          <w:rPr>
            <w:rStyle w:val="Hyperlink"/>
            <w:rFonts w:ascii="Arial" w:hAnsi="Arial" w:cs="Arial"/>
            <w:sz w:val="20"/>
            <w:szCs w:val="20"/>
          </w:rPr>
          <w:t>.3.3</w:t>
        </w:r>
      </w:hyperlink>
      <w:r w:rsidR="00356FC3" w:rsidRPr="00B01F9E">
        <w:rPr>
          <w:rFonts w:ascii="Arial" w:hAnsi="Arial" w:cs="Arial"/>
          <w:sz w:val="20"/>
          <w:szCs w:val="20"/>
        </w:rPr>
        <w:t>)</w:t>
      </w:r>
      <w:r w:rsidRPr="00B01F9E">
        <w:rPr>
          <w:rFonts w:ascii="Arial" w:hAnsi="Arial" w:cs="Arial"/>
          <w:sz w:val="20"/>
          <w:szCs w:val="20"/>
        </w:rPr>
        <w:t>. The Excel tab name that corresponds to the use case is highlighted in bold.</w:t>
      </w:r>
      <w:r w:rsidR="008A4872" w:rsidRPr="00B01F9E">
        <w:rPr>
          <w:rFonts w:ascii="Arial" w:hAnsi="Arial" w:cs="Arial"/>
          <w:sz w:val="20"/>
          <w:szCs w:val="20"/>
        </w:rPr>
        <w:t xml:space="preserve"> </w:t>
      </w:r>
      <w:r w:rsidR="001521B8" w:rsidRPr="00B01F9E">
        <w:rPr>
          <w:rFonts w:ascii="Arial" w:hAnsi="Arial" w:cs="Arial"/>
          <w:sz w:val="20"/>
          <w:szCs w:val="20"/>
        </w:rPr>
        <w:t xml:space="preserve">The Blood Culture use case is embedded in </w:t>
      </w:r>
      <w:r w:rsidR="00855035" w:rsidRPr="00B01F9E">
        <w:rPr>
          <w:rFonts w:ascii="Arial" w:hAnsi="Arial" w:cs="Arial"/>
          <w:sz w:val="20"/>
          <w:szCs w:val="20"/>
        </w:rPr>
        <w:t>Excel</w:t>
      </w:r>
      <w:r w:rsidR="00BD561F" w:rsidRPr="00B01F9E">
        <w:rPr>
          <w:rFonts w:ascii="Arial" w:hAnsi="Arial" w:cs="Arial"/>
          <w:sz w:val="20"/>
          <w:szCs w:val="20"/>
        </w:rPr>
        <w:t>-</w:t>
      </w:r>
      <w:r w:rsidR="00855035" w:rsidRPr="00B01F9E">
        <w:rPr>
          <w:rFonts w:ascii="Arial" w:hAnsi="Arial" w:cs="Arial"/>
          <w:sz w:val="20"/>
          <w:szCs w:val="20"/>
        </w:rPr>
        <w:t xml:space="preserve"> </w:t>
      </w:r>
      <w:r w:rsidR="00855035" w:rsidRPr="00B01F9E">
        <w:rPr>
          <w:rFonts w:ascii="Arial" w:hAnsi="Arial" w:cs="Arial"/>
          <w:i/>
          <w:iCs/>
          <w:sz w:val="20"/>
          <w:szCs w:val="20"/>
        </w:rPr>
        <w:t>4.0 Complete Blood Count</w:t>
      </w:r>
      <w:r w:rsidR="00855035" w:rsidRPr="00B01F9E">
        <w:rPr>
          <w:rFonts w:ascii="Arial" w:hAnsi="Arial" w:cs="Arial"/>
          <w:sz w:val="20"/>
          <w:szCs w:val="20"/>
        </w:rPr>
        <w:t>.</w:t>
      </w:r>
    </w:p>
    <w:p w14:paraId="5BCE28B4" w14:textId="05695175" w:rsidR="00C462F5" w:rsidRPr="00B01F9E" w:rsidRDefault="00C462F5" w:rsidP="005F1D64">
      <w:pPr>
        <w:spacing w:after="120"/>
        <w:rPr>
          <w:rFonts w:ascii="Arial" w:hAnsi="Arial" w:cs="Arial"/>
          <w:sz w:val="20"/>
          <w:szCs w:val="20"/>
        </w:rPr>
      </w:pPr>
      <w:r w:rsidRPr="00B01F9E">
        <w:rPr>
          <w:rFonts w:ascii="Arial" w:hAnsi="Arial" w:cs="Arial"/>
          <w:sz w:val="20"/>
          <w:szCs w:val="20"/>
        </w:rPr>
        <w:t xml:space="preserve">The CAP utilized the following documents to assist in understanding the current state of ANF: </w:t>
      </w:r>
      <w:r w:rsidR="00001B15" w:rsidRPr="00B01F9E">
        <w:rPr>
          <w:rFonts w:ascii="Arial" w:eastAsia="Calibri" w:hAnsi="Arial" w:cs="Arial"/>
          <w:kern w:val="2"/>
          <w:sz w:val="20"/>
          <w:szCs w:val="20"/>
          <w14:ligatures w14:val="standardContextual"/>
        </w:rPr>
        <w:t>ANF User Guide</w:t>
      </w:r>
      <w:r w:rsidR="004767B4" w:rsidRPr="00B01F9E">
        <w:rPr>
          <w:rFonts w:ascii="Arial" w:eastAsia="Calibri" w:hAnsi="Arial" w:cs="Arial"/>
          <w:kern w:val="2"/>
          <w:sz w:val="20"/>
          <w:szCs w:val="20"/>
          <w14:ligatures w14:val="standardContextual"/>
        </w:rPr>
        <w:t>,</w:t>
      </w:r>
      <w:bookmarkStart w:id="370" w:name="_Ref176420024"/>
      <w:r w:rsidR="006B49C1" w:rsidRPr="00B01F9E">
        <w:rPr>
          <w:rFonts w:ascii="Arial" w:eastAsia="Calibri" w:hAnsi="Arial" w:cs="Arial"/>
          <w:kern w:val="2"/>
          <w:sz w:val="20"/>
          <w:szCs w:val="20"/>
          <w:vertAlign w:val="superscript"/>
          <w14:ligatures w14:val="standardContextual"/>
        </w:rPr>
        <w:t>7</w:t>
      </w:r>
      <w:bookmarkEnd w:id="370"/>
      <w:r w:rsidR="00001B15" w:rsidRPr="00B01F9E">
        <w:rPr>
          <w:rFonts w:ascii="Arial" w:eastAsia="Calibri" w:hAnsi="Arial" w:cs="Arial"/>
          <w:kern w:val="2"/>
          <w:sz w:val="20"/>
          <w:szCs w:val="20"/>
          <w14:ligatures w14:val="standardContextual"/>
        </w:rPr>
        <w:t xml:space="preserve"> HL7 ANF Ballot</w:t>
      </w:r>
      <w:r w:rsidR="004767B4" w:rsidRPr="00B01F9E">
        <w:rPr>
          <w:rFonts w:ascii="Arial" w:eastAsia="Calibri" w:hAnsi="Arial" w:cs="Arial"/>
          <w:kern w:val="2"/>
          <w:sz w:val="20"/>
          <w:szCs w:val="20"/>
          <w14:ligatures w14:val="standardContextual"/>
        </w:rPr>
        <w:t>,</w:t>
      </w:r>
      <w:r w:rsidR="006B49C1" w:rsidRPr="00B01F9E">
        <w:rPr>
          <w:rFonts w:ascii="Arial" w:eastAsia="Calibri" w:hAnsi="Arial" w:cs="Arial"/>
          <w:kern w:val="2"/>
          <w:sz w:val="20"/>
          <w:szCs w:val="20"/>
          <w:vertAlign w:val="superscript"/>
          <w14:ligatures w14:val="standardContextual"/>
        </w:rPr>
        <w:t>6</w:t>
      </w:r>
      <w:r w:rsidR="00001B15" w:rsidRPr="00B01F9E">
        <w:rPr>
          <w:rFonts w:ascii="Arial" w:eastAsia="Calibri" w:hAnsi="Arial" w:cs="Arial"/>
          <w:kern w:val="2"/>
          <w:sz w:val="20"/>
          <w:szCs w:val="20"/>
          <w14:ligatures w14:val="standardContextual"/>
        </w:rPr>
        <w:t xml:space="preserve"> and Clinical Information Modeling Initiative </w:t>
      </w:r>
      <w:bookmarkStart w:id="371" w:name="_Ref176358647"/>
      <w:r w:rsidR="00001B15" w:rsidRPr="00B01F9E">
        <w:rPr>
          <w:rFonts w:ascii="Arial" w:eastAsia="Calibri" w:hAnsi="Arial" w:cs="Arial"/>
          <w:kern w:val="2"/>
          <w:sz w:val="20"/>
          <w:szCs w:val="20"/>
          <w14:ligatures w14:val="standardContextual"/>
        </w:rPr>
        <w:t>(</w:t>
      </w:r>
      <w:bookmarkEnd w:id="371"/>
      <w:r w:rsidR="00001B15" w:rsidRPr="00B01F9E">
        <w:rPr>
          <w:rFonts w:ascii="Arial" w:eastAsia="Calibri" w:hAnsi="Arial" w:cs="Arial"/>
          <w:kern w:val="2"/>
          <w:sz w:val="20"/>
          <w:szCs w:val="20"/>
          <w14:ligatures w14:val="standardContextual"/>
        </w:rPr>
        <w:t>CIMI)</w:t>
      </w:r>
      <w:r w:rsidR="004767B4" w:rsidRPr="00B01F9E">
        <w:rPr>
          <w:rFonts w:ascii="Arial" w:eastAsia="Calibri" w:hAnsi="Arial" w:cs="Arial"/>
          <w:kern w:val="2"/>
          <w:sz w:val="20"/>
          <w:szCs w:val="20"/>
          <w14:ligatures w14:val="standardContextual"/>
        </w:rPr>
        <w:t>.</w:t>
      </w:r>
      <w:bookmarkStart w:id="372" w:name="_Ref175585073"/>
      <w:bookmarkStart w:id="373" w:name="_Ref176858447"/>
      <w:r w:rsidR="006B49C1" w:rsidRPr="00B01F9E">
        <w:rPr>
          <w:rFonts w:ascii="Arial" w:eastAsia="Calibri" w:hAnsi="Arial" w:cs="Arial"/>
          <w:kern w:val="2"/>
          <w:sz w:val="20"/>
          <w:szCs w:val="20"/>
          <w:vertAlign w:val="superscript"/>
          <w14:ligatures w14:val="standardContextual"/>
        </w:rPr>
        <w:t>8</w:t>
      </w:r>
      <w:bookmarkEnd w:id="372"/>
      <w:bookmarkEnd w:id="373"/>
      <w:r w:rsidRPr="00B01F9E">
        <w:rPr>
          <w:rFonts w:ascii="Arial" w:hAnsi="Arial" w:cs="Arial"/>
          <w:sz w:val="20"/>
          <w:szCs w:val="20"/>
        </w:rPr>
        <w:t xml:space="preserve"> A list of ANF data elements used for ANF statements was derived from these documents, based on the type of “circumstance” the statement describes.</w:t>
      </w:r>
    </w:p>
    <w:p w14:paraId="7D82528A" w14:textId="2FF86B9D" w:rsidR="00052D6C" w:rsidRPr="00B01F9E" w:rsidRDefault="009F1F82" w:rsidP="005F1D64">
      <w:pPr>
        <w:pStyle w:val="Heading2"/>
        <w:spacing w:before="0" w:after="120"/>
        <w:rPr>
          <w:rFonts w:ascii="Arial" w:hAnsi="Arial" w:cs="Arial"/>
          <w:b/>
          <w:bCs/>
          <w:color w:val="009BBF"/>
          <w:sz w:val="20"/>
          <w:szCs w:val="20"/>
        </w:rPr>
      </w:pPr>
      <w:bookmarkStart w:id="374" w:name="_Toc177137013"/>
      <w:r w:rsidRPr="00B01F9E">
        <w:rPr>
          <w:rFonts w:ascii="Arial" w:hAnsi="Arial" w:cs="Arial"/>
          <w:b/>
          <w:bCs/>
          <w:color w:val="009BBF"/>
          <w:sz w:val="20"/>
          <w:szCs w:val="20"/>
        </w:rPr>
        <w:t>5</w:t>
      </w:r>
      <w:r w:rsidR="00052D6C" w:rsidRPr="00B01F9E">
        <w:rPr>
          <w:rFonts w:ascii="Arial" w:hAnsi="Arial" w:cs="Arial"/>
          <w:b/>
          <w:bCs/>
          <w:color w:val="009BBF"/>
          <w:sz w:val="20"/>
          <w:szCs w:val="20"/>
        </w:rPr>
        <w:t xml:space="preserve">.2 </w:t>
      </w:r>
      <w:r w:rsidR="008425E8" w:rsidRPr="00B01F9E">
        <w:rPr>
          <w:rFonts w:ascii="Arial" w:hAnsi="Arial" w:cs="Arial"/>
          <w:b/>
          <w:bCs/>
          <w:color w:val="009BBF"/>
          <w:sz w:val="20"/>
          <w:szCs w:val="20"/>
        </w:rPr>
        <w:t xml:space="preserve">ANF Process </w:t>
      </w:r>
      <w:r w:rsidR="003F7A82" w:rsidRPr="00B01F9E">
        <w:rPr>
          <w:rFonts w:ascii="Arial" w:hAnsi="Arial" w:cs="Arial"/>
          <w:b/>
          <w:bCs/>
          <w:color w:val="009BBF"/>
          <w:sz w:val="20"/>
          <w:szCs w:val="20"/>
        </w:rPr>
        <w:t>and Outcomes</w:t>
      </w:r>
      <w:bookmarkEnd w:id="374"/>
    </w:p>
    <w:p w14:paraId="512E41A0" w14:textId="77777777" w:rsidR="00A14788" w:rsidRPr="00B01F9E" w:rsidRDefault="00A14788" w:rsidP="005F1D64">
      <w:pPr>
        <w:spacing w:after="120"/>
        <w:rPr>
          <w:rFonts w:ascii="Arial" w:hAnsi="Arial" w:cs="Arial"/>
          <w:b/>
          <w:bCs/>
          <w:sz w:val="20"/>
          <w:szCs w:val="20"/>
        </w:rPr>
      </w:pPr>
      <w:r w:rsidRPr="00B01F9E">
        <w:rPr>
          <w:rFonts w:ascii="Arial" w:hAnsi="Arial" w:cs="Arial"/>
          <w:b/>
          <w:bCs/>
          <w:sz w:val="20"/>
          <w:szCs w:val="20"/>
        </w:rPr>
        <w:t>Process Overview and Rationale for Evaluating ANF Elements</w:t>
      </w:r>
    </w:p>
    <w:p w14:paraId="23EC7314" w14:textId="33F05295" w:rsidR="009F383A" w:rsidRPr="00B01F9E" w:rsidRDefault="009F383A" w:rsidP="00F51F6A">
      <w:pPr>
        <w:spacing w:after="120"/>
        <w:rPr>
          <w:rFonts w:ascii="Arial" w:hAnsi="Arial" w:cs="Arial"/>
          <w:sz w:val="20"/>
          <w:szCs w:val="20"/>
        </w:rPr>
      </w:pPr>
      <w:r w:rsidRPr="00B01F9E">
        <w:rPr>
          <w:rFonts w:ascii="Arial" w:hAnsi="Arial" w:cs="Arial"/>
          <w:sz w:val="20"/>
          <w:szCs w:val="20"/>
        </w:rPr>
        <w:t xml:space="preserve">To evaluate the applicability of ANF data elements to pathology and laboratory medicine, a team was constructed with subject matter experts (SMEs) from the CP laboratory and the AP laboratory. Each SME was tasked to independently align </w:t>
      </w:r>
      <w:r w:rsidR="00DC142C" w:rsidRPr="00B01F9E">
        <w:rPr>
          <w:rFonts w:ascii="Arial" w:hAnsi="Arial" w:cs="Arial"/>
          <w:sz w:val="20"/>
          <w:szCs w:val="20"/>
        </w:rPr>
        <w:t xml:space="preserve">commonly used </w:t>
      </w:r>
      <w:r w:rsidRPr="00B01F9E">
        <w:rPr>
          <w:rFonts w:ascii="Arial" w:hAnsi="Arial" w:cs="Arial"/>
          <w:sz w:val="20"/>
          <w:szCs w:val="20"/>
        </w:rPr>
        <w:t>laboratory term</w:t>
      </w:r>
      <w:r w:rsidR="00DC142C" w:rsidRPr="00B01F9E">
        <w:rPr>
          <w:rFonts w:ascii="Arial" w:hAnsi="Arial" w:cs="Arial"/>
          <w:sz w:val="20"/>
          <w:szCs w:val="20"/>
        </w:rPr>
        <w:t>s</w:t>
      </w:r>
      <w:r w:rsidRPr="00B01F9E">
        <w:rPr>
          <w:rFonts w:ascii="Arial" w:hAnsi="Arial" w:cs="Arial"/>
          <w:sz w:val="20"/>
          <w:szCs w:val="20"/>
        </w:rPr>
        <w:t xml:space="preserve"> to the corresponding ANF </w:t>
      </w:r>
      <w:r w:rsidR="003938B6" w:rsidRPr="00B01F9E">
        <w:rPr>
          <w:rFonts w:ascii="Arial" w:hAnsi="Arial" w:cs="Arial"/>
          <w:sz w:val="20"/>
          <w:szCs w:val="20"/>
        </w:rPr>
        <w:t xml:space="preserve">data </w:t>
      </w:r>
      <w:r w:rsidRPr="00B01F9E">
        <w:rPr>
          <w:rFonts w:ascii="Arial" w:hAnsi="Arial" w:cs="Arial"/>
          <w:sz w:val="20"/>
          <w:szCs w:val="20"/>
        </w:rPr>
        <w:t>elements using the use cases listed in Table 1</w:t>
      </w:r>
      <w:r w:rsidR="0017372F" w:rsidRPr="00B01F9E">
        <w:rPr>
          <w:rFonts w:ascii="Arial" w:hAnsi="Arial" w:cs="Arial"/>
          <w:sz w:val="20"/>
          <w:szCs w:val="20"/>
        </w:rPr>
        <w:t>3</w:t>
      </w:r>
      <w:r w:rsidRPr="00B01F9E">
        <w:rPr>
          <w:rFonts w:ascii="Arial" w:hAnsi="Arial" w:cs="Arial"/>
          <w:sz w:val="20"/>
          <w:szCs w:val="20"/>
        </w:rPr>
        <w:t xml:space="preserve">. The outcome was considerable divergence between the two SME interpretations of the initially defined </w:t>
      </w:r>
      <w:r w:rsidR="006A251D" w:rsidRPr="00B01F9E">
        <w:rPr>
          <w:rFonts w:ascii="Arial" w:hAnsi="Arial" w:cs="Arial"/>
          <w:sz w:val="20"/>
          <w:szCs w:val="20"/>
        </w:rPr>
        <w:t xml:space="preserve">ANF </w:t>
      </w:r>
      <w:r w:rsidRPr="00B01F9E">
        <w:rPr>
          <w:rFonts w:ascii="Arial" w:hAnsi="Arial" w:cs="Arial"/>
          <w:sz w:val="20"/>
          <w:szCs w:val="20"/>
        </w:rPr>
        <w:t xml:space="preserve">data elements. </w:t>
      </w:r>
    </w:p>
    <w:p w14:paraId="41079D08" w14:textId="5384AFCB" w:rsidR="009F383A" w:rsidRPr="00B01F9E" w:rsidRDefault="009F383A" w:rsidP="00F51F6A">
      <w:pPr>
        <w:spacing w:after="120"/>
        <w:rPr>
          <w:rFonts w:ascii="Arial" w:hAnsi="Arial" w:cs="Arial"/>
          <w:sz w:val="20"/>
          <w:szCs w:val="20"/>
        </w:rPr>
      </w:pPr>
      <w:r w:rsidRPr="00B01F9E">
        <w:rPr>
          <w:rFonts w:ascii="Arial" w:hAnsi="Arial" w:cs="Arial"/>
          <w:sz w:val="20"/>
          <w:szCs w:val="20"/>
        </w:rPr>
        <w:t xml:space="preserve">This output generated substantial debate without a useful consensus. The team concluded that the original ANF data elements had significant overlap with terms currently used in laboratory workflows, albeit with slightly different meanings in the AP versus the CP laboratory. </w:t>
      </w:r>
      <w:bookmarkStart w:id="375" w:name="_Int_8RHw0Oom"/>
      <w:r w:rsidRPr="00B01F9E">
        <w:rPr>
          <w:rFonts w:ascii="Arial" w:hAnsi="Arial" w:cs="Arial"/>
          <w:sz w:val="20"/>
          <w:szCs w:val="20"/>
        </w:rPr>
        <w:t xml:space="preserve">As a result, the use of these </w:t>
      </w:r>
      <w:r w:rsidR="006A251D" w:rsidRPr="00B01F9E">
        <w:rPr>
          <w:rFonts w:ascii="Arial" w:hAnsi="Arial" w:cs="Arial"/>
          <w:sz w:val="20"/>
          <w:szCs w:val="20"/>
        </w:rPr>
        <w:t xml:space="preserve">laboratory </w:t>
      </w:r>
      <w:r w:rsidRPr="00B01F9E">
        <w:rPr>
          <w:rFonts w:ascii="Arial" w:hAnsi="Arial" w:cs="Arial"/>
          <w:sz w:val="20"/>
          <w:szCs w:val="20"/>
        </w:rPr>
        <w:t xml:space="preserve">terms as </w:t>
      </w:r>
      <w:r w:rsidR="006A251D" w:rsidRPr="00B01F9E">
        <w:rPr>
          <w:rFonts w:ascii="Arial" w:hAnsi="Arial" w:cs="Arial"/>
          <w:sz w:val="20"/>
          <w:szCs w:val="20"/>
        </w:rPr>
        <w:t xml:space="preserve">ANF </w:t>
      </w:r>
      <w:r w:rsidRPr="00B01F9E">
        <w:rPr>
          <w:rFonts w:ascii="Arial" w:hAnsi="Arial" w:cs="Arial"/>
          <w:sz w:val="20"/>
          <w:szCs w:val="20"/>
        </w:rPr>
        <w:t>data elements introduced user bias and conflicting interpretations.</w:t>
      </w:r>
      <w:bookmarkEnd w:id="375"/>
      <w:r w:rsidRPr="00B01F9E">
        <w:rPr>
          <w:rFonts w:ascii="Arial" w:hAnsi="Arial" w:cs="Arial"/>
          <w:sz w:val="20"/>
          <w:szCs w:val="20"/>
        </w:rPr>
        <w:t xml:space="preserve"> </w:t>
      </w:r>
    </w:p>
    <w:p w14:paraId="5C2022C8" w14:textId="55E16B9A" w:rsidR="009F383A" w:rsidRPr="00B01F9E" w:rsidRDefault="009F383A" w:rsidP="00F51F6A">
      <w:pPr>
        <w:spacing w:after="120"/>
        <w:rPr>
          <w:rFonts w:ascii="Arial" w:hAnsi="Arial" w:cs="Arial"/>
          <w:sz w:val="20"/>
          <w:szCs w:val="20"/>
        </w:rPr>
      </w:pPr>
      <w:r w:rsidRPr="00B01F9E">
        <w:rPr>
          <w:rFonts w:ascii="Arial" w:hAnsi="Arial" w:cs="Arial"/>
          <w:sz w:val="20"/>
          <w:szCs w:val="20"/>
        </w:rPr>
        <w:t>The basic philosophy of ANF is to apply generic elements to any field of medicine. To adjust the approach, the team extended the exercise of evaluating the ANF elements by using WHO, WHAT, WHEN, WHERE, WHY, and HOW (W</w:t>
      </w:r>
      <w:r w:rsidRPr="00B01F9E">
        <w:rPr>
          <w:rFonts w:ascii="Arial" w:hAnsi="Arial" w:cs="Arial"/>
          <w:sz w:val="20"/>
          <w:szCs w:val="20"/>
          <w:vertAlign w:val="subscript"/>
        </w:rPr>
        <w:t>5</w:t>
      </w:r>
      <w:r w:rsidRPr="00B01F9E">
        <w:rPr>
          <w:rFonts w:ascii="Arial" w:hAnsi="Arial" w:cs="Arial"/>
          <w:sz w:val="20"/>
          <w:szCs w:val="20"/>
        </w:rPr>
        <w:t>H) as the basic questions for any medical encounter. This dr</w:t>
      </w:r>
      <w:r w:rsidR="002B6E4D" w:rsidRPr="00B01F9E">
        <w:rPr>
          <w:rFonts w:ascii="Arial" w:hAnsi="Arial" w:cs="Arial"/>
          <w:sz w:val="20"/>
          <w:szCs w:val="20"/>
        </w:rPr>
        <w:t>e</w:t>
      </w:r>
      <w:r w:rsidRPr="00B01F9E">
        <w:rPr>
          <w:rFonts w:ascii="Arial" w:hAnsi="Arial" w:cs="Arial"/>
          <w:sz w:val="20"/>
          <w:szCs w:val="20"/>
        </w:rPr>
        <w:t>w upon the original philosophy of ANF as first envisioned by the Solor project. This approach was more successful because both SMEs independently reached very similar conclusions when answering the questions for the laboratory use cases.</w:t>
      </w:r>
    </w:p>
    <w:p w14:paraId="57E33B8E" w14:textId="11914EB0" w:rsidR="009F383A" w:rsidRPr="00B01F9E" w:rsidRDefault="00BD5658" w:rsidP="005F1D64">
      <w:pPr>
        <w:spacing w:after="120"/>
        <w:rPr>
          <w:rFonts w:ascii="Arial" w:hAnsi="Arial" w:cs="Arial"/>
          <w:sz w:val="20"/>
          <w:szCs w:val="20"/>
        </w:rPr>
      </w:pPr>
      <w:r w:rsidRPr="00B01F9E">
        <w:rPr>
          <w:rFonts w:ascii="Arial" w:hAnsi="Arial" w:cs="Arial"/>
          <w:sz w:val="20"/>
          <w:szCs w:val="20"/>
        </w:rPr>
        <w:lastRenderedPageBreak/>
        <w:t>The CAP initially</w:t>
      </w:r>
      <w:r w:rsidR="00324C83" w:rsidRPr="00B01F9E">
        <w:rPr>
          <w:rFonts w:ascii="Arial" w:hAnsi="Arial" w:cs="Arial"/>
          <w:sz w:val="20"/>
          <w:szCs w:val="20"/>
        </w:rPr>
        <w:t xml:space="preserve"> </w:t>
      </w:r>
      <w:r w:rsidR="009F383A" w:rsidRPr="00B01F9E">
        <w:rPr>
          <w:rFonts w:ascii="Arial" w:hAnsi="Arial" w:cs="Arial"/>
          <w:sz w:val="20"/>
          <w:szCs w:val="20"/>
        </w:rPr>
        <w:t>recommended explor</w:t>
      </w:r>
      <w:r w:rsidR="00324C83" w:rsidRPr="00B01F9E">
        <w:rPr>
          <w:rFonts w:ascii="Arial" w:hAnsi="Arial" w:cs="Arial"/>
          <w:sz w:val="20"/>
          <w:szCs w:val="20"/>
        </w:rPr>
        <w:t>ing</w:t>
      </w:r>
      <w:r w:rsidR="009F383A" w:rsidRPr="00B01F9E">
        <w:rPr>
          <w:rFonts w:ascii="Arial" w:hAnsi="Arial" w:cs="Arial"/>
          <w:sz w:val="20"/>
          <w:szCs w:val="20"/>
        </w:rPr>
        <w:t xml:space="preserve"> the use of these questions for grouping</w:t>
      </w:r>
      <w:r w:rsidR="006A251D" w:rsidRPr="00B01F9E">
        <w:rPr>
          <w:rFonts w:ascii="Arial" w:hAnsi="Arial" w:cs="Arial"/>
          <w:sz w:val="20"/>
          <w:szCs w:val="20"/>
        </w:rPr>
        <w:t xml:space="preserve"> ANF</w:t>
      </w:r>
      <w:r w:rsidR="009F383A" w:rsidRPr="00B01F9E">
        <w:rPr>
          <w:rFonts w:ascii="Arial" w:hAnsi="Arial" w:cs="Arial"/>
          <w:sz w:val="20"/>
          <w:szCs w:val="20"/>
        </w:rPr>
        <w:t xml:space="preserve"> data elements in ANF across all medical specialties as they cover the spectrum of the data being collected. More importantly, because they do not have inherent overlap with existing medical terminologies, they neither led to user bias, nor d</w:t>
      </w:r>
      <w:r w:rsidR="002B6E4D" w:rsidRPr="00B01F9E">
        <w:rPr>
          <w:rFonts w:ascii="Arial" w:hAnsi="Arial" w:cs="Arial"/>
          <w:sz w:val="20"/>
          <w:szCs w:val="20"/>
        </w:rPr>
        <w:t>id</w:t>
      </w:r>
      <w:r w:rsidR="009F383A" w:rsidRPr="00B01F9E">
        <w:rPr>
          <w:rFonts w:ascii="Arial" w:hAnsi="Arial" w:cs="Arial"/>
          <w:sz w:val="20"/>
          <w:szCs w:val="20"/>
        </w:rPr>
        <w:t xml:space="preserve"> they engender a defensive resistance to change based on the need to learn or apply a new vocabulary. WHO, WHAT, WHEN, WHERE, WHY, and HOW are basic tenets of a narrative that are well understood but are not owned in any way by a particular medical practice. The CAP recommend</w:t>
      </w:r>
      <w:r w:rsidR="00141BAB" w:rsidRPr="00B01F9E">
        <w:rPr>
          <w:rFonts w:ascii="Arial" w:hAnsi="Arial" w:cs="Arial"/>
          <w:sz w:val="20"/>
          <w:szCs w:val="20"/>
        </w:rPr>
        <w:t>ed</w:t>
      </w:r>
      <w:r w:rsidR="009F383A" w:rsidRPr="00B01F9E">
        <w:rPr>
          <w:rFonts w:ascii="Arial" w:hAnsi="Arial" w:cs="Arial"/>
          <w:sz w:val="20"/>
          <w:szCs w:val="20"/>
        </w:rPr>
        <w:t xml:space="preserve"> continuing with the exercise using these questions as the basic framework for ANF. </w:t>
      </w:r>
    </w:p>
    <w:p w14:paraId="5216639C" w14:textId="077D4153" w:rsidR="009F383A" w:rsidRPr="00B01F9E" w:rsidRDefault="009F383A" w:rsidP="005F1D64">
      <w:pPr>
        <w:spacing w:after="120"/>
        <w:rPr>
          <w:rFonts w:ascii="Arial" w:hAnsi="Arial" w:cs="Arial"/>
          <w:sz w:val="20"/>
          <w:szCs w:val="20"/>
        </w:rPr>
      </w:pPr>
      <w:r w:rsidRPr="00B01F9E">
        <w:rPr>
          <w:rFonts w:ascii="Arial" w:hAnsi="Arial" w:cs="Arial"/>
          <w:b/>
          <w:bCs/>
          <w:sz w:val="20"/>
          <w:szCs w:val="20"/>
        </w:rPr>
        <w:t>Development of Use Cases as ANF Statements</w:t>
      </w:r>
    </w:p>
    <w:p w14:paraId="335BD48D" w14:textId="52AD970D" w:rsidR="009F383A" w:rsidRPr="00B01F9E" w:rsidRDefault="002B6E4D" w:rsidP="005F1D64">
      <w:pPr>
        <w:spacing w:after="120"/>
        <w:rPr>
          <w:rFonts w:ascii="Arial" w:hAnsi="Arial" w:cs="Arial"/>
          <w:bCs/>
          <w:sz w:val="20"/>
          <w:szCs w:val="20"/>
        </w:rPr>
      </w:pPr>
      <w:r w:rsidRPr="00B01F9E">
        <w:rPr>
          <w:rFonts w:ascii="Arial" w:hAnsi="Arial" w:cs="Arial"/>
          <w:sz w:val="20"/>
          <w:szCs w:val="20"/>
        </w:rPr>
        <w:t>U</w:t>
      </w:r>
      <w:r w:rsidR="00FF0B2B" w:rsidRPr="00B01F9E">
        <w:rPr>
          <w:rFonts w:ascii="Arial" w:hAnsi="Arial" w:cs="Arial"/>
          <w:sz w:val="20"/>
          <w:szCs w:val="20"/>
        </w:rPr>
        <w:t>tilizing</w:t>
      </w:r>
      <w:r w:rsidRPr="00B01F9E">
        <w:rPr>
          <w:rFonts w:ascii="Arial" w:hAnsi="Arial" w:cs="Arial"/>
          <w:sz w:val="20"/>
          <w:szCs w:val="20"/>
        </w:rPr>
        <w:t xml:space="preserve"> the </w:t>
      </w:r>
      <w:r w:rsidR="007430D5" w:rsidRPr="00B01F9E">
        <w:rPr>
          <w:rFonts w:ascii="Arial" w:hAnsi="Arial" w:cs="Arial"/>
          <w:sz w:val="20"/>
          <w:szCs w:val="20"/>
        </w:rPr>
        <w:t>eight</w:t>
      </w:r>
      <w:r w:rsidR="009F383A" w:rsidRPr="00B01F9E">
        <w:rPr>
          <w:rFonts w:ascii="Arial" w:hAnsi="Arial" w:cs="Arial"/>
          <w:sz w:val="20"/>
          <w:szCs w:val="20"/>
        </w:rPr>
        <w:t xml:space="preserve"> laboratory use cases (Table 1</w:t>
      </w:r>
      <w:r w:rsidR="0017372F" w:rsidRPr="00B01F9E">
        <w:rPr>
          <w:rFonts w:ascii="Arial" w:hAnsi="Arial" w:cs="Arial"/>
          <w:sz w:val="20"/>
          <w:szCs w:val="20"/>
        </w:rPr>
        <w:t>3</w:t>
      </w:r>
      <w:r w:rsidR="009F383A" w:rsidRPr="00B01F9E">
        <w:rPr>
          <w:rFonts w:ascii="Arial" w:hAnsi="Arial" w:cs="Arial"/>
          <w:sz w:val="20"/>
          <w:szCs w:val="20"/>
        </w:rPr>
        <w:t>)</w:t>
      </w:r>
      <w:r w:rsidRPr="00B01F9E">
        <w:rPr>
          <w:rFonts w:ascii="Arial" w:hAnsi="Arial" w:cs="Arial"/>
          <w:sz w:val="20"/>
          <w:szCs w:val="20"/>
        </w:rPr>
        <w:t xml:space="preserve">, </w:t>
      </w:r>
      <w:r w:rsidR="009F383A" w:rsidRPr="00B01F9E">
        <w:rPr>
          <w:rFonts w:ascii="Arial" w:hAnsi="Arial" w:cs="Arial"/>
          <w:sz w:val="20"/>
          <w:szCs w:val="20"/>
        </w:rPr>
        <w:t>a narrative was composed outlining the steps that would be used to construct the ANF statements. An Excel spreadsheet was utilized to list the steps and associate them with the appropriate ANF statement (see attached Excel spreadsheet</w:t>
      </w:r>
      <w:r w:rsidR="009032A7" w:rsidRPr="00B01F9E">
        <w:rPr>
          <w:rFonts w:ascii="Arial" w:hAnsi="Arial" w:cs="Arial"/>
          <w:sz w:val="20"/>
          <w:szCs w:val="20"/>
        </w:rPr>
        <w:t xml:space="preserve"> in </w:t>
      </w:r>
      <w:r w:rsidR="00533CE4" w:rsidRPr="00B01F9E">
        <w:rPr>
          <w:rFonts w:ascii="Arial" w:hAnsi="Arial" w:cs="Arial"/>
          <w:sz w:val="20"/>
          <w:szCs w:val="20"/>
        </w:rPr>
        <w:t xml:space="preserve">Section </w:t>
      </w:r>
      <w:r w:rsidR="00322C54" w:rsidRPr="00B01F9E">
        <w:rPr>
          <w:rFonts w:ascii="Arial" w:hAnsi="Arial" w:cs="Arial"/>
          <w:sz w:val="20"/>
          <w:szCs w:val="20"/>
        </w:rPr>
        <w:t>7</w:t>
      </w:r>
      <w:r w:rsidR="00533CE4" w:rsidRPr="00B01F9E">
        <w:rPr>
          <w:rFonts w:ascii="Arial" w:hAnsi="Arial" w:cs="Arial"/>
          <w:sz w:val="20"/>
          <w:szCs w:val="20"/>
        </w:rPr>
        <w:t>.3.3)</w:t>
      </w:r>
      <w:r w:rsidR="00A61B8E" w:rsidRPr="00B01F9E">
        <w:rPr>
          <w:rFonts w:ascii="Arial" w:hAnsi="Arial" w:cs="Arial"/>
          <w:sz w:val="20"/>
          <w:szCs w:val="20"/>
        </w:rPr>
        <w:t xml:space="preserve">. </w:t>
      </w:r>
      <w:r w:rsidR="009F383A" w:rsidRPr="00B01F9E">
        <w:rPr>
          <w:rFonts w:ascii="Arial" w:hAnsi="Arial" w:cs="Arial"/>
          <w:bCs/>
          <w:sz w:val="20"/>
          <w:szCs w:val="20"/>
        </w:rPr>
        <w:t>The team followed the suggested workflow from the ANF User Guide</w:t>
      </w:r>
      <w:r w:rsidR="004767B4" w:rsidRPr="00B01F9E">
        <w:rPr>
          <w:rFonts w:ascii="Arial" w:hAnsi="Arial" w:cs="Arial"/>
          <w:bCs/>
          <w:sz w:val="20"/>
          <w:szCs w:val="20"/>
        </w:rPr>
        <w:t>,</w:t>
      </w:r>
      <w:r w:rsidR="001E6796" w:rsidRPr="00B01F9E">
        <w:rPr>
          <w:rFonts w:ascii="Arial" w:hAnsi="Arial" w:cs="Arial"/>
          <w:bCs/>
          <w:sz w:val="20"/>
          <w:szCs w:val="20"/>
          <w:vertAlign w:val="superscript"/>
        </w:rPr>
        <w:t>7</w:t>
      </w:r>
      <w:r w:rsidR="00A51EAA" w:rsidRPr="00B01F9E" w:rsidDel="004767B4">
        <w:rPr>
          <w:rFonts w:ascii="Arial" w:hAnsi="Arial" w:cs="Arial"/>
          <w:bCs/>
          <w:sz w:val="20"/>
          <w:szCs w:val="20"/>
        </w:rPr>
        <w:t xml:space="preserve"> </w:t>
      </w:r>
      <w:r w:rsidR="009F383A" w:rsidRPr="00B01F9E">
        <w:rPr>
          <w:rFonts w:ascii="Arial" w:hAnsi="Arial" w:cs="Arial"/>
          <w:bCs/>
          <w:sz w:val="20"/>
          <w:szCs w:val="20"/>
        </w:rPr>
        <w:t xml:space="preserve">using flowcharts to distinguish between the types of circumstances each ANF statement represented – either a "request" or a "procedure" type (Figure </w:t>
      </w:r>
      <w:r w:rsidR="00F71485" w:rsidRPr="00B01F9E">
        <w:rPr>
          <w:rFonts w:ascii="Arial" w:hAnsi="Arial" w:cs="Arial"/>
          <w:bCs/>
          <w:sz w:val="20"/>
          <w:szCs w:val="20"/>
        </w:rPr>
        <w:t>2</w:t>
      </w:r>
      <w:r w:rsidR="00476D19" w:rsidRPr="00B01F9E">
        <w:rPr>
          <w:rFonts w:ascii="Arial" w:hAnsi="Arial" w:cs="Arial"/>
          <w:bCs/>
          <w:sz w:val="20"/>
          <w:szCs w:val="20"/>
        </w:rPr>
        <w:t>4</w:t>
      </w:r>
      <w:r w:rsidR="009F383A" w:rsidRPr="00B01F9E">
        <w:rPr>
          <w:rFonts w:ascii="Arial" w:hAnsi="Arial" w:cs="Arial"/>
          <w:bCs/>
          <w:sz w:val="20"/>
          <w:szCs w:val="20"/>
        </w:rPr>
        <w:t>). For the serum albumin use case, two ANF statements were developed. One represented the “request” circumstance by the clinician, while the other represented the “procedure” circumstance carried out by the laboratory functions. The latter was further broken down into two "associated" ANF statements for specimen collection and test performance.</w:t>
      </w:r>
    </w:p>
    <w:p w14:paraId="443411D3" w14:textId="77777777" w:rsidR="00414C4A" w:rsidRPr="00B01F9E" w:rsidRDefault="00414C4A">
      <w:pPr>
        <w:rPr>
          <w:rFonts w:ascii="Arial" w:hAnsi="Arial" w:cs="Arial"/>
          <w:b/>
          <w:bCs/>
          <w:color w:val="009BBF"/>
          <w:sz w:val="20"/>
          <w:szCs w:val="20"/>
        </w:rPr>
      </w:pPr>
      <w:r w:rsidRPr="00B01F9E">
        <w:rPr>
          <w:rFonts w:ascii="Arial" w:hAnsi="Arial" w:cs="Arial"/>
          <w:b/>
          <w:bCs/>
          <w:color w:val="009BBF"/>
          <w:sz w:val="20"/>
          <w:szCs w:val="20"/>
        </w:rPr>
        <w:br w:type="page"/>
      </w:r>
    </w:p>
    <w:p w14:paraId="67E83F69" w14:textId="77777777" w:rsidR="00322C54" w:rsidRPr="00B01F9E" w:rsidRDefault="00322C54" w:rsidP="00E14A16">
      <w:pPr>
        <w:spacing w:after="0"/>
        <w:rPr>
          <w:rFonts w:ascii="Arial" w:hAnsi="Arial" w:cs="Arial"/>
          <w:b/>
          <w:bCs/>
          <w:color w:val="009BBF"/>
          <w:sz w:val="20"/>
          <w:szCs w:val="20"/>
        </w:rPr>
        <w:sectPr w:rsidR="00322C54" w:rsidRPr="00B01F9E" w:rsidSect="00C5319E">
          <w:pgSz w:w="12240" w:h="15840"/>
          <w:pgMar w:top="1440" w:right="1440" w:bottom="1440" w:left="1440" w:header="0" w:footer="720" w:gutter="0"/>
          <w:cols w:space="720"/>
          <w:docGrid w:linePitch="360"/>
        </w:sectPr>
      </w:pPr>
    </w:p>
    <w:p w14:paraId="24432D49" w14:textId="5DC19AD4" w:rsidR="00631B01" w:rsidRPr="00B01F9E" w:rsidRDefault="00631B01" w:rsidP="00E14A16">
      <w:pPr>
        <w:spacing w:after="0"/>
        <w:rPr>
          <w:rFonts w:ascii="Arial" w:hAnsi="Arial" w:cs="Arial"/>
          <w:b/>
          <w:bCs/>
          <w:color w:val="009BBF"/>
          <w:sz w:val="20"/>
          <w:szCs w:val="20"/>
        </w:rPr>
      </w:pPr>
      <w:r w:rsidRPr="00B01F9E">
        <w:rPr>
          <w:rFonts w:ascii="Arial" w:hAnsi="Arial" w:cs="Arial"/>
          <w:b/>
          <w:bCs/>
          <w:color w:val="009BBF"/>
          <w:sz w:val="20"/>
          <w:szCs w:val="20"/>
        </w:rPr>
        <w:lastRenderedPageBreak/>
        <w:t xml:space="preserve">Figure </w:t>
      </w:r>
      <w:r w:rsidR="00F71485" w:rsidRPr="00B01F9E">
        <w:rPr>
          <w:rFonts w:ascii="Arial" w:hAnsi="Arial" w:cs="Arial"/>
          <w:b/>
          <w:bCs/>
          <w:color w:val="009BBF"/>
          <w:sz w:val="20"/>
          <w:szCs w:val="20"/>
        </w:rPr>
        <w:t>2</w:t>
      </w:r>
      <w:r w:rsidR="00476D19" w:rsidRPr="00B01F9E">
        <w:rPr>
          <w:rFonts w:ascii="Arial" w:hAnsi="Arial" w:cs="Arial"/>
          <w:b/>
          <w:bCs/>
          <w:color w:val="009BBF"/>
          <w:sz w:val="20"/>
          <w:szCs w:val="20"/>
        </w:rPr>
        <w:t>4</w:t>
      </w:r>
      <w:r w:rsidR="00E120AA" w:rsidRPr="00B01F9E">
        <w:rPr>
          <w:rFonts w:ascii="Arial" w:hAnsi="Arial" w:cs="Arial"/>
          <w:b/>
          <w:bCs/>
          <w:color w:val="009BBF"/>
          <w:sz w:val="20"/>
          <w:szCs w:val="20"/>
        </w:rPr>
        <w:t xml:space="preserve">: </w:t>
      </w:r>
      <w:r w:rsidRPr="00B01F9E">
        <w:rPr>
          <w:rFonts w:ascii="Arial" w:hAnsi="Arial" w:cs="Arial"/>
          <w:b/>
          <w:bCs/>
          <w:color w:val="009BBF"/>
          <w:sz w:val="20"/>
          <w:szCs w:val="20"/>
        </w:rPr>
        <w:t xml:space="preserve">ANF Workflow: Determining Serum Albumin Use Case ANF Statements </w:t>
      </w:r>
    </w:p>
    <w:p w14:paraId="4E412F64" w14:textId="77777777" w:rsidR="004543BB" w:rsidRPr="00B01F9E" w:rsidRDefault="00695AD4" w:rsidP="006E661C">
      <w:pPr>
        <w:spacing w:after="120"/>
        <w:rPr>
          <w:rFonts w:ascii="Arial" w:hAnsi="Arial" w:cs="Arial"/>
          <w:b/>
          <w:bCs/>
          <w:color w:val="4BACC6"/>
          <w:sz w:val="20"/>
          <w:szCs w:val="20"/>
        </w:rPr>
      </w:pPr>
      <w:r w:rsidRPr="00B01F9E">
        <w:rPr>
          <w:rFonts w:ascii="Arial" w:hAnsi="Arial" w:cs="Arial"/>
          <w:noProof/>
          <w:sz w:val="20"/>
          <w:szCs w:val="20"/>
        </w:rPr>
        <w:drawing>
          <wp:inline distT="0" distB="0" distL="0" distR="0" wp14:anchorId="42174D04" wp14:editId="53A11369">
            <wp:extent cx="6493398" cy="3877056"/>
            <wp:effectExtent l="0" t="0" r="3175" b="0"/>
            <wp:docPr id="1020847754"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847754" name="Graphic 1020847754"/>
                    <pic:cNvPicPr/>
                  </pic:nvPicPr>
                  <pic:blipFill>
                    <a:blip r:embed="rId75" cstate="print">
                      <a:extLst>
                        <a:ext uri="{28A0092B-C50C-407E-A947-70E740481C1C}">
                          <a14:useLocalDpi xmlns:a14="http://schemas.microsoft.com/office/drawing/2010/main" val="0"/>
                        </a:ext>
                        <a:ext uri="{96DAC541-7B7A-43D3-8B79-37D633B846F1}">
                          <asvg:svgBlip xmlns:asvg="http://schemas.microsoft.com/office/drawing/2016/SVG/main" r:embed="rId76"/>
                        </a:ext>
                      </a:extLst>
                    </a:blip>
                    <a:stretch>
                      <a:fillRect/>
                    </a:stretch>
                  </pic:blipFill>
                  <pic:spPr>
                    <a:xfrm>
                      <a:off x="0" y="0"/>
                      <a:ext cx="6529626" cy="3898687"/>
                    </a:xfrm>
                    <a:prstGeom prst="rect">
                      <a:avLst/>
                    </a:prstGeom>
                  </pic:spPr>
                </pic:pic>
              </a:graphicData>
            </a:graphic>
          </wp:inline>
        </w:drawing>
      </w:r>
    </w:p>
    <w:p w14:paraId="35C3F8C1" w14:textId="679ABF7D" w:rsidR="004543BB" w:rsidRPr="00B01F9E" w:rsidRDefault="004543BB" w:rsidP="004543BB">
      <w:pPr>
        <w:rPr>
          <w:rFonts w:ascii="Arial" w:hAnsi="Arial" w:cs="Arial"/>
          <w:sz w:val="20"/>
          <w:szCs w:val="20"/>
        </w:rPr>
      </w:pPr>
      <w:r w:rsidRPr="00B01F9E">
        <w:rPr>
          <w:rFonts w:ascii="Arial" w:hAnsi="Arial" w:cs="Arial"/>
          <w:sz w:val="20"/>
          <w:szCs w:val="20"/>
        </w:rPr>
        <w:t xml:space="preserve">Note: Refer to </w:t>
      </w:r>
      <w:r w:rsidR="00BB39E3" w:rsidRPr="00B01F9E">
        <w:rPr>
          <w:rFonts w:ascii="Arial" w:hAnsi="Arial" w:cs="Arial"/>
          <w:sz w:val="20"/>
          <w:szCs w:val="20"/>
        </w:rPr>
        <w:t xml:space="preserve">Section 7.3.3 </w:t>
      </w:r>
      <w:r w:rsidRPr="00B01F9E">
        <w:rPr>
          <w:rFonts w:ascii="Arial" w:hAnsi="Arial" w:cs="Arial"/>
          <w:sz w:val="20"/>
          <w:szCs w:val="20"/>
        </w:rPr>
        <w:t xml:space="preserve">for high resolution version of Figure </w:t>
      </w:r>
      <w:r w:rsidR="00F71485" w:rsidRPr="00B01F9E">
        <w:rPr>
          <w:rFonts w:ascii="Arial" w:hAnsi="Arial" w:cs="Arial"/>
          <w:sz w:val="20"/>
          <w:szCs w:val="20"/>
        </w:rPr>
        <w:t>2</w:t>
      </w:r>
      <w:r w:rsidR="00476D19" w:rsidRPr="00B01F9E">
        <w:rPr>
          <w:rFonts w:ascii="Arial" w:hAnsi="Arial" w:cs="Arial"/>
          <w:sz w:val="20"/>
          <w:szCs w:val="20"/>
        </w:rPr>
        <w:t>4</w:t>
      </w:r>
      <w:r w:rsidR="00212CAF" w:rsidRPr="00B01F9E">
        <w:rPr>
          <w:rFonts w:ascii="Arial" w:hAnsi="Arial" w:cs="Arial"/>
          <w:sz w:val="20"/>
          <w:szCs w:val="20"/>
        </w:rPr>
        <w:t>.</w:t>
      </w:r>
    </w:p>
    <w:p w14:paraId="01C3F406" w14:textId="01FF6D99" w:rsidR="00322C54" w:rsidRPr="00B01F9E" w:rsidRDefault="004543BB" w:rsidP="004543BB">
      <w:pPr>
        <w:rPr>
          <w:rFonts w:ascii="Arial" w:hAnsi="Arial" w:cs="Arial"/>
          <w:sz w:val="20"/>
          <w:szCs w:val="20"/>
        </w:rPr>
        <w:sectPr w:rsidR="00322C54" w:rsidRPr="00B01F9E" w:rsidSect="00322C54">
          <w:headerReference w:type="default" r:id="rId77"/>
          <w:pgSz w:w="15840" w:h="12240" w:orient="landscape"/>
          <w:pgMar w:top="1440" w:right="1440" w:bottom="1440" w:left="1440" w:header="0" w:footer="720" w:gutter="0"/>
          <w:cols w:space="720"/>
          <w:docGrid w:linePitch="360"/>
        </w:sectPr>
      </w:pPr>
      <w:r w:rsidRPr="00B01F9E">
        <w:rPr>
          <w:rFonts w:ascii="Arial" w:hAnsi="Arial" w:cs="Arial"/>
          <w:sz w:val="20"/>
          <w:szCs w:val="20"/>
        </w:rPr>
        <w:t xml:space="preserve">Upon determining the circumstance of each ANF statement, the “request” circumstance was further evaluated using the flowchart from the User Guide (Figure </w:t>
      </w:r>
      <w:r w:rsidR="00F71485" w:rsidRPr="00B01F9E">
        <w:rPr>
          <w:rFonts w:ascii="Arial" w:hAnsi="Arial" w:cs="Arial"/>
          <w:sz w:val="20"/>
          <w:szCs w:val="20"/>
        </w:rPr>
        <w:t>2</w:t>
      </w:r>
      <w:r w:rsidR="00476D19" w:rsidRPr="00B01F9E">
        <w:rPr>
          <w:rFonts w:ascii="Arial" w:hAnsi="Arial" w:cs="Arial"/>
          <w:sz w:val="20"/>
          <w:szCs w:val="20"/>
        </w:rPr>
        <w:t>5</w:t>
      </w:r>
      <w:r w:rsidRPr="00B01F9E">
        <w:rPr>
          <w:rFonts w:ascii="Arial" w:hAnsi="Arial" w:cs="Arial"/>
          <w:sz w:val="20"/>
          <w:szCs w:val="20"/>
        </w:rPr>
        <w:t>). Steps which did not apply to the ANF use case were marked with an “X” in the flowchart.</w:t>
      </w:r>
    </w:p>
    <w:p w14:paraId="19DD0407" w14:textId="4C3CC265" w:rsidR="006A727B" w:rsidRPr="00B01F9E" w:rsidRDefault="00415A03" w:rsidP="00E14A16">
      <w:pPr>
        <w:spacing w:after="0"/>
        <w:rPr>
          <w:rFonts w:ascii="Arial" w:hAnsi="Arial" w:cs="Arial"/>
          <w:b/>
          <w:bCs/>
          <w:color w:val="009BBF"/>
          <w:sz w:val="20"/>
          <w:szCs w:val="20"/>
        </w:rPr>
      </w:pPr>
      <w:r w:rsidRPr="00B01F9E">
        <w:rPr>
          <w:rFonts w:ascii="Arial" w:hAnsi="Arial" w:cs="Arial"/>
          <w:b/>
          <w:bCs/>
          <w:color w:val="009BBF"/>
          <w:sz w:val="20"/>
          <w:szCs w:val="20"/>
        </w:rPr>
        <w:lastRenderedPageBreak/>
        <w:t>F</w:t>
      </w:r>
      <w:r w:rsidR="006A727B" w:rsidRPr="00B01F9E">
        <w:rPr>
          <w:rFonts w:ascii="Arial" w:hAnsi="Arial" w:cs="Arial"/>
          <w:b/>
          <w:bCs/>
          <w:color w:val="009BBF"/>
          <w:sz w:val="20"/>
          <w:szCs w:val="20"/>
        </w:rPr>
        <w:t xml:space="preserve">igure </w:t>
      </w:r>
      <w:r w:rsidR="00F71485" w:rsidRPr="00B01F9E">
        <w:rPr>
          <w:rFonts w:ascii="Arial" w:hAnsi="Arial" w:cs="Arial"/>
          <w:b/>
          <w:bCs/>
          <w:color w:val="009BBF"/>
          <w:sz w:val="20"/>
          <w:szCs w:val="20"/>
        </w:rPr>
        <w:t>2</w:t>
      </w:r>
      <w:r w:rsidR="00476D19" w:rsidRPr="00B01F9E">
        <w:rPr>
          <w:rFonts w:ascii="Arial" w:hAnsi="Arial" w:cs="Arial"/>
          <w:b/>
          <w:bCs/>
          <w:color w:val="009BBF"/>
          <w:sz w:val="20"/>
          <w:szCs w:val="20"/>
        </w:rPr>
        <w:t>5</w:t>
      </w:r>
      <w:r w:rsidR="006A727B" w:rsidRPr="00B01F9E">
        <w:rPr>
          <w:rFonts w:ascii="Arial" w:hAnsi="Arial" w:cs="Arial"/>
          <w:b/>
          <w:color w:val="009BBF"/>
          <w:sz w:val="20"/>
          <w:szCs w:val="20"/>
        </w:rPr>
        <w:t>:</w:t>
      </w:r>
      <w:r w:rsidR="006A727B" w:rsidRPr="00B01F9E">
        <w:rPr>
          <w:rFonts w:ascii="Arial" w:hAnsi="Arial" w:cs="Arial"/>
          <w:b/>
          <w:bCs/>
          <w:color w:val="009BBF"/>
          <w:sz w:val="20"/>
          <w:szCs w:val="20"/>
        </w:rPr>
        <w:t xml:space="preserve"> Building Albumin Request ANF Circumstance</w:t>
      </w:r>
    </w:p>
    <w:p w14:paraId="64F5F2C6" w14:textId="7BC90A96" w:rsidR="009F383A" w:rsidRPr="00B01F9E" w:rsidRDefault="001859FD" w:rsidP="006E661C">
      <w:pPr>
        <w:spacing w:after="120"/>
        <w:rPr>
          <w:rFonts w:ascii="Arial" w:hAnsi="Arial" w:cs="Arial"/>
          <w:b/>
          <w:bCs/>
          <w:color w:val="4BACC6"/>
          <w:sz w:val="20"/>
          <w:szCs w:val="20"/>
        </w:rPr>
      </w:pPr>
      <w:r w:rsidRPr="00B01F9E">
        <w:rPr>
          <w:rFonts w:ascii="Arial" w:hAnsi="Arial" w:cs="Arial"/>
          <w:b/>
          <w:bCs/>
          <w:noProof/>
          <w:color w:val="4BACC6"/>
          <w:sz w:val="20"/>
          <w:szCs w:val="20"/>
        </w:rPr>
        <w:drawing>
          <wp:inline distT="0" distB="0" distL="0" distR="0" wp14:anchorId="6AA805EA" wp14:editId="495A61CA">
            <wp:extent cx="5943600" cy="6189630"/>
            <wp:effectExtent l="0" t="0" r="0" b="0"/>
            <wp:docPr id="4985892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589258" name="Graphic 498589258"/>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5943600" cy="6189630"/>
                    </a:xfrm>
                    <a:prstGeom prst="rect">
                      <a:avLst/>
                    </a:prstGeom>
                  </pic:spPr>
                </pic:pic>
              </a:graphicData>
            </a:graphic>
          </wp:inline>
        </w:drawing>
      </w:r>
      <w:r w:rsidR="009F383A" w:rsidRPr="00B01F9E">
        <w:rPr>
          <w:rFonts w:ascii="Arial" w:hAnsi="Arial" w:cs="Arial"/>
          <w:b/>
          <w:bCs/>
          <w:color w:val="4BACC6"/>
          <w:sz w:val="20"/>
          <w:szCs w:val="20"/>
        </w:rPr>
        <w:br w:type="page"/>
      </w:r>
    </w:p>
    <w:p w14:paraId="7741EE54" w14:textId="537074F7" w:rsidR="00416CB0" w:rsidRPr="00B01F9E" w:rsidRDefault="00416CB0" w:rsidP="005F1D64">
      <w:pPr>
        <w:spacing w:after="120"/>
        <w:rPr>
          <w:rFonts w:ascii="Arial" w:hAnsi="Arial" w:cs="Arial"/>
          <w:sz w:val="20"/>
          <w:szCs w:val="20"/>
        </w:rPr>
      </w:pPr>
      <w:r w:rsidRPr="00B01F9E">
        <w:rPr>
          <w:rFonts w:ascii="Arial" w:hAnsi="Arial" w:cs="Arial"/>
          <w:sz w:val="20"/>
          <w:szCs w:val="20"/>
        </w:rPr>
        <w:lastRenderedPageBreak/>
        <w:t xml:space="preserve">Note: Refer to </w:t>
      </w:r>
      <w:r w:rsidR="00BB39E3" w:rsidRPr="00B01F9E">
        <w:rPr>
          <w:rFonts w:ascii="Arial" w:hAnsi="Arial" w:cs="Arial"/>
          <w:sz w:val="20"/>
          <w:szCs w:val="20"/>
        </w:rPr>
        <w:t xml:space="preserve">Section 7.3.3 </w:t>
      </w:r>
      <w:r w:rsidRPr="00B01F9E">
        <w:rPr>
          <w:rFonts w:ascii="Arial" w:hAnsi="Arial" w:cs="Arial"/>
          <w:sz w:val="20"/>
          <w:szCs w:val="20"/>
        </w:rPr>
        <w:t xml:space="preserve">for high resolution version of Figure </w:t>
      </w:r>
      <w:r w:rsidR="00F71485" w:rsidRPr="00B01F9E">
        <w:rPr>
          <w:rFonts w:ascii="Arial" w:hAnsi="Arial" w:cs="Arial"/>
          <w:sz w:val="20"/>
          <w:szCs w:val="20"/>
        </w:rPr>
        <w:t>2</w:t>
      </w:r>
      <w:r w:rsidR="00476D19" w:rsidRPr="00B01F9E">
        <w:rPr>
          <w:rFonts w:ascii="Arial" w:hAnsi="Arial" w:cs="Arial"/>
          <w:sz w:val="20"/>
          <w:szCs w:val="20"/>
        </w:rPr>
        <w:t>5</w:t>
      </w:r>
      <w:r w:rsidR="00300A81" w:rsidRPr="00B01F9E">
        <w:rPr>
          <w:rFonts w:ascii="Arial" w:hAnsi="Arial" w:cs="Arial"/>
          <w:sz w:val="20"/>
          <w:szCs w:val="20"/>
        </w:rPr>
        <w:t>.</w:t>
      </w:r>
    </w:p>
    <w:p w14:paraId="2A9F81F6" w14:textId="2DCF7136" w:rsidR="00356219" w:rsidRPr="00B01F9E" w:rsidRDefault="00356219" w:rsidP="005F1D64">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Following this exercise, the below table was compiled for the serum albumin request circumstance (Table </w:t>
      </w:r>
      <w:r w:rsidR="007430D5" w:rsidRPr="00B01F9E">
        <w:rPr>
          <w:rFonts w:ascii="Arial" w:eastAsia="Calibri" w:hAnsi="Arial" w:cs="Arial"/>
          <w:kern w:val="2"/>
          <w:sz w:val="20"/>
          <w:szCs w:val="20"/>
          <w14:ligatures w14:val="standardContextual"/>
        </w:rPr>
        <w:t>1</w:t>
      </w:r>
      <w:r w:rsidR="0017372F" w:rsidRPr="00B01F9E">
        <w:rPr>
          <w:rFonts w:ascii="Arial" w:eastAsia="Calibri" w:hAnsi="Arial" w:cs="Arial"/>
          <w:kern w:val="2"/>
          <w:sz w:val="20"/>
          <w:szCs w:val="20"/>
          <w14:ligatures w14:val="standardContextual"/>
        </w:rPr>
        <w:t>4</w:t>
      </w:r>
      <w:r w:rsidRPr="00B01F9E">
        <w:rPr>
          <w:rFonts w:ascii="Arial" w:eastAsia="Calibri" w:hAnsi="Arial" w:cs="Arial"/>
          <w:kern w:val="2"/>
          <w:sz w:val="20"/>
          <w:szCs w:val="20"/>
          <w14:ligatures w14:val="standardContextual"/>
        </w:rPr>
        <w:t>).</w:t>
      </w:r>
    </w:p>
    <w:p w14:paraId="444993FB" w14:textId="040075C8" w:rsidR="00356219" w:rsidRPr="00B01F9E" w:rsidRDefault="00356219" w:rsidP="005F1D64">
      <w:pPr>
        <w:spacing w:after="0"/>
        <w:rPr>
          <w:rFonts w:ascii="Arial" w:eastAsia="Calibri" w:hAnsi="Arial" w:cs="Arial"/>
          <w:b/>
          <w:bCs/>
          <w:color w:val="009BBF"/>
          <w:kern w:val="2"/>
          <w:sz w:val="20"/>
          <w:szCs w:val="20"/>
          <w14:ligatures w14:val="standardContextual"/>
        </w:rPr>
      </w:pPr>
      <w:r w:rsidRPr="00B01F9E">
        <w:rPr>
          <w:rFonts w:ascii="Arial" w:eastAsia="Calibri" w:hAnsi="Arial" w:cs="Arial"/>
          <w:b/>
          <w:bCs/>
          <w:color w:val="009BBF"/>
          <w:kern w:val="2"/>
          <w:sz w:val="20"/>
          <w:szCs w:val="20"/>
          <w14:ligatures w14:val="standardContextual"/>
        </w:rPr>
        <w:t xml:space="preserve">Table </w:t>
      </w:r>
      <w:r w:rsidR="007430D5" w:rsidRPr="00B01F9E">
        <w:rPr>
          <w:rFonts w:ascii="Arial" w:eastAsia="Calibri" w:hAnsi="Arial" w:cs="Arial"/>
          <w:b/>
          <w:bCs/>
          <w:color w:val="009BBF"/>
          <w:kern w:val="2"/>
          <w:sz w:val="20"/>
          <w:szCs w:val="20"/>
          <w14:ligatures w14:val="standardContextual"/>
        </w:rPr>
        <w:t>1</w:t>
      </w:r>
      <w:r w:rsidR="0017372F" w:rsidRPr="00B01F9E">
        <w:rPr>
          <w:rFonts w:ascii="Arial" w:eastAsia="Calibri" w:hAnsi="Arial" w:cs="Arial"/>
          <w:b/>
          <w:bCs/>
          <w:color w:val="009BBF"/>
          <w:kern w:val="2"/>
          <w:sz w:val="20"/>
          <w:szCs w:val="20"/>
          <w14:ligatures w14:val="standardContextual"/>
        </w:rPr>
        <w:t>4</w:t>
      </w:r>
      <w:r w:rsidRPr="00B01F9E">
        <w:rPr>
          <w:rFonts w:ascii="Arial" w:eastAsia="Calibri" w:hAnsi="Arial" w:cs="Arial"/>
          <w:b/>
          <w:bCs/>
          <w:color w:val="009BBF"/>
          <w:kern w:val="2"/>
          <w:sz w:val="20"/>
          <w:szCs w:val="20"/>
          <w14:ligatures w14:val="standardContextual"/>
        </w:rPr>
        <w:t>: ANF Albumin Request Statement</w:t>
      </w:r>
    </w:p>
    <w:tbl>
      <w:tblPr>
        <w:tblStyle w:val="TableGrid4"/>
        <w:tblW w:w="10080" w:type="dxa"/>
        <w:tblInd w:w="-5" w:type="dxa"/>
        <w:tblLook w:val="04A0" w:firstRow="1" w:lastRow="0" w:firstColumn="1" w:lastColumn="0" w:noHBand="0" w:noVBand="1"/>
      </w:tblPr>
      <w:tblGrid>
        <w:gridCol w:w="502"/>
        <w:gridCol w:w="2577"/>
        <w:gridCol w:w="2590"/>
        <w:gridCol w:w="4411"/>
      </w:tblGrid>
      <w:tr w:rsidR="00356219" w:rsidRPr="00B01F9E" w14:paraId="76244D59" w14:textId="77777777" w:rsidTr="00D27791">
        <w:trPr>
          <w:trHeight w:val="196"/>
        </w:trPr>
        <w:tc>
          <w:tcPr>
            <w:tcW w:w="502" w:type="dxa"/>
          </w:tcPr>
          <w:p w14:paraId="55BEE750" w14:textId="77777777" w:rsidR="00356219" w:rsidRPr="00B01F9E" w:rsidRDefault="00356219" w:rsidP="00356219">
            <w:pPr>
              <w:rPr>
                <w:rFonts w:ascii="Arial" w:eastAsia="Calibri" w:hAnsi="Arial" w:cs="Arial"/>
                <w:sz w:val="20"/>
                <w:szCs w:val="20"/>
              </w:rPr>
            </w:pPr>
          </w:p>
        </w:tc>
        <w:tc>
          <w:tcPr>
            <w:tcW w:w="2577" w:type="dxa"/>
          </w:tcPr>
          <w:p w14:paraId="17BCCDD1" w14:textId="77777777" w:rsidR="00356219" w:rsidRPr="00B01F9E" w:rsidRDefault="00356219" w:rsidP="00D27791">
            <w:pPr>
              <w:rPr>
                <w:rFonts w:ascii="Arial" w:eastAsia="Calibri" w:hAnsi="Arial" w:cs="Arial"/>
                <w:b/>
                <w:bCs/>
                <w:color w:val="4472C4"/>
                <w:sz w:val="20"/>
                <w:szCs w:val="20"/>
              </w:rPr>
            </w:pPr>
            <w:r w:rsidRPr="00B01F9E">
              <w:rPr>
                <w:rFonts w:ascii="Arial" w:eastAsia="Calibri" w:hAnsi="Arial" w:cs="Arial"/>
                <w:b/>
                <w:bCs/>
                <w:color w:val="4472C4"/>
                <w:sz w:val="20"/>
                <w:szCs w:val="20"/>
              </w:rPr>
              <w:t>QUESTION</w:t>
            </w:r>
          </w:p>
        </w:tc>
        <w:tc>
          <w:tcPr>
            <w:tcW w:w="2590" w:type="dxa"/>
          </w:tcPr>
          <w:p w14:paraId="41309807" w14:textId="77777777" w:rsidR="00356219" w:rsidRPr="00B01F9E" w:rsidRDefault="00356219" w:rsidP="00D27791">
            <w:pPr>
              <w:rPr>
                <w:rFonts w:ascii="Arial" w:eastAsia="Calibri" w:hAnsi="Arial" w:cs="Arial"/>
                <w:b/>
                <w:bCs/>
                <w:color w:val="4472C4"/>
                <w:sz w:val="20"/>
                <w:szCs w:val="20"/>
              </w:rPr>
            </w:pPr>
            <w:r w:rsidRPr="00B01F9E">
              <w:rPr>
                <w:rFonts w:ascii="Arial" w:eastAsia="Calibri" w:hAnsi="Arial" w:cs="Arial"/>
                <w:b/>
                <w:bCs/>
                <w:color w:val="4472C4"/>
                <w:sz w:val="20"/>
                <w:szCs w:val="20"/>
              </w:rPr>
              <w:t>ANSWER</w:t>
            </w:r>
          </w:p>
        </w:tc>
        <w:tc>
          <w:tcPr>
            <w:tcW w:w="4411" w:type="dxa"/>
          </w:tcPr>
          <w:p w14:paraId="00451ADD" w14:textId="77777777" w:rsidR="00356219" w:rsidRPr="00B01F9E" w:rsidRDefault="00356219" w:rsidP="00D27791">
            <w:pPr>
              <w:rPr>
                <w:rFonts w:ascii="Arial" w:eastAsia="Calibri" w:hAnsi="Arial" w:cs="Arial"/>
                <w:b/>
                <w:bCs/>
                <w:color w:val="4472C4"/>
                <w:sz w:val="20"/>
                <w:szCs w:val="20"/>
              </w:rPr>
            </w:pPr>
            <w:r w:rsidRPr="00B01F9E">
              <w:rPr>
                <w:rFonts w:ascii="Arial" w:eastAsia="Calibri" w:hAnsi="Arial" w:cs="Arial"/>
                <w:b/>
                <w:bCs/>
                <w:color w:val="4472C4"/>
                <w:sz w:val="20"/>
                <w:szCs w:val="20"/>
              </w:rPr>
              <w:t>RATIONALE</w:t>
            </w:r>
          </w:p>
        </w:tc>
      </w:tr>
      <w:tr w:rsidR="00410D41" w:rsidRPr="00B01F9E" w14:paraId="1C997F7D" w14:textId="77777777" w:rsidTr="00D27791">
        <w:trPr>
          <w:trHeight w:val="128"/>
        </w:trPr>
        <w:tc>
          <w:tcPr>
            <w:tcW w:w="502" w:type="dxa"/>
            <w:shd w:val="clear" w:color="auto" w:fill="4472C4"/>
          </w:tcPr>
          <w:p w14:paraId="69B850F5" w14:textId="77777777" w:rsidR="00356219" w:rsidRPr="00B01F9E" w:rsidRDefault="00356219" w:rsidP="00356219">
            <w:pPr>
              <w:rPr>
                <w:rFonts w:ascii="Arial" w:eastAsia="Calibri" w:hAnsi="Arial" w:cs="Arial"/>
                <w:sz w:val="20"/>
                <w:szCs w:val="20"/>
              </w:rPr>
            </w:pPr>
          </w:p>
        </w:tc>
        <w:tc>
          <w:tcPr>
            <w:tcW w:w="2577" w:type="dxa"/>
            <w:shd w:val="clear" w:color="auto" w:fill="4472C4"/>
          </w:tcPr>
          <w:p w14:paraId="5F06B85E" w14:textId="77777777" w:rsidR="00356219" w:rsidRPr="00B01F9E" w:rsidRDefault="00356219" w:rsidP="00D27791">
            <w:pPr>
              <w:rPr>
                <w:rFonts w:ascii="Arial" w:eastAsia="Calibri" w:hAnsi="Arial" w:cs="Arial"/>
                <w:sz w:val="20"/>
                <w:szCs w:val="20"/>
              </w:rPr>
            </w:pPr>
          </w:p>
        </w:tc>
        <w:tc>
          <w:tcPr>
            <w:tcW w:w="2590" w:type="dxa"/>
            <w:shd w:val="clear" w:color="auto" w:fill="4472C4"/>
          </w:tcPr>
          <w:p w14:paraId="1FDBE789" w14:textId="77777777" w:rsidR="00356219" w:rsidRPr="00B01F9E" w:rsidRDefault="00356219" w:rsidP="00D27791">
            <w:pPr>
              <w:rPr>
                <w:rFonts w:ascii="Arial" w:eastAsia="Calibri" w:hAnsi="Arial" w:cs="Arial"/>
                <w:b/>
                <w:bCs/>
                <w:color w:val="FFFFFF"/>
                <w:sz w:val="20"/>
                <w:szCs w:val="20"/>
              </w:rPr>
            </w:pPr>
            <w:r w:rsidRPr="00B01F9E">
              <w:rPr>
                <w:rFonts w:ascii="Arial" w:eastAsia="Calibri" w:hAnsi="Arial" w:cs="Arial"/>
                <w:b/>
                <w:bCs/>
                <w:color w:val="FFFFFF"/>
                <w:sz w:val="20"/>
                <w:szCs w:val="20"/>
              </w:rPr>
              <w:t>1.BUILD OUT TOPIC</w:t>
            </w:r>
          </w:p>
        </w:tc>
        <w:tc>
          <w:tcPr>
            <w:tcW w:w="4411" w:type="dxa"/>
            <w:shd w:val="clear" w:color="auto" w:fill="4472C4"/>
          </w:tcPr>
          <w:p w14:paraId="524E3023" w14:textId="77777777" w:rsidR="00356219" w:rsidRPr="00B01F9E" w:rsidRDefault="00356219" w:rsidP="00D27791">
            <w:pPr>
              <w:rPr>
                <w:rFonts w:ascii="Arial" w:eastAsia="Calibri" w:hAnsi="Arial" w:cs="Arial"/>
                <w:sz w:val="20"/>
                <w:szCs w:val="20"/>
              </w:rPr>
            </w:pPr>
          </w:p>
        </w:tc>
      </w:tr>
      <w:tr w:rsidR="00410D41" w:rsidRPr="00B01F9E" w14:paraId="22C1AB2B" w14:textId="77777777" w:rsidTr="00D27791">
        <w:trPr>
          <w:trHeight w:val="587"/>
        </w:trPr>
        <w:tc>
          <w:tcPr>
            <w:tcW w:w="502" w:type="dxa"/>
            <w:shd w:val="clear" w:color="auto" w:fill="DEEAF6"/>
          </w:tcPr>
          <w:p w14:paraId="47BCB0E8"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1.1</w:t>
            </w:r>
          </w:p>
        </w:tc>
        <w:tc>
          <w:tcPr>
            <w:tcW w:w="2577" w:type="dxa"/>
            <w:shd w:val="clear" w:color="auto" w:fill="DEEAF6"/>
          </w:tcPr>
          <w:p w14:paraId="2CDB8D99"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Observation Procedure</w:t>
            </w:r>
          </w:p>
        </w:tc>
        <w:tc>
          <w:tcPr>
            <w:tcW w:w="2590" w:type="dxa"/>
            <w:shd w:val="clear" w:color="auto" w:fill="DEEAF6"/>
          </w:tcPr>
          <w:p w14:paraId="7DD3EDD6"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 xml:space="preserve">Observation procedure - &gt; </w:t>
            </w:r>
          </w:p>
          <w:p w14:paraId="465820FB" w14:textId="77777777" w:rsidR="00356219" w:rsidRPr="00B01F9E" w:rsidRDefault="00356219" w:rsidP="00D27791">
            <w:pPr>
              <w:rPr>
                <w:rFonts w:ascii="Arial" w:eastAsia="Calibri" w:hAnsi="Arial" w:cs="Arial"/>
                <w:sz w:val="20"/>
                <w:szCs w:val="20"/>
              </w:rPr>
            </w:pPr>
            <w:r w:rsidRPr="00B01F9E">
              <w:rPr>
                <w:rFonts w:ascii="Arial" w:eastAsia="Calibri" w:hAnsi="Arial" w:cs="Arial"/>
                <w:b/>
                <w:sz w:val="20"/>
                <w:szCs w:val="20"/>
              </w:rPr>
              <w:t>Topic:</w:t>
            </w:r>
            <w:r w:rsidRPr="00B01F9E">
              <w:rPr>
                <w:rFonts w:ascii="Arial" w:eastAsia="Calibri" w:hAnsi="Arial" w:cs="Arial"/>
                <w:b/>
                <w:bCs/>
                <w:sz w:val="20"/>
                <w:szCs w:val="20"/>
              </w:rPr>
              <w:t xml:space="preserve"> </w:t>
            </w:r>
            <w:r w:rsidRPr="00B01F9E">
              <w:rPr>
                <w:rFonts w:ascii="Arial" w:eastAsia="Calibri" w:hAnsi="Arial" w:cs="Arial"/>
                <w:b/>
                <w:sz w:val="20"/>
                <w:szCs w:val="20"/>
              </w:rPr>
              <w:t>Serum Albumin Request</w:t>
            </w:r>
            <w:r w:rsidRPr="00B01F9E">
              <w:rPr>
                <w:rFonts w:ascii="Arial" w:eastAsia="Calibri" w:hAnsi="Arial" w:cs="Arial"/>
                <w:sz w:val="20"/>
                <w:szCs w:val="20"/>
              </w:rPr>
              <w:t> </w:t>
            </w:r>
          </w:p>
        </w:tc>
        <w:tc>
          <w:tcPr>
            <w:tcW w:w="4411" w:type="dxa"/>
            <w:shd w:val="clear" w:color="auto" w:fill="DEEAF6"/>
          </w:tcPr>
          <w:p w14:paraId="3DF608F0" w14:textId="77777777" w:rsidR="00356219" w:rsidRPr="00B01F9E" w:rsidRDefault="00356219" w:rsidP="00D27791">
            <w:pPr>
              <w:rPr>
                <w:rFonts w:ascii="Arial" w:eastAsia="Calibri" w:hAnsi="Arial" w:cs="Arial"/>
                <w:sz w:val="20"/>
                <w:szCs w:val="20"/>
              </w:rPr>
            </w:pPr>
          </w:p>
        </w:tc>
      </w:tr>
      <w:tr w:rsidR="00410D41" w:rsidRPr="00B01F9E" w14:paraId="06710ACC" w14:textId="77777777" w:rsidTr="00D27791">
        <w:trPr>
          <w:trHeight w:val="196"/>
        </w:trPr>
        <w:tc>
          <w:tcPr>
            <w:tcW w:w="502" w:type="dxa"/>
            <w:shd w:val="clear" w:color="auto" w:fill="C45911"/>
          </w:tcPr>
          <w:p w14:paraId="7AD04B23" w14:textId="77777777" w:rsidR="00356219" w:rsidRPr="00B01F9E" w:rsidRDefault="00356219" w:rsidP="00356219">
            <w:pPr>
              <w:rPr>
                <w:rFonts w:ascii="Arial" w:eastAsia="Calibri" w:hAnsi="Arial" w:cs="Arial"/>
                <w:sz w:val="20"/>
                <w:szCs w:val="20"/>
              </w:rPr>
            </w:pPr>
          </w:p>
        </w:tc>
        <w:tc>
          <w:tcPr>
            <w:tcW w:w="2577" w:type="dxa"/>
            <w:shd w:val="clear" w:color="auto" w:fill="C45911"/>
          </w:tcPr>
          <w:p w14:paraId="23DF7899" w14:textId="77777777" w:rsidR="00356219" w:rsidRPr="00B01F9E" w:rsidRDefault="00356219" w:rsidP="00D27791">
            <w:pPr>
              <w:rPr>
                <w:rFonts w:ascii="Arial" w:eastAsia="Calibri" w:hAnsi="Arial" w:cs="Arial"/>
                <w:sz w:val="20"/>
                <w:szCs w:val="20"/>
              </w:rPr>
            </w:pPr>
          </w:p>
        </w:tc>
        <w:tc>
          <w:tcPr>
            <w:tcW w:w="2590" w:type="dxa"/>
            <w:shd w:val="clear" w:color="auto" w:fill="C45911"/>
          </w:tcPr>
          <w:p w14:paraId="4F225B39"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color w:val="FFFFFF"/>
                <w:sz w:val="20"/>
                <w:szCs w:val="20"/>
              </w:rPr>
              <w:t>2. REQUEST FOR ACTION</w:t>
            </w:r>
          </w:p>
        </w:tc>
        <w:tc>
          <w:tcPr>
            <w:tcW w:w="4411" w:type="dxa"/>
            <w:shd w:val="clear" w:color="auto" w:fill="C45911"/>
          </w:tcPr>
          <w:p w14:paraId="74128B25" w14:textId="77777777" w:rsidR="00356219" w:rsidRPr="00B01F9E" w:rsidRDefault="00356219" w:rsidP="00D27791">
            <w:pPr>
              <w:rPr>
                <w:rFonts w:ascii="Arial" w:eastAsia="Calibri" w:hAnsi="Arial" w:cs="Arial"/>
                <w:sz w:val="20"/>
                <w:szCs w:val="20"/>
              </w:rPr>
            </w:pPr>
          </w:p>
        </w:tc>
      </w:tr>
      <w:tr w:rsidR="00410D41" w:rsidRPr="00B01F9E" w14:paraId="106758F2" w14:textId="77777777" w:rsidTr="00D27791">
        <w:trPr>
          <w:trHeight w:val="402"/>
        </w:trPr>
        <w:tc>
          <w:tcPr>
            <w:tcW w:w="502" w:type="dxa"/>
            <w:shd w:val="clear" w:color="auto" w:fill="FBE4D5"/>
          </w:tcPr>
          <w:p w14:paraId="39B7ED6E"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2.1</w:t>
            </w:r>
          </w:p>
        </w:tc>
        <w:tc>
          <w:tcPr>
            <w:tcW w:w="2577" w:type="dxa"/>
            <w:shd w:val="clear" w:color="auto" w:fill="FBE4D5"/>
          </w:tcPr>
          <w:p w14:paraId="601C6D13"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Does the statement include a Purpose? </w:t>
            </w:r>
          </w:p>
        </w:tc>
        <w:tc>
          <w:tcPr>
            <w:tcW w:w="2590" w:type="dxa"/>
            <w:shd w:val="clear" w:color="auto" w:fill="FBE4D5"/>
          </w:tcPr>
          <w:p w14:paraId="3D91631F"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YES</w:t>
            </w:r>
          </w:p>
        </w:tc>
        <w:tc>
          <w:tcPr>
            <w:tcW w:w="4411" w:type="dxa"/>
            <w:shd w:val="clear" w:color="auto" w:fill="FBE4D5"/>
          </w:tcPr>
          <w:p w14:paraId="0D946159"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 xml:space="preserve">Determine </w:t>
            </w:r>
            <w:proofErr w:type="gramStart"/>
            <w:r w:rsidRPr="00B01F9E">
              <w:rPr>
                <w:rFonts w:ascii="Arial" w:eastAsia="Calibri" w:hAnsi="Arial" w:cs="Arial"/>
                <w:sz w:val="20"/>
                <w:szCs w:val="20"/>
              </w:rPr>
              <w:t>whether or not</w:t>
            </w:r>
            <w:proofErr w:type="gramEnd"/>
            <w:r w:rsidRPr="00B01F9E">
              <w:rPr>
                <w:rFonts w:ascii="Arial" w:eastAsia="Calibri" w:hAnsi="Arial" w:cs="Arial"/>
                <w:sz w:val="20"/>
                <w:szCs w:val="20"/>
              </w:rPr>
              <w:t xml:space="preserve"> to place the patient on prophylactic anticoagulant therapy</w:t>
            </w:r>
          </w:p>
        </w:tc>
      </w:tr>
      <w:tr w:rsidR="00356219" w:rsidRPr="00B01F9E" w14:paraId="0555C601" w14:textId="77777777" w:rsidTr="00D27791">
        <w:trPr>
          <w:trHeight w:val="392"/>
        </w:trPr>
        <w:tc>
          <w:tcPr>
            <w:tcW w:w="502" w:type="dxa"/>
          </w:tcPr>
          <w:p w14:paraId="67CBE592"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2.2</w:t>
            </w:r>
          </w:p>
        </w:tc>
        <w:tc>
          <w:tcPr>
            <w:tcW w:w="2577" w:type="dxa"/>
          </w:tcPr>
          <w:p w14:paraId="143311F2"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Timing?</w:t>
            </w:r>
          </w:p>
        </w:tc>
        <w:tc>
          <w:tcPr>
            <w:tcW w:w="2590" w:type="dxa"/>
          </w:tcPr>
          <w:p w14:paraId="064426B7"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Point in Time in the Future</w:t>
            </w:r>
          </w:p>
        </w:tc>
        <w:tc>
          <w:tcPr>
            <w:tcW w:w="4411" w:type="dxa"/>
          </w:tcPr>
          <w:p w14:paraId="7F8DFDFD"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Will always have a future time as they have not yet been performed/requested </w:t>
            </w:r>
          </w:p>
        </w:tc>
      </w:tr>
      <w:tr w:rsidR="00410D41" w:rsidRPr="00B01F9E" w14:paraId="31A7F63A" w14:textId="77777777" w:rsidTr="00C618C0">
        <w:trPr>
          <w:trHeight w:val="432"/>
        </w:trPr>
        <w:tc>
          <w:tcPr>
            <w:tcW w:w="502" w:type="dxa"/>
            <w:shd w:val="clear" w:color="auto" w:fill="FBE4D5"/>
          </w:tcPr>
          <w:p w14:paraId="4699C7D7"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2.3</w:t>
            </w:r>
          </w:p>
        </w:tc>
        <w:tc>
          <w:tcPr>
            <w:tcW w:w="2577" w:type="dxa"/>
            <w:shd w:val="clear" w:color="auto" w:fill="FBE4D5"/>
          </w:tcPr>
          <w:p w14:paraId="149454C8"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Does the statement have a </w:t>
            </w:r>
            <w:proofErr w:type="spellStart"/>
            <w:r w:rsidRPr="00B01F9E">
              <w:rPr>
                <w:rFonts w:ascii="Arial" w:eastAsia="Calibri" w:hAnsi="Arial" w:cs="Arial"/>
                <w:sz w:val="20"/>
                <w:szCs w:val="20"/>
              </w:rPr>
              <w:t>requestParticipant</w:t>
            </w:r>
            <w:proofErr w:type="spellEnd"/>
            <w:r w:rsidRPr="00B01F9E">
              <w:rPr>
                <w:rFonts w:ascii="Arial" w:eastAsia="Calibri" w:hAnsi="Arial" w:cs="Arial"/>
                <w:sz w:val="20"/>
                <w:szCs w:val="20"/>
              </w:rPr>
              <w:t>? </w:t>
            </w:r>
          </w:p>
        </w:tc>
        <w:tc>
          <w:tcPr>
            <w:tcW w:w="2590" w:type="dxa"/>
            <w:shd w:val="clear" w:color="auto" w:fill="FBE4D5"/>
          </w:tcPr>
          <w:p w14:paraId="19852FAF"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YES: CLIA LAB</w:t>
            </w:r>
          </w:p>
        </w:tc>
        <w:tc>
          <w:tcPr>
            <w:tcW w:w="4411" w:type="dxa"/>
            <w:shd w:val="clear" w:color="auto" w:fill="FBE4D5"/>
          </w:tcPr>
          <w:p w14:paraId="25831ACD"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The statement is a request for the CLIA lab to perform the Serum Albumin Test </w:t>
            </w:r>
          </w:p>
        </w:tc>
      </w:tr>
      <w:tr w:rsidR="00356219" w:rsidRPr="00B01F9E" w14:paraId="4C5990BB" w14:textId="77777777" w:rsidTr="00D27791">
        <w:trPr>
          <w:trHeight w:val="392"/>
        </w:trPr>
        <w:tc>
          <w:tcPr>
            <w:tcW w:w="502" w:type="dxa"/>
          </w:tcPr>
          <w:p w14:paraId="139DDB0D"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2.4</w:t>
            </w:r>
          </w:p>
        </w:tc>
        <w:tc>
          <w:tcPr>
            <w:tcW w:w="2577" w:type="dxa"/>
          </w:tcPr>
          <w:p w14:paraId="29E93C3E"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Is the priority Routine?</w:t>
            </w:r>
          </w:p>
        </w:tc>
        <w:tc>
          <w:tcPr>
            <w:tcW w:w="2590" w:type="dxa"/>
          </w:tcPr>
          <w:p w14:paraId="73B8EB0A"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YES: Routine</w:t>
            </w:r>
          </w:p>
        </w:tc>
        <w:tc>
          <w:tcPr>
            <w:tcW w:w="4411" w:type="dxa"/>
          </w:tcPr>
          <w:p w14:paraId="181DDAA4"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The Narrative does not state that this is a STAT request or other urgent time specification </w:t>
            </w:r>
          </w:p>
        </w:tc>
      </w:tr>
      <w:tr w:rsidR="00410D41" w:rsidRPr="00B01F9E" w14:paraId="74D5E566" w14:textId="77777777" w:rsidTr="00D27791">
        <w:trPr>
          <w:trHeight w:val="402"/>
        </w:trPr>
        <w:tc>
          <w:tcPr>
            <w:tcW w:w="502" w:type="dxa"/>
            <w:shd w:val="clear" w:color="auto" w:fill="FBE4D5"/>
          </w:tcPr>
          <w:p w14:paraId="231236E5"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2.5</w:t>
            </w:r>
          </w:p>
        </w:tc>
        <w:tc>
          <w:tcPr>
            <w:tcW w:w="2577" w:type="dxa"/>
            <w:shd w:val="clear" w:color="auto" w:fill="FBE4D5"/>
          </w:tcPr>
          <w:p w14:paraId="0CD0A452"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Does the statement include a conditional trigger</w:t>
            </w:r>
          </w:p>
        </w:tc>
        <w:tc>
          <w:tcPr>
            <w:tcW w:w="2590" w:type="dxa"/>
            <w:shd w:val="clear" w:color="auto" w:fill="FBE4D5"/>
          </w:tcPr>
          <w:p w14:paraId="3B3C88F3"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NO</w:t>
            </w:r>
          </w:p>
        </w:tc>
        <w:tc>
          <w:tcPr>
            <w:tcW w:w="4411" w:type="dxa"/>
            <w:shd w:val="clear" w:color="auto" w:fill="FBE4D5"/>
          </w:tcPr>
          <w:p w14:paraId="1C5E9DBC"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Insufficient Information is given to indicate the conditional trigger/indication </w:t>
            </w:r>
          </w:p>
        </w:tc>
      </w:tr>
      <w:tr w:rsidR="00356219" w:rsidRPr="00B01F9E" w14:paraId="643C69B8" w14:textId="77777777" w:rsidTr="00D27791">
        <w:trPr>
          <w:trHeight w:val="392"/>
        </w:trPr>
        <w:tc>
          <w:tcPr>
            <w:tcW w:w="502" w:type="dxa"/>
          </w:tcPr>
          <w:p w14:paraId="4CCE6B6C"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2.6</w:t>
            </w:r>
          </w:p>
        </w:tc>
        <w:tc>
          <w:tcPr>
            <w:tcW w:w="2577" w:type="dxa"/>
          </w:tcPr>
          <w:p w14:paraId="25FBE155"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Does the statemen have any Repetition? </w:t>
            </w:r>
          </w:p>
        </w:tc>
        <w:tc>
          <w:tcPr>
            <w:tcW w:w="2590" w:type="dxa"/>
          </w:tcPr>
          <w:p w14:paraId="4B003E37"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NO</w:t>
            </w:r>
          </w:p>
        </w:tc>
        <w:tc>
          <w:tcPr>
            <w:tcW w:w="4411" w:type="dxa"/>
          </w:tcPr>
          <w:p w14:paraId="635F90A1"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The narrative does not indicate repetition</w:t>
            </w:r>
          </w:p>
        </w:tc>
      </w:tr>
      <w:tr w:rsidR="00410D41" w:rsidRPr="00B01F9E" w14:paraId="4839F6B8" w14:textId="77777777" w:rsidTr="00D27791">
        <w:trPr>
          <w:trHeight w:val="794"/>
        </w:trPr>
        <w:tc>
          <w:tcPr>
            <w:tcW w:w="502" w:type="dxa"/>
            <w:shd w:val="clear" w:color="auto" w:fill="FBE4D5"/>
          </w:tcPr>
          <w:p w14:paraId="7CB0B3FF"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2.7</w:t>
            </w:r>
          </w:p>
        </w:tc>
        <w:tc>
          <w:tcPr>
            <w:tcW w:w="2577" w:type="dxa"/>
            <w:shd w:val="clear" w:color="auto" w:fill="FBE4D5"/>
          </w:tcPr>
          <w:p w14:paraId="21F63D04"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Repetition = Period Start, Period Duration, Event Frequency, and Event Separation</w:t>
            </w:r>
          </w:p>
        </w:tc>
        <w:tc>
          <w:tcPr>
            <w:tcW w:w="2590" w:type="dxa"/>
            <w:shd w:val="clear" w:color="auto" w:fill="FBE4D5"/>
          </w:tcPr>
          <w:p w14:paraId="7E8F9432"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N/A</w:t>
            </w:r>
          </w:p>
        </w:tc>
        <w:tc>
          <w:tcPr>
            <w:tcW w:w="4411" w:type="dxa"/>
            <w:shd w:val="clear" w:color="auto" w:fill="FBE4D5"/>
          </w:tcPr>
          <w:p w14:paraId="653548E2" w14:textId="77777777" w:rsidR="00356219" w:rsidRPr="00B01F9E" w:rsidRDefault="00356219" w:rsidP="00D27791">
            <w:pPr>
              <w:rPr>
                <w:rFonts w:ascii="Arial" w:eastAsia="Calibri" w:hAnsi="Arial" w:cs="Arial"/>
                <w:sz w:val="20"/>
                <w:szCs w:val="20"/>
              </w:rPr>
            </w:pPr>
          </w:p>
        </w:tc>
      </w:tr>
      <w:tr w:rsidR="00356219" w:rsidRPr="00B01F9E" w14:paraId="09E93793" w14:textId="77777777" w:rsidTr="00D27791">
        <w:trPr>
          <w:trHeight w:val="392"/>
        </w:trPr>
        <w:tc>
          <w:tcPr>
            <w:tcW w:w="502" w:type="dxa"/>
          </w:tcPr>
          <w:p w14:paraId="72BACAE8"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2.8</w:t>
            </w:r>
          </w:p>
        </w:tc>
        <w:tc>
          <w:tcPr>
            <w:tcW w:w="2577" w:type="dxa"/>
          </w:tcPr>
          <w:p w14:paraId="03070CDD"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Does Repetition have an Event Duration? </w:t>
            </w:r>
          </w:p>
        </w:tc>
        <w:tc>
          <w:tcPr>
            <w:tcW w:w="2590" w:type="dxa"/>
          </w:tcPr>
          <w:p w14:paraId="40852106" w14:textId="77777777" w:rsidR="00356219" w:rsidRPr="00B01F9E" w:rsidRDefault="00356219" w:rsidP="00D27791">
            <w:pPr>
              <w:rPr>
                <w:rFonts w:ascii="Arial" w:eastAsia="Calibri" w:hAnsi="Arial" w:cs="Arial"/>
                <w:b/>
                <w:bCs/>
                <w:sz w:val="20"/>
                <w:szCs w:val="20"/>
              </w:rPr>
            </w:pPr>
            <w:r w:rsidRPr="00B01F9E">
              <w:rPr>
                <w:rFonts w:ascii="Arial" w:eastAsia="Calibri" w:hAnsi="Arial" w:cs="Arial"/>
                <w:b/>
                <w:bCs/>
                <w:sz w:val="20"/>
                <w:szCs w:val="20"/>
              </w:rPr>
              <w:t>N/A</w:t>
            </w:r>
          </w:p>
        </w:tc>
        <w:tc>
          <w:tcPr>
            <w:tcW w:w="4411" w:type="dxa"/>
          </w:tcPr>
          <w:p w14:paraId="4E50B980" w14:textId="77777777" w:rsidR="00356219" w:rsidRPr="00B01F9E" w:rsidRDefault="00356219" w:rsidP="00D27791">
            <w:pPr>
              <w:rPr>
                <w:rFonts w:ascii="Arial" w:eastAsia="Calibri" w:hAnsi="Arial" w:cs="Arial"/>
                <w:sz w:val="20"/>
                <w:szCs w:val="20"/>
              </w:rPr>
            </w:pPr>
          </w:p>
        </w:tc>
      </w:tr>
      <w:tr w:rsidR="00410D41" w:rsidRPr="00B01F9E" w14:paraId="54B582C0" w14:textId="77777777" w:rsidTr="00D27791">
        <w:trPr>
          <w:trHeight w:val="621"/>
        </w:trPr>
        <w:tc>
          <w:tcPr>
            <w:tcW w:w="502" w:type="dxa"/>
            <w:shd w:val="clear" w:color="auto" w:fill="FBE4D5"/>
          </w:tcPr>
          <w:p w14:paraId="5305AE3C" w14:textId="77777777" w:rsidR="00356219" w:rsidRPr="00B01F9E" w:rsidRDefault="00356219" w:rsidP="00356219">
            <w:pPr>
              <w:rPr>
                <w:rFonts w:ascii="Arial" w:eastAsia="Calibri" w:hAnsi="Arial" w:cs="Arial"/>
                <w:sz w:val="20"/>
                <w:szCs w:val="20"/>
              </w:rPr>
            </w:pPr>
            <w:r w:rsidRPr="00B01F9E">
              <w:rPr>
                <w:rFonts w:ascii="Arial" w:eastAsia="Calibri" w:hAnsi="Arial" w:cs="Arial"/>
                <w:sz w:val="20"/>
                <w:szCs w:val="20"/>
              </w:rPr>
              <w:t>2.9</w:t>
            </w:r>
          </w:p>
        </w:tc>
        <w:tc>
          <w:tcPr>
            <w:tcW w:w="2577" w:type="dxa"/>
            <w:shd w:val="clear" w:color="auto" w:fill="FBE4D5"/>
          </w:tcPr>
          <w:p w14:paraId="1BFA179B" w14:textId="46BA4471" w:rsidR="00356219" w:rsidRPr="00B01F9E" w:rsidRDefault="00356219" w:rsidP="00D27791">
            <w:pPr>
              <w:rPr>
                <w:rFonts w:ascii="Arial" w:eastAsia="Calibri" w:hAnsi="Arial" w:cs="Arial"/>
                <w:sz w:val="20"/>
                <w:szCs w:val="20"/>
              </w:rPr>
            </w:pPr>
            <w:proofErr w:type="spellStart"/>
            <w:r w:rsidRPr="00B01F9E">
              <w:rPr>
                <w:rFonts w:ascii="Arial" w:eastAsia="Calibri" w:hAnsi="Arial" w:cs="Arial"/>
                <w:sz w:val="20"/>
                <w:szCs w:val="20"/>
              </w:rPr>
              <w:t>requestedResult</w:t>
            </w:r>
            <w:proofErr w:type="spellEnd"/>
            <w:r w:rsidRPr="00B01F9E">
              <w:rPr>
                <w:rFonts w:ascii="Arial" w:eastAsia="Calibri" w:hAnsi="Arial" w:cs="Arial"/>
                <w:sz w:val="20"/>
                <w:szCs w:val="20"/>
              </w:rPr>
              <w:t>= measure of limit (e.g.</w:t>
            </w:r>
            <w:r w:rsidR="00CB5C98" w:rsidRPr="00B01F9E">
              <w:rPr>
                <w:rFonts w:ascii="Arial" w:eastAsia="Calibri" w:hAnsi="Arial" w:cs="Arial"/>
                <w:sz w:val="20"/>
                <w:szCs w:val="20"/>
              </w:rPr>
              <w:t>,</w:t>
            </w:r>
            <w:r w:rsidRPr="00B01F9E">
              <w:rPr>
                <w:rFonts w:ascii="Arial" w:eastAsia="Calibri" w:hAnsi="Arial" w:cs="Arial"/>
                <w:sz w:val="20"/>
                <w:szCs w:val="20"/>
              </w:rPr>
              <w:t xml:space="preserve"> upper/lower limit of doses; upper/lower bound) </w:t>
            </w:r>
          </w:p>
        </w:tc>
        <w:tc>
          <w:tcPr>
            <w:tcW w:w="2590" w:type="dxa"/>
            <w:shd w:val="clear" w:color="auto" w:fill="FBE4D5"/>
          </w:tcPr>
          <w:p w14:paraId="646846AF" w14:textId="77777777" w:rsidR="00356219" w:rsidRPr="00B01F9E" w:rsidRDefault="00356219" w:rsidP="00D27791">
            <w:pPr>
              <w:rPr>
                <w:rFonts w:ascii="Arial" w:eastAsia="Calibri" w:hAnsi="Arial" w:cs="Arial"/>
                <w:b/>
                <w:bCs/>
                <w:sz w:val="20"/>
                <w:szCs w:val="20"/>
              </w:rPr>
            </w:pPr>
            <w:proofErr w:type="spellStart"/>
            <w:r w:rsidRPr="00B01F9E">
              <w:rPr>
                <w:rFonts w:ascii="Arial" w:eastAsia="Calibri" w:hAnsi="Arial" w:cs="Arial"/>
                <w:b/>
                <w:bCs/>
                <w:sz w:val="20"/>
                <w:szCs w:val="20"/>
              </w:rPr>
              <w:t>requestedResult</w:t>
            </w:r>
            <w:proofErr w:type="spellEnd"/>
            <w:r w:rsidRPr="00B01F9E">
              <w:rPr>
                <w:rFonts w:ascii="Arial" w:eastAsia="Calibri" w:hAnsi="Arial" w:cs="Arial"/>
                <w:b/>
                <w:bCs/>
                <w:sz w:val="20"/>
                <w:szCs w:val="20"/>
              </w:rPr>
              <w:t> = (1,0)</w:t>
            </w:r>
          </w:p>
        </w:tc>
        <w:tc>
          <w:tcPr>
            <w:tcW w:w="4411" w:type="dxa"/>
            <w:shd w:val="clear" w:color="auto" w:fill="FBE4D5"/>
          </w:tcPr>
          <w:p w14:paraId="0F6C9C51" w14:textId="77777777" w:rsidR="00356219" w:rsidRPr="00B01F9E" w:rsidRDefault="00356219" w:rsidP="00D27791">
            <w:pPr>
              <w:rPr>
                <w:rFonts w:ascii="Arial" w:eastAsia="Calibri" w:hAnsi="Arial" w:cs="Arial"/>
                <w:sz w:val="20"/>
                <w:szCs w:val="20"/>
              </w:rPr>
            </w:pPr>
            <w:r w:rsidRPr="00B01F9E">
              <w:rPr>
                <w:rFonts w:ascii="Arial" w:eastAsia="Calibri" w:hAnsi="Arial" w:cs="Arial"/>
                <w:sz w:val="20"/>
                <w:szCs w:val="20"/>
              </w:rPr>
              <w:t>The </w:t>
            </w:r>
            <w:proofErr w:type="spellStart"/>
            <w:r w:rsidRPr="00B01F9E">
              <w:rPr>
                <w:rFonts w:ascii="Arial" w:eastAsia="Calibri" w:hAnsi="Arial" w:cs="Arial"/>
                <w:sz w:val="20"/>
                <w:szCs w:val="20"/>
              </w:rPr>
              <w:t>requestedResult</w:t>
            </w:r>
            <w:proofErr w:type="spellEnd"/>
            <w:r w:rsidRPr="00B01F9E">
              <w:rPr>
                <w:rFonts w:ascii="Arial" w:eastAsia="Calibri" w:hAnsi="Arial" w:cs="Arial"/>
                <w:sz w:val="20"/>
                <w:szCs w:val="20"/>
              </w:rPr>
              <w:t> specifies the measurable result. In this case the number of orders for albumin is one at a point in time. It does not indicate any other orders beyond the 1</w:t>
            </w:r>
            <w:r w:rsidRPr="00B01F9E">
              <w:rPr>
                <w:rFonts w:ascii="Arial" w:eastAsia="Calibri" w:hAnsi="Arial" w:cs="Arial"/>
                <w:sz w:val="20"/>
                <w:szCs w:val="20"/>
                <w:vertAlign w:val="superscript"/>
              </w:rPr>
              <w:t>st</w:t>
            </w:r>
            <w:r w:rsidRPr="00B01F9E">
              <w:rPr>
                <w:rFonts w:ascii="Arial" w:eastAsia="Calibri" w:hAnsi="Arial" w:cs="Arial"/>
                <w:sz w:val="20"/>
                <w:szCs w:val="20"/>
              </w:rPr>
              <w:t> one </w:t>
            </w:r>
          </w:p>
        </w:tc>
      </w:tr>
    </w:tbl>
    <w:p w14:paraId="2457BA6C" w14:textId="14F478B4" w:rsidR="000A45B3" w:rsidRPr="00B01F9E" w:rsidRDefault="000A45B3" w:rsidP="000A45B3">
      <w:pPr>
        <w:spacing w:before="120" w:after="120"/>
        <w:rPr>
          <w:rFonts w:ascii="Arial" w:hAnsi="Arial" w:cs="Arial"/>
          <w:sz w:val="20"/>
          <w:szCs w:val="20"/>
        </w:rPr>
      </w:pPr>
      <w:r w:rsidRPr="00B01F9E">
        <w:rPr>
          <w:rFonts w:ascii="Arial" w:hAnsi="Arial" w:cs="Arial"/>
          <w:sz w:val="20"/>
          <w:szCs w:val="20"/>
        </w:rPr>
        <w:t xml:space="preserve">Table </w:t>
      </w:r>
      <w:r w:rsidR="007430D5" w:rsidRPr="00B01F9E">
        <w:rPr>
          <w:rFonts w:ascii="Arial" w:hAnsi="Arial" w:cs="Arial"/>
          <w:sz w:val="20"/>
          <w:szCs w:val="20"/>
        </w:rPr>
        <w:t>1</w:t>
      </w:r>
      <w:r w:rsidR="0017372F" w:rsidRPr="00B01F9E">
        <w:rPr>
          <w:rFonts w:ascii="Arial" w:hAnsi="Arial" w:cs="Arial"/>
          <w:sz w:val="20"/>
          <w:szCs w:val="20"/>
        </w:rPr>
        <w:t>5</w:t>
      </w:r>
      <w:r w:rsidRPr="00B01F9E">
        <w:rPr>
          <w:rFonts w:ascii="Arial" w:hAnsi="Arial" w:cs="Arial"/>
          <w:sz w:val="20"/>
          <w:szCs w:val="20"/>
        </w:rPr>
        <w:t xml:space="preserve"> depicts the outcome of transforming the “Request for Serum Albumin via Electronic Order Entry” into an ANF clinical statement. </w:t>
      </w:r>
    </w:p>
    <w:p w14:paraId="7F4D9C96" w14:textId="77777777" w:rsidR="00AE19BC" w:rsidRPr="00B01F9E" w:rsidRDefault="00AE19BC">
      <w:pPr>
        <w:rPr>
          <w:rFonts w:ascii="Arial" w:hAnsi="Arial" w:cs="Arial"/>
          <w:b/>
          <w:bCs/>
          <w:color w:val="009BBF"/>
          <w:sz w:val="20"/>
          <w:szCs w:val="20"/>
        </w:rPr>
      </w:pPr>
      <w:r w:rsidRPr="00B01F9E">
        <w:rPr>
          <w:rFonts w:ascii="Arial" w:hAnsi="Arial" w:cs="Arial"/>
          <w:b/>
          <w:bCs/>
          <w:color w:val="009BBF"/>
          <w:sz w:val="20"/>
          <w:szCs w:val="20"/>
        </w:rPr>
        <w:br w:type="page"/>
      </w:r>
    </w:p>
    <w:p w14:paraId="14FEF630" w14:textId="4C02CE71" w:rsidR="005F7B7F" w:rsidRPr="00B01F9E" w:rsidRDefault="005F7B7F" w:rsidP="005F1D64">
      <w:pPr>
        <w:spacing w:after="0"/>
        <w:rPr>
          <w:rFonts w:ascii="Arial" w:hAnsi="Arial" w:cs="Arial"/>
          <w:b/>
          <w:bCs/>
          <w:color w:val="009BBF"/>
          <w:sz w:val="20"/>
          <w:szCs w:val="20"/>
        </w:rPr>
      </w:pPr>
      <w:r w:rsidRPr="00B01F9E">
        <w:rPr>
          <w:rFonts w:ascii="Arial" w:hAnsi="Arial" w:cs="Arial"/>
          <w:b/>
          <w:bCs/>
          <w:color w:val="009BBF"/>
          <w:sz w:val="20"/>
          <w:szCs w:val="20"/>
        </w:rPr>
        <w:lastRenderedPageBreak/>
        <w:t xml:space="preserve">Table </w:t>
      </w:r>
      <w:r w:rsidR="007430D5" w:rsidRPr="00B01F9E">
        <w:rPr>
          <w:rFonts w:ascii="Arial" w:hAnsi="Arial" w:cs="Arial"/>
          <w:b/>
          <w:bCs/>
          <w:color w:val="009BBF"/>
          <w:sz w:val="20"/>
          <w:szCs w:val="20"/>
        </w:rPr>
        <w:t>1</w:t>
      </w:r>
      <w:r w:rsidR="0017372F" w:rsidRPr="00B01F9E">
        <w:rPr>
          <w:rFonts w:ascii="Arial" w:hAnsi="Arial" w:cs="Arial"/>
          <w:b/>
          <w:bCs/>
          <w:color w:val="009BBF"/>
          <w:sz w:val="20"/>
          <w:szCs w:val="20"/>
        </w:rPr>
        <w:t>5</w:t>
      </w:r>
      <w:r w:rsidRPr="00B01F9E">
        <w:rPr>
          <w:rFonts w:ascii="Arial" w:hAnsi="Arial" w:cs="Arial"/>
          <w:b/>
          <w:color w:val="009BBF"/>
          <w:sz w:val="20"/>
          <w:szCs w:val="20"/>
        </w:rPr>
        <w:t>:</w:t>
      </w:r>
      <w:r w:rsidRPr="00B01F9E">
        <w:rPr>
          <w:rFonts w:ascii="Arial" w:hAnsi="Arial" w:cs="Arial"/>
          <w:b/>
          <w:bCs/>
          <w:color w:val="009BBF"/>
          <w:sz w:val="20"/>
          <w:szCs w:val="20"/>
        </w:rPr>
        <w:t xml:space="preserve"> Transform Serum Albumin Request </w:t>
      </w:r>
      <w:r w:rsidR="00FA3D5C" w:rsidRPr="00B01F9E">
        <w:rPr>
          <w:rFonts w:ascii="Arial" w:hAnsi="Arial" w:cs="Arial"/>
          <w:b/>
          <w:bCs/>
          <w:color w:val="009BBF"/>
          <w:sz w:val="20"/>
          <w:szCs w:val="20"/>
        </w:rPr>
        <w:t>i</w:t>
      </w:r>
      <w:r w:rsidRPr="00B01F9E">
        <w:rPr>
          <w:rFonts w:ascii="Arial" w:hAnsi="Arial" w:cs="Arial"/>
          <w:b/>
          <w:bCs/>
          <w:color w:val="009BBF"/>
          <w:sz w:val="20"/>
          <w:szCs w:val="20"/>
        </w:rPr>
        <w:t>nto ANF Clinical Statement</w:t>
      </w:r>
    </w:p>
    <w:tbl>
      <w:tblPr>
        <w:tblStyle w:val="TableGrid5"/>
        <w:tblW w:w="9542" w:type="dxa"/>
        <w:tblInd w:w="-5" w:type="dxa"/>
        <w:tblLook w:val="04A0" w:firstRow="1" w:lastRow="0" w:firstColumn="1" w:lastColumn="0" w:noHBand="0" w:noVBand="1"/>
      </w:tblPr>
      <w:tblGrid>
        <w:gridCol w:w="1962"/>
        <w:gridCol w:w="7580"/>
      </w:tblGrid>
      <w:tr w:rsidR="00410D41" w:rsidRPr="00B01F9E" w14:paraId="4DE6EFF1" w14:textId="77777777" w:rsidTr="00D27791">
        <w:trPr>
          <w:trHeight w:val="199"/>
        </w:trPr>
        <w:tc>
          <w:tcPr>
            <w:tcW w:w="1962" w:type="dxa"/>
            <w:shd w:val="clear" w:color="auto" w:fill="2F5496"/>
          </w:tcPr>
          <w:p w14:paraId="34BD51EF" w14:textId="77777777" w:rsidR="00A623EB" w:rsidRPr="00B01F9E" w:rsidRDefault="00A623EB" w:rsidP="00D27791">
            <w:pPr>
              <w:rPr>
                <w:rFonts w:ascii="Arial" w:eastAsia="Calibri" w:hAnsi="Arial" w:cs="Arial"/>
                <w:color w:val="FFFFFF"/>
                <w:sz w:val="20"/>
                <w:szCs w:val="20"/>
              </w:rPr>
            </w:pPr>
            <w:r w:rsidRPr="00B01F9E">
              <w:rPr>
                <w:rFonts w:ascii="Arial" w:eastAsia="Calibri" w:hAnsi="Arial" w:cs="Arial"/>
                <w:color w:val="FFFFFF"/>
                <w:sz w:val="20"/>
                <w:szCs w:val="20"/>
              </w:rPr>
              <w:t>Topic</w:t>
            </w:r>
          </w:p>
        </w:tc>
        <w:tc>
          <w:tcPr>
            <w:tcW w:w="7580" w:type="dxa"/>
            <w:shd w:val="clear" w:color="auto" w:fill="D9E2F3"/>
          </w:tcPr>
          <w:p w14:paraId="5DFCFF9C"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Observation procedure -&gt; Topic: Serum Albumin</w:t>
            </w:r>
          </w:p>
        </w:tc>
      </w:tr>
      <w:tr w:rsidR="00410D41" w:rsidRPr="00B01F9E" w14:paraId="1B0BF90B" w14:textId="77777777" w:rsidTr="00D27791">
        <w:trPr>
          <w:trHeight w:val="199"/>
        </w:trPr>
        <w:tc>
          <w:tcPr>
            <w:tcW w:w="1962" w:type="dxa"/>
            <w:shd w:val="clear" w:color="auto" w:fill="2F5496"/>
          </w:tcPr>
          <w:p w14:paraId="2F8FDC73" w14:textId="77777777" w:rsidR="00A623EB" w:rsidRPr="00B01F9E" w:rsidRDefault="00A623EB" w:rsidP="00D27791">
            <w:pPr>
              <w:rPr>
                <w:rFonts w:ascii="Arial" w:eastAsia="Calibri" w:hAnsi="Arial" w:cs="Arial"/>
                <w:color w:val="FFFFFF"/>
                <w:sz w:val="20"/>
                <w:szCs w:val="20"/>
              </w:rPr>
            </w:pPr>
            <w:r w:rsidRPr="00B01F9E">
              <w:rPr>
                <w:rFonts w:ascii="Arial" w:eastAsia="Calibri" w:hAnsi="Arial" w:cs="Arial"/>
                <w:color w:val="FFFFFF"/>
                <w:sz w:val="20"/>
                <w:szCs w:val="20"/>
              </w:rPr>
              <w:t>Technique</w:t>
            </w:r>
          </w:p>
        </w:tc>
        <w:tc>
          <w:tcPr>
            <w:tcW w:w="7580" w:type="dxa"/>
            <w:shd w:val="clear" w:color="auto" w:fill="D9E2F3"/>
          </w:tcPr>
          <w:p w14:paraId="3D08F0D5"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Electronic Order Entry</w:t>
            </w:r>
          </w:p>
        </w:tc>
      </w:tr>
      <w:tr w:rsidR="00410D41" w:rsidRPr="00B01F9E" w14:paraId="1A58C00A" w14:textId="77777777" w:rsidTr="00D27791">
        <w:trPr>
          <w:trHeight w:val="410"/>
        </w:trPr>
        <w:tc>
          <w:tcPr>
            <w:tcW w:w="1962" w:type="dxa"/>
            <w:shd w:val="clear" w:color="auto" w:fill="C45911"/>
          </w:tcPr>
          <w:p w14:paraId="355DD06C" w14:textId="77777777" w:rsidR="00A623EB" w:rsidRPr="00B01F9E" w:rsidRDefault="00A623EB" w:rsidP="00D27791">
            <w:pPr>
              <w:rPr>
                <w:rFonts w:ascii="Arial" w:eastAsia="Calibri" w:hAnsi="Arial" w:cs="Arial"/>
                <w:color w:val="FFFFFF"/>
                <w:sz w:val="20"/>
                <w:szCs w:val="20"/>
              </w:rPr>
            </w:pPr>
            <w:r w:rsidRPr="00B01F9E">
              <w:rPr>
                <w:rFonts w:ascii="Arial" w:eastAsia="Calibri" w:hAnsi="Arial" w:cs="Arial"/>
                <w:color w:val="FFFFFF"/>
                <w:sz w:val="20"/>
                <w:szCs w:val="20"/>
              </w:rPr>
              <w:t>Circumstance</w:t>
            </w:r>
          </w:p>
        </w:tc>
        <w:tc>
          <w:tcPr>
            <w:tcW w:w="7580" w:type="dxa"/>
            <w:shd w:val="clear" w:color="auto" w:fill="FBE4D5"/>
          </w:tcPr>
          <w:p w14:paraId="6B118644"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 xml:space="preserve">Period Start = [Now, </w:t>
            </w:r>
            <w:proofErr w:type="gramStart"/>
            <w:r w:rsidRPr="00B01F9E">
              <w:rPr>
                <w:rFonts w:ascii="Arial" w:eastAsia="Calibri" w:hAnsi="Arial" w:cs="Arial"/>
                <w:sz w:val="20"/>
                <w:szCs w:val="20"/>
              </w:rPr>
              <w:t>Now</w:t>
            </w:r>
            <w:proofErr w:type="gramEnd"/>
            <w:r w:rsidRPr="00B01F9E">
              <w:rPr>
                <w:rFonts w:ascii="Arial" w:eastAsia="Calibri" w:hAnsi="Arial" w:cs="Arial"/>
                <w:sz w:val="20"/>
                <w:szCs w:val="20"/>
              </w:rPr>
              <w:t xml:space="preserve">], Period Duration = [Now, Now] Event Frequency [1,0] once, Separation = [0,0]; </w:t>
            </w:r>
            <w:proofErr w:type="spellStart"/>
            <w:r w:rsidRPr="00B01F9E">
              <w:rPr>
                <w:rFonts w:ascii="Arial" w:eastAsia="Calibri" w:hAnsi="Arial" w:cs="Arial"/>
                <w:sz w:val="20"/>
                <w:szCs w:val="20"/>
              </w:rPr>
              <w:t>RequestedResult</w:t>
            </w:r>
            <w:proofErr w:type="spellEnd"/>
            <w:r w:rsidRPr="00B01F9E">
              <w:rPr>
                <w:rFonts w:ascii="Arial" w:eastAsia="Calibri" w:hAnsi="Arial" w:cs="Arial"/>
                <w:sz w:val="20"/>
                <w:szCs w:val="20"/>
              </w:rPr>
              <w:t xml:space="preserve"> = [1,1] countable quantity</w:t>
            </w:r>
          </w:p>
        </w:tc>
      </w:tr>
      <w:tr w:rsidR="00410D41" w:rsidRPr="00B01F9E" w14:paraId="00BC2C7D" w14:textId="77777777" w:rsidTr="00D27791">
        <w:trPr>
          <w:trHeight w:val="199"/>
        </w:trPr>
        <w:tc>
          <w:tcPr>
            <w:tcW w:w="1962" w:type="dxa"/>
            <w:shd w:val="clear" w:color="auto" w:fill="7F7F7F"/>
          </w:tcPr>
          <w:p w14:paraId="59CBF14F" w14:textId="77777777" w:rsidR="00A623EB" w:rsidRPr="00B01F9E" w:rsidRDefault="00A623EB" w:rsidP="00D27791">
            <w:pPr>
              <w:rPr>
                <w:rFonts w:ascii="Arial" w:eastAsia="Calibri" w:hAnsi="Arial" w:cs="Arial"/>
                <w:color w:val="FFFFFF"/>
                <w:sz w:val="20"/>
                <w:szCs w:val="20"/>
              </w:rPr>
            </w:pPr>
            <w:r w:rsidRPr="00B01F9E">
              <w:rPr>
                <w:rFonts w:ascii="Arial" w:eastAsia="Calibri" w:hAnsi="Arial" w:cs="Arial"/>
                <w:color w:val="FFFFFF"/>
                <w:sz w:val="20"/>
                <w:szCs w:val="20"/>
              </w:rPr>
              <w:t>Prerequisite</w:t>
            </w:r>
          </w:p>
        </w:tc>
        <w:tc>
          <w:tcPr>
            <w:tcW w:w="7580" w:type="dxa"/>
            <w:shd w:val="clear" w:color="auto" w:fill="D0CECE"/>
          </w:tcPr>
          <w:p w14:paraId="7FF54DF2"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N/A</w:t>
            </w:r>
          </w:p>
        </w:tc>
      </w:tr>
      <w:tr w:rsidR="00A623EB" w:rsidRPr="00B01F9E" w14:paraId="5D76EFD0" w14:textId="77777777" w:rsidTr="00D27791">
        <w:trPr>
          <w:trHeight w:val="1011"/>
        </w:trPr>
        <w:tc>
          <w:tcPr>
            <w:tcW w:w="1962" w:type="dxa"/>
          </w:tcPr>
          <w:p w14:paraId="4E03565B"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Rationale</w:t>
            </w:r>
          </w:p>
        </w:tc>
        <w:tc>
          <w:tcPr>
            <w:tcW w:w="7580" w:type="dxa"/>
          </w:tcPr>
          <w:p w14:paraId="7114BB92"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Topic –N/A</w:t>
            </w:r>
          </w:p>
          <w:p w14:paraId="436CC587"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Technique- N/A</w:t>
            </w:r>
          </w:p>
          <w:p w14:paraId="3EE29EB0"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Circumstance-The circumstance field indicates timing</w:t>
            </w:r>
          </w:p>
          <w:p w14:paraId="16EEAD31" w14:textId="77777777" w:rsidR="00A623EB" w:rsidRPr="00B01F9E" w:rsidRDefault="00A623EB" w:rsidP="00D27791">
            <w:pPr>
              <w:rPr>
                <w:rFonts w:ascii="Arial" w:eastAsia="Calibri" w:hAnsi="Arial" w:cs="Arial"/>
                <w:sz w:val="20"/>
                <w:szCs w:val="20"/>
              </w:rPr>
            </w:pPr>
            <w:r w:rsidRPr="00B01F9E">
              <w:rPr>
                <w:rFonts w:ascii="Arial" w:eastAsia="Calibri" w:hAnsi="Arial" w:cs="Arial"/>
                <w:sz w:val="20"/>
                <w:szCs w:val="20"/>
              </w:rPr>
              <w:t xml:space="preserve">Prerequisite- insufficient information given regarding actions performed prior to request for serum albumin via electronic order entry </w:t>
            </w:r>
          </w:p>
        </w:tc>
      </w:tr>
    </w:tbl>
    <w:p w14:paraId="09490DA0" w14:textId="45AF49F8" w:rsidR="005F7BC5" w:rsidRPr="00B01F9E" w:rsidRDefault="005F7BC5" w:rsidP="005F7BC5">
      <w:pPr>
        <w:spacing w:before="120" w:after="120"/>
        <w:rPr>
          <w:rFonts w:ascii="Arial" w:hAnsi="Arial" w:cs="Arial"/>
          <w:sz w:val="20"/>
          <w:szCs w:val="20"/>
        </w:rPr>
      </w:pPr>
      <w:r w:rsidRPr="00B01F9E">
        <w:rPr>
          <w:rFonts w:ascii="Arial" w:hAnsi="Arial" w:cs="Arial"/>
          <w:sz w:val="20"/>
          <w:szCs w:val="20"/>
        </w:rPr>
        <w:t xml:space="preserve">The “performance” circumstance was further evaluated using the flowchart from the User Guide (Figure </w:t>
      </w:r>
      <w:r w:rsidR="00F71485" w:rsidRPr="00B01F9E">
        <w:rPr>
          <w:rFonts w:ascii="Arial" w:hAnsi="Arial" w:cs="Arial"/>
          <w:sz w:val="20"/>
          <w:szCs w:val="20"/>
        </w:rPr>
        <w:t>2</w:t>
      </w:r>
      <w:r w:rsidR="00476D19" w:rsidRPr="00B01F9E">
        <w:rPr>
          <w:rFonts w:ascii="Arial" w:hAnsi="Arial" w:cs="Arial"/>
          <w:sz w:val="20"/>
          <w:szCs w:val="20"/>
        </w:rPr>
        <w:t>6</w:t>
      </w:r>
      <w:r w:rsidRPr="00B01F9E">
        <w:rPr>
          <w:rFonts w:ascii="Arial" w:hAnsi="Arial" w:cs="Arial"/>
          <w:sz w:val="20"/>
          <w:szCs w:val="20"/>
        </w:rPr>
        <w:t xml:space="preserve">). Steps that did not apply to the ANF use case were marked with an “X” in the flowchart. Note, this circumstance has two associated ANF statements, making this flowchart more complex. Additionally, questions arose related to the applicability of certain flows for the performance of the specimen collection and the performance of the test. </w:t>
      </w:r>
    </w:p>
    <w:p w14:paraId="529C670D" w14:textId="77777777" w:rsidR="005F7BC5" w:rsidRPr="00B01F9E" w:rsidRDefault="005F7BC5" w:rsidP="005F1D64">
      <w:pPr>
        <w:spacing w:after="120"/>
        <w:rPr>
          <w:rFonts w:ascii="Arial" w:hAnsi="Arial" w:cs="Arial"/>
          <w:sz w:val="20"/>
          <w:szCs w:val="20"/>
        </w:rPr>
      </w:pPr>
      <w:r w:rsidRPr="00B01F9E">
        <w:rPr>
          <w:rFonts w:ascii="Arial" w:hAnsi="Arial" w:cs="Arial"/>
          <w:sz w:val="20"/>
          <w:szCs w:val="20"/>
        </w:rPr>
        <w:t>Specimen collection is considered a critical step and is defined as an “associated ANF statement”, because it captures the collection method of the specimen as well as the collection container, both of which are LIDR elements. However, the flow ends before capturing that data due to the completion of status.</w:t>
      </w:r>
    </w:p>
    <w:p w14:paraId="6694FADE" w14:textId="77777777" w:rsidR="004353F2" w:rsidRPr="00B01F9E" w:rsidRDefault="004353F2" w:rsidP="00E14A16">
      <w:pPr>
        <w:spacing w:after="0"/>
        <w:rPr>
          <w:rFonts w:ascii="Arial" w:hAnsi="Arial" w:cs="Arial"/>
          <w:b/>
          <w:bCs/>
          <w:color w:val="009BBF"/>
          <w:sz w:val="20"/>
          <w:szCs w:val="20"/>
        </w:rPr>
        <w:sectPr w:rsidR="004353F2" w:rsidRPr="00B01F9E" w:rsidSect="00322C54">
          <w:headerReference w:type="default" r:id="rId80"/>
          <w:pgSz w:w="12240" w:h="15840"/>
          <w:pgMar w:top="1440" w:right="1440" w:bottom="1440" w:left="1440" w:header="0" w:footer="720" w:gutter="0"/>
          <w:cols w:space="720"/>
          <w:docGrid w:linePitch="360"/>
        </w:sectPr>
      </w:pPr>
    </w:p>
    <w:p w14:paraId="715B1107" w14:textId="5ED58223" w:rsidR="00A13F43" w:rsidRPr="00B01F9E" w:rsidRDefault="00A13F43" w:rsidP="00E14A16">
      <w:pPr>
        <w:spacing w:after="0"/>
        <w:rPr>
          <w:rFonts w:ascii="Arial" w:hAnsi="Arial" w:cs="Arial"/>
          <w:b/>
          <w:bCs/>
          <w:color w:val="009BBF"/>
          <w:sz w:val="20"/>
          <w:szCs w:val="20"/>
        </w:rPr>
      </w:pPr>
      <w:r w:rsidRPr="00B01F9E">
        <w:rPr>
          <w:rFonts w:ascii="Arial" w:hAnsi="Arial" w:cs="Arial"/>
          <w:b/>
          <w:bCs/>
          <w:color w:val="009BBF"/>
          <w:sz w:val="20"/>
          <w:szCs w:val="20"/>
        </w:rPr>
        <w:lastRenderedPageBreak/>
        <w:t xml:space="preserve">Figure </w:t>
      </w:r>
      <w:r w:rsidR="00F71485" w:rsidRPr="00B01F9E">
        <w:rPr>
          <w:rFonts w:ascii="Arial" w:hAnsi="Arial" w:cs="Arial"/>
          <w:b/>
          <w:bCs/>
          <w:color w:val="009BBF"/>
          <w:sz w:val="20"/>
          <w:szCs w:val="20"/>
        </w:rPr>
        <w:t>2</w:t>
      </w:r>
      <w:r w:rsidR="00476D19" w:rsidRPr="00B01F9E">
        <w:rPr>
          <w:rFonts w:ascii="Arial" w:hAnsi="Arial" w:cs="Arial"/>
          <w:b/>
          <w:bCs/>
          <w:color w:val="009BBF"/>
          <w:sz w:val="20"/>
          <w:szCs w:val="20"/>
        </w:rPr>
        <w:t>6</w:t>
      </w:r>
      <w:r w:rsidRPr="00B01F9E">
        <w:rPr>
          <w:rFonts w:ascii="Arial" w:hAnsi="Arial" w:cs="Arial"/>
          <w:b/>
          <w:color w:val="009BBF"/>
          <w:sz w:val="20"/>
          <w:szCs w:val="20"/>
        </w:rPr>
        <w:t>:</w:t>
      </w:r>
      <w:r w:rsidRPr="00B01F9E">
        <w:rPr>
          <w:rFonts w:ascii="Arial" w:hAnsi="Arial" w:cs="Arial"/>
          <w:b/>
          <w:bCs/>
          <w:color w:val="009BBF"/>
          <w:sz w:val="20"/>
          <w:szCs w:val="20"/>
        </w:rPr>
        <w:t xml:space="preserve"> Building Albumin Performance ANF Circumstance </w:t>
      </w:r>
    </w:p>
    <w:p w14:paraId="69364D0B" w14:textId="77777777" w:rsidR="006E3338" w:rsidRPr="00B01F9E" w:rsidRDefault="005223FE" w:rsidP="00C462F5">
      <w:pPr>
        <w:rPr>
          <w:rFonts w:ascii="Arial" w:hAnsi="Arial" w:cs="Arial"/>
          <w:b/>
          <w:bCs/>
          <w:color w:val="4BACC6"/>
          <w:sz w:val="20"/>
          <w:szCs w:val="20"/>
        </w:rPr>
      </w:pPr>
      <w:r w:rsidRPr="00B01F9E">
        <w:rPr>
          <w:rFonts w:ascii="Arial" w:hAnsi="Arial" w:cs="Arial"/>
          <w:noProof/>
          <w:sz w:val="20"/>
          <w:szCs w:val="20"/>
        </w:rPr>
        <w:drawing>
          <wp:inline distT="0" distB="0" distL="0" distR="0" wp14:anchorId="35DD0380" wp14:editId="20034741">
            <wp:extent cx="6890918" cy="4066874"/>
            <wp:effectExtent l="0" t="0" r="0" b="0"/>
            <wp:docPr id="171359480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94807" name="Graphic 1713594807"/>
                    <pic:cNvPicPr/>
                  </pic:nvPicPr>
                  <pic:blipFill rotWithShape="1">
                    <a:blip r:embed="rId81" cstate="print">
                      <a:extLst>
                        <a:ext uri="{28A0092B-C50C-407E-A947-70E740481C1C}">
                          <a14:useLocalDpi xmlns:a14="http://schemas.microsoft.com/office/drawing/2010/main" val="0"/>
                        </a:ext>
                        <a:ext uri="{96DAC541-7B7A-43D3-8B79-37D633B846F1}">
                          <asvg:svgBlip xmlns:asvg="http://schemas.microsoft.com/office/drawing/2016/SVG/main" r:embed="rId82"/>
                        </a:ext>
                      </a:extLst>
                    </a:blip>
                    <a:srcRect b="855"/>
                    <a:stretch/>
                  </pic:blipFill>
                  <pic:spPr bwMode="auto">
                    <a:xfrm>
                      <a:off x="0" y="0"/>
                      <a:ext cx="6903327" cy="4074198"/>
                    </a:xfrm>
                    <a:prstGeom prst="rect">
                      <a:avLst/>
                    </a:prstGeom>
                    <a:ln>
                      <a:noFill/>
                    </a:ln>
                    <a:extLst>
                      <a:ext uri="{53640926-AAD7-44D8-BBD7-CCE9431645EC}">
                        <a14:shadowObscured xmlns:a14="http://schemas.microsoft.com/office/drawing/2010/main"/>
                      </a:ext>
                    </a:extLst>
                  </pic:spPr>
                </pic:pic>
              </a:graphicData>
            </a:graphic>
          </wp:inline>
        </w:drawing>
      </w:r>
    </w:p>
    <w:p w14:paraId="015D0CB3" w14:textId="654C8F68" w:rsidR="00932594" w:rsidRPr="00B01F9E" w:rsidRDefault="006E3338" w:rsidP="00AB43E1">
      <w:pPr>
        <w:spacing w:after="120"/>
        <w:rPr>
          <w:rFonts w:ascii="Arial" w:hAnsi="Arial" w:cs="Arial"/>
          <w:sz w:val="20"/>
          <w:szCs w:val="20"/>
        </w:rPr>
      </w:pPr>
      <w:r w:rsidRPr="00B01F9E">
        <w:rPr>
          <w:rFonts w:ascii="Arial" w:hAnsi="Arial" w:cs="Arial"/>
          <w:sz w:val="20"/>
          <w:szCs w:val="20"/>
        </w:rPr>
        <w:t xml:space="preserve">Note: Refer to </w:t>
      </w:r>
      <w:r w:rsidR="00BB39E3" w:rsidRPr="00B01F9E">
        <w:rPr>
          <w:rFonts w:ascii="Arial" w:hAnsi="Arial" w:cs="Arial"/>
          <w:sz w:val="20"/>
          <w:szCs w:val="20"/>
        </w:rPr>
        <w:t xml:space="preserve">Section 7.3.3 </w:t>
      </w:r>
      <w:r w:rsidRPr="00B01F9E">
        <w:rPr>
          <w:rFonts w:ascii="Arial" w:hAnsi="Arial" w:cs="Arial"/>
          <w:sz w:val="20"/>
          <w:szCs w:val="20"/>
        </w:rPr>
        <w:t xml:space="preserve">for high resolution version for Figure </w:t>
      </w:r>
      <w:r w:rsidR="00F71485" w:rsidRPr="00B01F9E">
        <w:rPr>
          <w:rFonts w:ascii="Arial" w:hAnsi="Arial" w:cs="Arial"/>
          <w:sz w:val="20"/>
          <w:szCs w:val="20"/>
        </w:rPr>
        <w:t>2</w:t>
      </w:r>
      <w:r w:rsidR="00476D19" w:rsidRPr="00B01F9E">
        <w:rPr>
          <w:rFonts w:ascii="Arial" w:hAnsi="Arial" w:cs="Arial"/>
          <w:sz w:val="20"/>
          <w:szCs w:val="20"/>
        </w:rPr>
        <w:t>6</w:t>
      </w:r>
      <w:r w:rsidR="00212CAF" w:rsidRPr="00B01F9E">
        <w:rPr>
          <w:rFonts w:ascii="Arial" w:hAnsi="Arial" w:cs="Arial"/>
          <w:sz w:val="20"/>
          <w:szCs w:val="20"/>
        </w:rPr>
        <w:t>.</w:t>
      </w:r>
      <w:r w:rsidRPr="00B01F9E">
        <w:rPr>
          <w:rFonts w:ascii="Arial" w:hAnsi="Arial" w:cs="Arial"/>
          <w:sz w:val="20"/>
          <w:szCs w:val="20"/>
        </w:rPr>
        <w:t xml:space="preserve"> </w:t>
      </w:r>
    </w:p>
    <w:p w14:paraId="409EE058" w14:textId="5608CE5D" w:rsidR="004353F2" w:rsidRPr="00B01F9E" w:rsidRDefault="00932594" w:rsidP="00AB43E1">
      <w:pPr>
        <w:spacing w:after="120"/>
        <w:rPr>
          <w:rFonts w:ascii="Arial" w:hAnsi="Arial" w:cs="Arial"/>
          <w:sz w:val="20"/>
          <w:szCs w:val="20"/>
        </w:rPr>
        <w:sectPr w:rsidR="004353F2" w:rsidRPr="00B01F9E" w:rsidSect="004353F2">
          <w:headerReference w:type="default" r:id="rId83"/>
          <w:pgSz w:w="15840" w:h="12240" w:orient="landscape"/>
          <w:pgMar w:top="1440" w:right="1440" w:bottom="1440" w:left="1440" w:header="0" w:footer="720" w:gutter="0"/>
          <w:cols w:space="720"/>
          <w:docGrid w:linePitch="360"/>
        </w:sectPr>
      </w:pPr>
      <w:r w:rsidRPr="00B01F9E">
        <w:rPr>
          <w:rFonts w:ascii="Arial" w:hAnsi="Arial" w:cs="Arial"/>
          <w:sz w:val="20"/>
          <w:szCs w:val="20"/>
        </w:rPr>
        <w:t xml:space="preserve">Following this exercise, the below table was compiled for the serum albumin performance circumstance (Table </w:t>
      </w:r>
      <w:r w:rsidR="007430D5" w:rsidRPr="00B01F9E">
        <w:rPr>
          <w:rFonts w:ascii="Arial" w:hAnsi="Arial" w:cs="Arial"/>
          <w:sz w:val="20"/>
          <w:szCs w:val="20"/>
        </w:rPr>
        <w:t>1</w:t>
      </w:r>
      <w:r w:rsidR="0017372F" w:rsidRPr="00B01F9E">
        <w:rPr>
          <w:rFonts w:ascii="Arial" w:hAnsi="Arial" w:cs="Arial"/>
          <w:sz w:val="20"/>
          <w:szCs w:val="20"/>
        </w:rPr>
        <w:t>6</w:t>
      </w:r>
      <w:r w:rsidRPr="00B01F9E">
        <w:rPr>
          <w:rFonts w:ascii="Arial" w:hAnsi="Arial" w:cs="Arial"/>
          <w:sz w:val="20"/>
          <w:szCs w:val="20"/>
        </w:rPr>
        <w:t xml:space="preserve">). </w:t>
      </w:r>
    </w:p>
    <w:p w14:paraId="419F2AB2" w14:textId="1C03F407" w:rsidR="00643338" w:rsidRPr="00B01F9E" w:rsidRDefault="00643338" w:rsidP="00AB43E1">
      <w:pPr>
        <w:spacing w:after="0"/>
        <w:rPr>
          <w:rFonts w:ascii="Arial" w:hAnsi="Arial" w:cs="Arial"/>
          <w:b/>
          <w:bCs/>
          <w:color w:val="009BBF"/>
          <w:sz w:val="20"/>
          <w:szCs w:val="20"/>
        </w:rPr>
      </w:pPr>
      <w:r w:rsidRPr="00B01F9E">
        <w:rPr>
          <w:rFonts w:ascii="Arial" w:hAnsi="Arial" w:cs="Arial"/>
          <w:b/>
          <w:color w:val="009BBF"/>
          <w:sz w:val="20"/>
          <w:szCs w:val="20"/>
        </w:rPr>
        <w:lastRenderedPageBreak/>
        <w:t xml:space="preserve">Table </w:t>
      </w:r>
      <w:r w:rsidR="007430D5" w:rsidRPr="00B01F9E">
        <w:rPr>
          <w:rFonts w:ascii="Arial" w:hAnsi="Arial" w:cs="Arial"/>
          <w:b/>
          <w:color w:val="009BBF"/>
          <w:sz w:val="20"/>
          <w:szCs w:val="20"/>
        </w:rPr>
        <w:t>1</w:t>
      </w:r>
      <w:r w:rsidR="0017372F" w:rsidRPr="00B01F9E">
        <w:rPr>
          <w:rFonts w:ascii="Arial" w:hAnsi="Arial" w:cs="Arial"/>
          <w:b/>
          <w:color w:val="009BBF"/>
          <w:sz w:val="20"/>
          <w:szCs w:val="20"/>
        </w:rPr>
        <w:t>6</w:t>
      </w:r>
      <w:r w:rsidRPr="00B01F9E">
        <w:rPr>
          <w:rFonts w:ascii="Arial" w:hAnsi="Arial" w:cs="Arial"/>
          <w:b/>
          <w:color w:val="009BBF"/>
          <w:sz w:val="20"/>
          <w:szCs w:val="20"/>
        </w:rPr>
        <w:t>:</w:t>
      </w:r>
      <w:r w:rsidRPr="00B01F9E">
        <w:rPr>
          <w:rFonts w:ascii="Arial" w:hAnsi="Arial" w:cs="Arial"/>
          <w:b/>
          <w:bCs/>
          <w:color w:val="009BBF"/>
          <w:sz w:val="20"/>
          <w:szCs w:val="20"/>
        </w:rPr>
        <w:t xml:space="preserve"> ANF Albumin Performance Statement</w:t>
      </w:r>
    </w:p>
    <w:tbl>
      <w:tblPr>
        <w:tblStyle w:val="TableGrid6"/>
        <w:tblW w:w="10080" w:type="dxa"/>
        <w:tblInd w:w="-5" w:type="dxa"/>
        <w:tblLook w:val="04A0" w:firstRow="1" w:lastRow="0" w:firstColumn="1" w:lastColumn="0" w:noHBand="0" w:noVBand="1"/>
      </w:tblPr>
      <w:tblGrid>
        <w:gridCol w:w="591"/>
        <w:gridCol w:w="2850"/>
        <w:gridCol w:w="2790"/>
        <w:gridCol w:w="3849"/>
      </w:tblGrid>
      <w:tr w:rsidR="003745B6" w:rsidRPr="00B01F9E" w14:paraId="343FE494" w14:textId="77777777" w:rsidTr="001A19E8">
        <w:tc>
          <w:tcPr>
            <w:tcW w:w="591" w:type="dxa"/>
          </w:tcPr>
          <w:p w14:paraId="1AC0B5A8" w14:textId="77777777" w:rsidR="003745B6" w:rsidRPr="00B01F9E" w:rsidRDefault="003745B6" w:rsidP="001A19E8">
            <w:pPr>
              <w:rPr>
                <w:rFonts w:ascii="Arial" w:eastAsia="Calibri" w:hAnsi="Arial" w:cs="Arial"/>
                <w:sz w:val="20"/>
                <w:szCs w:val="20"/>
              </w:rPr>
            </w:pPr>
          </w:p>
        </w:tc>
        <w:tc>
          <w:tcPr>
            <w:tcW w:w="2850" w:type="dxa"/>
          </w:tcPr>
          <w:p w14:paraId="6E05A7F3" w14:textId="77777777" w:rsidR="003745B6" w:rsidRPr="00B01F9E" w:rsidRDefault="003745B6" w:rsidP="001A19E8">
            <w:pPr>
              <w:rPr>
                <w:rFonts w:ascii="Arial" w:eastAsia="Calibri" w:hAnsi="Arial" w:cs="Arial"/>
                <w:b/>
                <w:bCs/>
                <w:color w:val="4472C4"/>
                <w:sz w:val="20"/>
                <w:szCs w:val="20"/>
              </w:rPr>
            </w:pPr>
            <w:r w:rsidRPr="00B01F9E">
              <w:rPr>
                <w:rFonts w:ascii="Arial" w:eastAsia="Calibri" w:hAnsi="Arial" w:cs="Arial"/>
                <w:b/>
                <w:bCs/>
                <w:color w:val="4472C4"/>
                <w:sz w:val="20"/>
                <w:szCs w:val="20"/>
              </w:rPr>
              <w:t>QUESTION</w:t>
            </w:r>
          </w:p>
        </w:tc>
        <w:tc>
          <w:tcPr>
            <w:tcW w:w="2790" w:type="dxa"/>
          </w:tcPr>
          <w:p w14:paraId="6A08FEC6" w14:textId="77777777" w:rsidR="003745B6" w:rsidRPr="00B01F9E" w:rsidRDefault="003745B6" w:rsidP="001A19E8">
            <w:pPr>
              <w:rPr>
                <w:rFonts w:ascii="Arial" w:eastAsia="Calibri" w:hAnsi="Arial" w:cs="Arial"/>
                <w:b/>
                <w:bCs/>
                <w:color w:val="4472C4"/>
                <w:sz w:val="20"/>
                <w:szCs w:val="20"/>
              </w:rPr>
            </w:pPr>
            <w:r w:rsidRPr="00B01F9E">
              <w:rPr>
                <w:rFonts w:ascii="Arial" w:eastAsia="Calibri" w:hAnsi="Arial" w:cs="Arial"/>
                <w:b/>
                <w:bCs/>
                <w:color w:val="4472C4"/>
                <w:sz w:val="20"/>
                <w:szCs w:val="20"/>
              </w:rPr>
              <w:t>ANSWER</w:t>
            </w:r>
          </w:p>
        </w:tc>
        <w:tc>
          <w:tcPr>
            <w:tcW w:w="3849" w:type="dxa"/>
          </w:tcPr>
          <w:p w14:paraId="7622E88A" w14:textId="77777777" w:rsidR="003745B6" w:rsidRPr="00B01F9E" w:rsidRDefault="003745B6" w:rsidP="001A19E8">
            <w:pPr>
              <w:rPr>
                <w:rFonts w:ascii="Arial" w:eastAsia="Calibri" w:hAnsi="Arial" w:cs="Arial"/>
                <w:b/>
                <w:bCs/>
                <w:color w:val="4472C4"/>
                <w:sz w:val="20"/>
                <w:szCs w:val="20"/>
              </w:rPr>
            </w:pPr>
            <w:r w:rsidRPr="00B01F9E">
              <w:rPr>
                <w:rFonts w:ascii="Arial" w:eastAsia="Calibri" w:hAnsi="Arial" w:cs="Arial"/>
                <w:b/>
                <w:bCs/>
                <w:color w:val="4472C4"/>
                <w:sz w:val="20"/>
                <w:szCs w:val="20"/>
              </w:rPr>
              <w:t>RATIONALE</w:t>
            </w:r>
          </w:p>
        </w:tc>
      </w:tr>
      <w:tr w:rsidR="00410D41" w:rsidRPr="00B01F9E" w14:paraId="0086C869" w14:textId="77777777" w:rsidTr="001A19E8">
        <w:trPr>
          <w:trHeight w:val="134"/>
        </w:trPr>
        <w:tc>
          <w:tcPr>
            <w:tcW w:w="591" w:type="dxa"/>
            <w:shd w:val="clear" w:color="auto" w:fill="4472C4"/>
          </w:tcPr>
          <w:p w14:paraId="1230D1B8" w14:textId="77777777" w:rsidR="003745B6" w:rsidRPr="00B01F9E" w:rsidRDefault="003745B6" w:rsidP="001A19E8">
            <w:pPr>
              <w:rPr>
                <w:rFonts w:ascii="Arial" w:eastAsia="Calibri" w:hAnsi="Arial" w:cs="Arial"/>
                <w:sz w:val="20"/>
                <w:szCs w:val="20"/>
              </w:rPr>
            </w:pPr>
          </w:p>
        </w:tc>
        <w:tc>
          <w:tcPr>
            <w:tcW w:w="2850" w:type="dxa"/>
            <w:shd w:val="clear" w:color="auto" w:fill="4472C4"/>
          </w:tcPr>
          <w:p w14:paraId="75EA2C0C" w14:textId="77777777" w:rsidR="003745B6" w:rsidRPr="00B01F9E" w:rsidRDefault="003745B6" w:rsidP="001A19E8">
            <w:pPr>
              <w:rPr>
                <w:rFonts w:ascii="Arial" w:eastAsia="Calibri" w:hAnsi="Arial" w:cs="Arial"/>
                <w:sz w:val="20"/>
                <w:szCs w:val="20"/>
              </w:rPr>
            </w:pPr>
          </w:p>
        </w:tc>
        <w:tc>
          <w:tcPr>
            <w:tcW w:w="2790" w:type="dxa"/>
            <w:shd w:val="clear" w:color="auto" w:fill="4472C4"/>
          </w:tcPr>
          <w:p w14:paraId="33A8CF02" w14:textId="77777777" w:rsidR="003745B6" w:rsidRPr="00B01F9E" w:rsidRDefault="003745B6" w:rsidP="001A19E8">
            <w:pPr>
              <w:rPr>
                <w:rFonts w:ascii="Arial" w:eastAsia="Calibri" w:hAnsi="Arial" w:cs="Arial"/>
                <w:b/>
                <w:bCs/>
                <w:color w:val="FFFFFF"/>
                <w:sz w:val="20"/>
                <w:szCs w:val="20"/>
              </w:rPr>
            </w:pPr>
            <w:r w:rsidRPr="00B01F9E">
              <w:rPr>
                <w:rFonts w:ascii="Arial" w:eastAsia="Calibri" w:hAnsi="Arial" w:cs="Arial"/>
                <w:b/>
                <w:bCs/>
                <w:color w:val="FFFFFF"/>
                <w:sz w:val="20"/>
                <w:szCs w:val="20"/>
              </w:rPr>
              <w:t>1.BUILD OUT TOPIC</w:t>
            </w:r>
          </w:p>
        </w:tc>
        <w:tc>
          <w:tcPr>
            <w:tcW w:w="3849" w:type="dxa"/>
            <w:shd w:val="clear" w:color="auto" w:fill="4472C4"/>
          </w:tcPr>
          <w:p w14:paraId="6E1A42EF" w14:textId="77777777" w:rsidR="003745B6" w:rsidRPr="00B01F9E" w:rsidRDefault="003745B6" w:rsidP="001A19E8">
            <w:pPr>
              <w:rPr>
                <w:rFonts w:ascii="Arial" w:eastAsia="Calibri" w:hAnsi="Arial" w:cs="Arial"/>
                <w:sz w:val="20"/>
                <w:szCs w:val="20"/>
              </w:rPr>
            </w:pPr>
          </w:p>
        </w:tc>
      </w:tr>
      <w:tr w:rsidR="00410D41" w:rsidRPr="00B01F9E" w14:paraId="715B358B" w14:textId="77777777" w:rsidTr="001A19E8">
        <w:trPr>
          <w:trHeight w:val="611"/>
        </w:trPr>
        <w:tc>
          <w:tcPr>
            <w:tcW w:w="591" w:type="dxa"/>
            <w:shd w:val="clear" w:color="auto" w:fill="DEEAF6"/>
          </w:tcPr>
          <w:p w14:paraId="4DC301BE"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1.1</w:t>
            </w:r>
          </w:p>
        </w:tc>
        <w:tc>
          <w:tcPr>
            <w:tcW w:w="2850" w:type="dxa"/>
            <w:shd w:val="clear" w:color="auto" w:fill="DEEAF6"/>
          </w:tcPr>
          <w:p w14:paraId="4D26A633"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Administration of Observation Procedure or Other?</w:t>
            </w:r>
          </w:p>
          <w:p w14:paraId="5EC2BF1A" w14:textId="77777777" w:rsidR="003745B6" w:rsidRPr="00B01F9E" w:rsidRDefault="003745B6" w:rsidP="001A19E8">
            <w:pPr>
              <w:rPr>
                <w:rFonts w:ascii="Arial" w:eastAsia="Calibri" w:hAnsi="Arial" w:cs="Arial"/>
                <w:sz w:val="20"/>
                <w:szCs w:val="20"/>
              </w:rPr>
            </w:pPr>
          </w:p>
        </w:tc>
        <w:tc>
          <w:tcPr>
            <w:tcW w:w="2790" w:type="dxa"/>
            <w:shd w:val="clear" w:color="auto" w:fill="DEEAF6"/>
          </w:tcPr>
          <w:p w14:paraId="702A3AB5" w14:textId="78C040B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 xml:space="preserve">Observation procedure: Topic = Observation procedure -&gt; Has focus: Serum Albumin collected by venipuncture into a Lithium Heparin collection tube to be performed at a CLIA certified laboratory on the Abbott </w:t>
            </w:r>
            <w:proofErr w:type="spellStart"/>
            <w:r w:rsidRPr="00B01F9E">
              <w:rPr>
                <w:rFonts w:ascii="Arial" w:eastAsia="Calibri" w:hAnsi="Arial" w:cs="Arial"/>
                <w:sz w:val="20"/>
                <w:szCs w:val="20"/>
              </w:rPr>
              <w:t>Alinity</w:t>
            </w:r>
            <w:proofErr w:type="spellEnd"/>
            <w:r w:rsidRPr="00B01F9E">
              <w:rPr>
                <w:rFonts w:ascii="Arial" w:eastAsia="Calibri" w:hAnsi="Arial" w:cs="Arial"/>
                <w:sz w:val="20"/>
                <w:szCs w:val="20"/>
              </w:rPr>
              <w:t xml:space="preserve"> c</w:t>
            </w:r>
            <w:r w:rsidR="00B36A15" w:rsidRPr="00B01F9E">
              <w:rPr>
                <w:rFonts w:ascii="Arial" w:hAnsi="Arial" w:cs="Arial"/>
                <w:sz w:val="20"/>
                <w:szCs w:val="20"/>
              </w:rPr>
              <w:t>™</w:t>
            </w:r>
            <w:r w:rsidRPr="00B01F9E">
              <w:rPr>
                <w:rFonts w:ascii="Arial" w:eastAsia="Calibri" w:hAnsi="Arial" w:cs="Arial"/>
                <w:sz w:val="20"/>
                <w:szCs w:val="20"/>
              </w:rPr>
              <w:t xml:space="preserve"> instrument utilizing the Albumin </w:t>
            </w:r>
            <w:proofErr w:type="spellStart"/>
            <w:r w:rsidRPr="00B01F9E">
              <w:rPr>
                <w:rFonts w:ascii="Arial" w:eastAsia="Calibri" w:hAnsi="Arial" w:cs="Arial"/>
                <w:sz w:val="20"/>
                <w:szCs w:val="20"/>
              </w:rPr>
              <w:t>Bromcresol</w:t>
            </w:r>
            <w:proofErr w:type="spellEnd"/>
            <w:r w:rsidRPr="00B01F9E">
              <w:rPr>
                <w:rFonts w:ascii="Arial" w:eastAsia="Calibri" w:hAnsi="Arial" w:cs="Arial"/>
                <w:sz w:val="20"/>
                <w:szCs w:val="20"/>
              </w:rPr>
              <w:t xml:space="preserve"> Purple Reagent Kit</w:t>
            </w:r>
          </w:p>
        </w:tc>
        <w:tc>
          <w:tcPr>
            <w:tcW w:w="3849" w:type="dxa"/>
            <w:shd w:val="clear" w:color="auto" w:fill="DEEAF6"/>
          </w:tcPr>
          <w:p w14:paraId="1F1B3209"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 xml:space="preserve">Describing the procedure </w:t>
            </w:r>
          </w:p>
        </w:tc>
      </w:tr>
      <w:tr w:rsidR="00410D41" w:rsidRPr="00B01F9E" w14:paraId="000859BC" w14:textId="77777777" w:rsidTr="001A19E8">
        <w:tc>
          <w:tcPr>
            <w:tcW w:w="591" w:type="dxa"/>
            <w:shd w:val="clear" w:color="auto" w:fill="C45911"/>
          </w:tcPr>
          <w:p w14:paraId="53221120" w14:textId="77777777" w:rsidR="003745B6" w:rsidRPr="00B01F9E" w:rsidRDefault="003745B6" w:rsidP="001A19E8">
            <w:pPr>
              <w:rPr>
                <w:rFonts w:ascii="Arial" w:eastAsia="Calibri" w:hAnsi="Arial" w:cs="Arial"/>
                <w:sz w:val="20"/>
                <w:szCs w:val="20"/>
              </w:rPr>
            </w:pPr>
          </w:p>
        </w:tc>
        <w:tc>
          <w:tcPr>
            <w:tcW w:w="2850" w:type="dxa"/>
            <w:shd w:val="clear" w:color="auto" w:fill="C45911"/>
          </w:tcPr>
          <w:p w14:paraId="5CF7EDBD" w14:textId="77777777" w:rsidR="003745B6" w:rsidRPr="00B01F9E" w:rsidRDefault="003745B6" w:rsidP="001A19E8">
            <w:pPr>
              <w:rPr>
                <w:rFonts w:ascii="Arial" w:eastAsia="Calibri" w:hAnsi="Arial" w:cs="Arial"/>
                <w:sz w:val="20"/>
                <w:szCs w:val="20"/>
              </w:rPr>
            </w:pPr>
          </w:p>
        </w:tc>
        <w:tc>
          <w:tcPr>
            <w:tcW w:w="2790" w:type="dxa"/>
            <w:shd w:val="clear" w:color="auto" w:fill="C45911"/>
          </w:tcPr>
          <w:p w14:paraId="2E6841D4"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color w:val="FFFFFF"/>
                <w:sz w:val="20"/>
                <w:szCs w:val="20"/>
              </w:rPr>
              <w:t>2. REQUEST FOR ACTION</w:t>
            </w:r>
          </w:p>
        </w:tc>
        <w:tc>
          <w:tcPr>
            <w:tcW w:w="3849" w:type="dxa"/>
            <w:shd w:val="clear" w:color="auto" w:fill="C45911"/>
          </w:tcPr>
          <w:p w14:paraId="70B23782" w14:textId="77777777" w:rsidR="003745B6" w:rsidRPr="00B01F9E" w:rsidRDefault="003745B6" w:rsidP="001A19E8">
            <w:pPr>
              <w:rPr>
                <w:rFonts w:ascii="Arial" w:eastAsia="Calibri" w:hAnsi="Arial" w:cs="Arial"/>
                <w:sz w:val="20"/>
                <w:szCs w:val="20"/>
              </w:rPr>
            </w:pPr>
          </w:p>
        </w:tc>
      </w:tr>
      <w:tr w:rsidR="00410D41" w:rsidRPr="00B01F9E" w14:paraId="1DFF8FC7" w14:textId="77777777" w:rsidTr="001A19E8">
        <w:tc>
          <w:tcPr>
            <w:tcW w:w="591" w:type="dxa"/>
            <w:shd w:val="clear" w:color="auto" w:fill="FBE4D5"/>
          </w:tcPr>
          <w:p w14:paraId="5B673D2A"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2.1</w:t>
            </w:r>
          </w:p>
        </w:tc>
        <w:tc>
          <w:tcPr>
            <w:tcW w:w="2850" w:type="dxa"/>
            <w:shd w:val="clear" w:color="auto" w:fill="FBE4D5"/>
          </w:tcPr>
          <w:p w14:paraId="22A2531F"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Does the statement include a Purpose? </w:t>
            </w:r>
          </w:p>
        </w:tc>
        <w:tc>
          <w:tcPr>
            <w:tcW w:w="2790" w:type="dxa"/>
            <w:shd w:val="clear" w:color="auto" w:fill="FBE4D5"/>
          </w:tcPr>
          <w:p w14:paraId="485B8BBA"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sz w:val="20"/>
                <w:szCs w:val="20"/>
              </w:rPr>
              <w:t>YES</w:t>
            </w:r>
          </w:p>
        </w:tc>
        <w:tc>
          <w:tcPr>
            <w:tcW w:w="3849" w:type="dxa"/>
            <w:shd w:val="clear" w:color="auto" w:fill="FBE4D5"/>
          </w:tcPr>
          <w:p w14:paraId="7B0C32A3"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Assess Disease State</w:t>
            </w:r>
          </w:p>
        </w:tc>
      </w:tr>
      <w:tr w:rsidR="00410D41" w:rsidRPr="00B01F9E" w14:paraId="19C9E5FA" w14:textId="77777777" w:rsidTr="001A19E8">
        <w:tc>
          <w:tcPr>
            <w:tcW w:w="591" w:type="dxa"/>
            <w:shd w:val="clear" w:color="auto" w:fill="FFFFFF"/>
          </w:tcPr>
          <w:p w14:paraId="703B82CE"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2.2</w:t>
            </w:r>
          </w:p>
        </w:tc>
        <w:tc>
          <w:tcPr>
            <w:tcW w:w="2850" w:type="dxa"/>
            <w:shd w:val="clear" w:color="auto" w:fill="FFFFFF"/>
          </w:tcPr>
          <w:p w14:paraId="36161DE9"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Timing?</w:t>
            </w:r>
          </w:p>
        </w:tc>
        <w:tc>
          <w:tcPr>
            <w:tcW w:w="2790" w:type="dxa"/>
            <w:shd w:val="clear" w:color="auto" w:fill="FFFFFF"/>
          </w:tcPr>
          <w:p w14:paraId="09863DE7"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sz w:val="20"/>
                <w:szCs w:val="20"/>
              </w:rPr>
              <w:t xml:space="preserve">Point in Time </w:t>
            </w:r>
          </w:p>
        </w:tc>
        <w:tc>
          <w:tcPr>
            <w:tcW w:w="3849" w:type="dxa"/>
            <w:shd w:val="clear" w:color="auto" w:fill="FFFFFF"/>
          </w:tcPr>
          <w:p w14:paraId="7E017A9D"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 xml:space="preserve">In the case of test result, this has been performed at a designated date and time. </w:t>
            </w:r>
            <w:r w:rsidRPr="00B01F9E">
              <w:rPr>
                <w:rFonts w:ascii="Arial" w:eastAsia="Calibri" w:hAnsi="Arial" w:cs="Arial"/>
                <w:b/>
                <w:i/>
                <w:iCs/>
                <w:color w:val="C00000"/>
                <w:sz w:val="20"/>
                <w:szCs w:val="20"/>
              </w:rPr>
              <w:t>(Thinking in the context of a test which has been resulted)</w:t>
            </w:r>
            <w:r w:rsidRPr="00B01F9E">
              <w:rPr>
                <w:rFonts w:ascii="Arial" w:eastAsia="Calibri" w:hAnsi="Arial" w:cs="Arial"/>
                <w:i/>
                <w:iCs/>
                <w:color w:val="C00000"/>
                <w:sz w:val="20"/>
                <w:szCs w:val="20"/>
              </w:rPr>
              <w:t> </w:t>
            </w:r>
          </w:p>
        </w:tc>
      </w:tr>
      <w:tr w:rsidR="00410D41" w:rsidRPr="00B01F9E" w14:paraId="37C223F1" w14:textId="77777777" w:rsidTr="001A19E8">
        <w:tc>
          <w:tcPr>
            <w:tcW w:w="591" w:type="dxa"/>
            <w:shd w:val="clear" w:color="auto" w:fill="FBE4D5"/>
          </w:tcPr>
          <w:p w14:paraId="718874EB"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2.3</w:t>
            </w:r>
          </w:p>
        </w:tc>
        <w:tc>
          <w:tcPr>
            <w:tcW w:w="2850" w:type="dxa"/>
            <w:shd w:val="clear" w:color="auto" w:fill="FBE4D5"/>
          </w:tcPr>
          <w:p w14:paraId="1AFA580E"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Add Participant (responsible practitioners) </w:t>
            </w:r>
          </w:p>
        </w:tc>
        <w:tc>
          <w:tcPr>
            <w:tcW w:w="2790" w:type="dxa"/>
            <w:shd w:val="clear" w:color="auto" w:fill="FBE4D5"/>
          </w:tcPr>
          <w:p w14:paraId="1110CE28"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sz w:val="20"/>
                <w:szCs w:val="20"/>
              </w:rPr>
              <w:t>CLIA Lab</w:t>
            </w:r>
          </w:p>
        </w:tc>
        <w:tc>
          <w:tcPr>
            <w:tcW w:w="3849" w:type="dxa"/>
            <w:shd w:val="clear" w:color="auto" w:fill="FBE4D5"/>
          </w:tcPr>
          <w:p w14:paraId="4CC1896E"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The statement is the collection of a specimen and the performance of the Serum Albumin test on the specimen by the CLIA laboratory</w:t>
            </w:r>
          </w:p>
        </w:tc>
      </w:tr>
      <w:tr w:rsidR="00410D41" w:rsidRPr="00B01F9E" w14:paraId="4CD4F31E" w14:textId="77777777" w:rsidTr="001A19E8">
        <w:trPr>
          <w:trHeight w:val="2132"/>
        </w:trPr>
        <w:tc>
          <w:tcPr>
            <w:tcW w:w="591" w:type="dxa"/>
            <w:shd w:val="clear" w:color="auto" w:fill="FFFFFF"/>
          </w:tcPr>
          <w:p w14:paraId="2DE9AC5E"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2.4</w:t>
            </w:r>
          </w:p>
        </w:tc>
        <w:tc>
          <w:tcPr>
            <w:tcW w:w="2850" w:type="dxa"/>
            <w:shd w:val="clear" w:color="auto" w:fill="FFFFFF"/>
          </w:tcPr>
          <w:p w14:paraId="7886677D"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Does that statement contain a Status other than done or completed? </w:t>
            </w:r>
          </w:p>
        </w:tc>
        <w:tc>
          <w:tcPr>
            <w:tcW w:w="2790" w:type="dxa"/>
            <w:shd w:val="clear" w:color="auto" w:fill="FFFFFF"/>
          </w:tcPr>
          <w:p w14:paraId="573D2257"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sz w:val="20"/>
                <w:szCs w:val="20"/>
              </w:rPr>
              <w:t xml:space="preserve">NO </w:t>
            </w:r>
            <w:r w:rsidRPr="00B01F9E">
              <w:rPr>
                <w:rFonts w:ascii="Arial" w:eastAsia="Calibri" w:hAnsi="Arial" w:cs="Arial"/>
                <w:b/>
                <w:bCs/>
                <w:i/>
                <w:iCs/>
                <w:color w:val="C00000"/>
                <w:sz w:val="20"/>
                <w:szCs w:val="20"/>
              </w:rPr>
              <w:t>(assuming we are talking about the test performance and the result availability)</w:t>
            </w:r>
          </w:p>
        </w:tc>
        <w:tc>
          <w:tcPr>
            <w:tcW w:w="3849" w:type="dxa"/>
            <w:shd w:val="clear" w:color="auto" w:fill="FFFFFF"/>
          </w:tcPr>
          <w:p w14:paraId="5F5B4E3A"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sz w:val="20"/>
                <w:szCs w:val="20"/>
              </w:rPr>
              <w:t xml:space="preserve">Not done, cancelled, on-hold and stopped would be consider examples of a status other than done or completed. </w:t>
            </w:r>
            <w:r w:rsidRPr="00B01F9E">
              <w:rPr>
                <w:rFonts w:ascii="Arial" w:eastAsia="Calibri" w:hAnsi="Arial" w:cs="Arial"/>
                <w:b/>
                <w:color w:val="C00000"/>
                <w:sz w:val="20"/>
                <w:szCs w:val="20"/>
              </w:rPr>
              <w:t>(</w:t>
            </w:r>
            <w:r w:rsidRPr="00B01F9E">
              <w:rPr>
                <w:rFonts w:ascii="Arial" w:eastAsia="Calibri" w:hAnsi="Arial" w:cs="Arial"/>
                <w:b/>
                <w:i/>
                <w:iCs/>
                <w:color w:val="C00000"/>
                <w:sz w:val="20"/>
                <w:szCs w:val="20"/>
              </w:rPr>
              <w:t>In the case of the collection, it is completed; could other statuses for the actual test performance be “specimen received”, “in process” “preliminary”?</w:t>
            </w:r>
            <w:r w:rsidRPr="00B01F9E">
              <w:rPr>
                <w:rFonts w:ascii="Arial" w:eastAsia="Calibri" w:hAnsi="Arial" w:cs="Arial"/>
                <w:b/>
                <w:bCs/>
                <w:i/>
                <w:iCs/>
                <w:color w:val="C00000"/>
                <w:sz w:val="20"/>
                <w:szCs w:val="20"/>
              </w:rPr>
              <w:t xml:space="preserve"> </w:t>
            </w:r>
            <w:r w:rsidRPr="00B01F9E">
              <w:rPr>
                <w:rFonts w:ascii="Arial" w:eastAsia="Calibri" w:hAnsi="Arial" w:cs="Arial"/>
                <w:b/>
                <w:i/>
                <w:iCs/>
                <w:color w:val="C00000"/>
                <w:sz w:val="20"/>
                <w:szCs w:val="20"/>
              </w:rPr>
              <w:t>If so, then perhaps our answer might be YES. However, in terms of transmitting lab results, would they not be transmitted at COMPLETED or possibly “preliminary”?)</w:t>
            </w:r>
          </w:p>
        </w:tc>
      </w:tr>
      <w:tr w:rsidR="00410D41" w:rsidRPr="00B01F9E" w14:paraId="140ACAFB" w14:textId="77777777" w:rsidTr="001A19E8">
        <w:trPr>
          <w:trHeight w:val="737"/>
        </w:trPr>
        <w:tc>
          <w:tcPr>
            <w:tcW w:w="591" w:type="dxa"/>
            <w:shd w:val="clear" w:color="auto" w:fill="FBE4D5"/>
          </w:tcPr>
          <w:p w14:paraId="207F9CE4"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2.5</w:t>
            </w:r>
          </w:p>
        </w:tc>
        <w:tc>
          <w:tcPr>
            <w:tcW w:w="2850" w:type="dxa"/>
            <w:shd w:val="clear" w:color="auto" w:fill="FBE4D5"/>
          </w:tcPr>
          <w:p w14:paraId="5AB2AC3F"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 xml:space="preserve">Does the statement contain a </w:t>
            </w:r>
            <w:proofErr w:type="spellStart"/>
            <w:r w:rsidRPr="00B01F9E">
              <w:rPr>
                <w:rFonts w:ascii="Arial" w:eastAsia="Calibri" w:hAnsi="Arial" w:cs="Arial"/>
                <w:sz w:val="20"/>
                <w:szCs w:val="20"/>
              </w:rPr>
              <w:t>healthRisk</w:t>
            </w:r>
            <w:proofErr w:type="spellEnd"/>
            <w:r w:rsidRPr="00B01F9E">
              <w:rPr>
                <w:rFonts w:ascii="Arial" w:eastAsia="Calibri" w:hAnsi="Arial" w:cs="Arial"/>
                <w:sz w:val="20"/>
                <w:szCs w:val="20"/>
              </w:rPr>
              <w:t>? </w:t>
            </w:r>
          </w:p>
        </w:tc>
        <w:tc>
          <w:tcPr>
            <w:tcW w:w="2790" w:type="dxa"/>
            <w:shd w:val="clear" w:color="auto" w:fill="FBE4D5"/>
          </w:tcPr>
          <w:p w14:paraId="1386C96D"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sz w:val="20"/>
                <w:szCs w:val="20"/>
              </w:rPr>
              <w:t>YES - HIGH</w:t>
            </w:r>
          </w:p>
        </w:tc>
        <w:tc>
          <w:tcPr>
            <w:tcW w:w="3849" w:type="dxa"/>
            <w:shd w:val="clear" w:color="auto" w:fill="FBE4D5"/>
          </w:tcPr>
          <w:p w14:paraId="34EA1A96"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This optional data element is used to flag results with coded values. For example, values could be coded as having a low, medium or high risk related to a lab result finding.</w:t>
            </w:r>
          </w:p>
        </w:tc>
      </w:tr>
      <w:tr w:rsidR="00410D41" w:rsidRPr="00B01F9E" w14:paraId="2ECC9BCA" w14:textId="77777777" w:rsidTr="000F0DCA">
        <w:trPr>
          <w:trHeight w:val="432"/>
        </w:trPr>
        <w:tc>
          <w:tcPr>
            <w:tcW w:w="591" w:type="dxa"/>
            <w:shd w:val="clear" w:color="auto" w:fill="FFFFFF"/>
          </w:tcPr>
          <w:p w14:paraId="7D19B487"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2.6</w:t>
            </w:r>
          </w:p>
        </w:tc>
        <w:tc>
          <w:tcPr>
            <w:tcW w:w="2850" w:type="dxa"/>
            <w:shd w:val="clear" w:color="auto" w:fill="FFFFFF"/>
          </w:tcPr>
          <w:p w14:paraId="5E2FABD5"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 xml:space="preserve">Does the statement contain a </w:t>
            </w:r>
            <w:proofErr w:type="spellStart"/>
            <w:r w:rsidRPr="00B01F9E">
              <w:rPr>
                <w:rFonts w:ascii="Arial" w:eastAsia="Calibri" w:hAnsi="Arial" w:cs="Arial"/>
                <w:sz w:val="20"/>
                <w:szCs w:val="20"/>
              </w:rPr>
              <w:t>referenceRange</w:t>
            </w:r>
            <w:proofErr w:type="spellEnd"/>
          </w:p>
        </w:tc>
        <w:tc>
          <w:tcPr>
            <w:tcW w:w="2790" w:type="dxa"/>
            <w:shd w:val="clear" w:color="auto" w:fill="FFFFFF"/>
          </w:tcPr>
          <w:p w14:paraId="65DFEFE8"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sz w:val="20"/>
                <w:szCs w:val="20"/>
              </w:rPr>
              <w:t>YES: 3.5-5.5 g/dL</w:t>
            </w:r>
          </w:p>
        </w:tc>
        <w:tc>
          <w:tcPr>
            <w:tcW w:w="3849" w:type="dxa"/>
            <w:shd w:val="clear" w:color="auto" w:fill="FFFFFF"/>
          </w:tcPr>
          <w:p w14:paraId="5B0375D7"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The reference range is defined by the performing laboratory</w:t>
            </w:r>
          </w:p>
        </w:tc>
      </w:tr>
      <w:tr w:rsidR="00410D41" w:rsidRPr="00B01F9E" w14:paraId="0C8EF7E6" w14:textId="77777777" w:rsidTr="001A19E8">
        <w:trPr>
          <w:trHeight w:val="737"/>
        </w:trPr>
        <w:tc>
          <w:tcPr>
            <w:tcW w:w="591" w:type="dxa"/>
            <w:shd w:val="clear" w:color="auto" w:fill="FBE4D5"/>
          </w:tcPr>
          <w:p w14:paraId="7A815052"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lastRenderedPageBreak/>
              <w:t>2.7</w:t>
            </w:r>
          </w:p>
        </w:tc>
        <w:tc>
          <w:tcPr>
            <w:tcW w:w="2850" w:type="dxa"/>
            <w:shd w:val="clear" w:color="auto" w:fill="FBE4D5"/>
          </w:tcPr>
          <w:p w14:paraId="4DF365FB"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Does the statement represent a numeric result? </w:t>
            </w:r>
          </w:p>
        </w:tc>
        <w:tc>
          <w:tcPr>
            <w:tcW w:w="2790" w:type="dxa"/>
            <w:shd w:val="clear" w:color="auto" w:fill="FBE4D5"/>
          </w:tcPr>
          <w:p w14:paraId="0D9C2255" w14:textId="77777777" w:rsidR="003745B6" w:rsidRPr="00B01F9E" w:rsidRDefault="003745B6" w:rsidP="001A19E8">
            <w:pPr>
              <w:rPr>
                <w:rFonts w:ascii="Arial" w:eastAsia="Calibri" w:hAnsi="Arial" w:cs="Arial"/>
                <w:b/>
                <w:bCs/>
                <w:sz w:val="20"/>
                <w:szCs w:val="20"/>
              </w:rPr>
            </w:pPr>
            <w:r w:rsidRPr="00B01F9E">
              <w:rPr>
                <w:rFonts w:ascii="Arial" w:eastAsia="Calibri" w:hAnsi="Arial" w:cs="Arial"/>
                <w:b/>
                <w:bCs/>
                <w:sz w:val="20"/>
                <w:szCs w:val="20"/>
              </w:rPr>
              <w:t>YES circumstance: [6.5,6.5] g/dL</w:t>
            </w:r>
          </w:p>
        </w:tc>
        <w:tc>
          <w:tcPr>
            <w:tcW w:w="3849" w:type="dxa"/>
            <w:shd w:val="clear" w:color="auto" w:fill="FBE4D5"/>
          </w:tcPr>
          <w:p w14:paraId="39DDC9AE" w14:textId="77777777" w:rsidR="003745B6" w:rsidRPr="00B01F9E" w:rsidRDefault="003745B6" w:rsidP="001A19E8">
            <w:pPr>
              <w:rPr>
                <w:rFonts w:ascii="Arial" w:eastAsia="Calibri" w:hAnsi="Arial" w:cs="Arial"/>
                <w:sz w:val="20"/>
                <w:szCs w:val="20"/>
              </w:rPr>
            </w:pPr>
            <w:r w:rsidRPr="00B01F9E">
              <w:rPr>
                <w:rFonts w:ascii="Arial" w:eastAsia="Calibri" w:hAnsi="Arial" w:cs="Arial"/>
                <w:sz w:val="20"/>
                <w:szCs w:val="20"/>
              </w:rPr>
              <w:t xml:space="preserve">The clinical statement is asking for the numeric value of the albumin. The numeric result should be represented with the </w:t>
            </w:r>
            <w:proofErr w:type="spellStart"/>
            <w:r w:rsidRPr="00B01F9E">
              <w:rPr>
                <w:rFonts w:ascii="Arial" w:eastAsia="Calibri" w:hAnsi="Arial" w:cs="Arial"/>
                <w:sz w:val="20"/>
                <w:szCs w:val="20"/>
              </w:rPr>
              <w:t>lowerBound</w:t>
            </w:r>
            <w:proofErr w:type="spellEnd"/>
            <w:r w:rsidRPr="00B01F9E">
              <w:rPr>
                <w:rFonts w:ascii="Arial" w:eastAsia="Calibri" w:hAnsi="Arial" w:cs="Arial"/>
                <w:sz w:val="20"/>
                <w:szCs w:val="20"/>
              </w:rPr>
              <w:t xml:space="preserve"> and </w:t>
            </w:r>
            <w:proofErr w:type="spellStart"/>
            <w:r w:rsidRPr="00B01F9E">
              <w:rPr>
                <w:rFonts w:ascii="Arial" w:eastAsia="Calibri" w:hAnsi="Arial" w:cs="Arial"/>
                <w:sz w:val="20"/>
                <w:szCs w:val="20"/>
              </w:rPr>
              <w:t>upperBound</w:t>
            </w:r>
            <w:proofErr w:type="spellEnd"/>
            <w:r w:rsidRPr="00B01F9E">
              <w:rPr>
                <w:rFonts w:ascii="Arial" w:eastAsia="Calibri" w:hAnsi="Arial" w:cs="Arial"/>
                <w:sz w:val="20"/>
                <w:szCs w:val="20"/>
              </w:rPr>
              <w:t xml:space="preserve"> results indicated.</w:t>
            </w:r>
          </w:p>
        </w:tc>
      </w:tr>
    </w:tbl>
    <w:p w14:paraId="1AA0BA2A" w14:textId="3BB393BE" w:rsidR="006C7C62" w:rsidRPr="00B01F9E" w:rsidRDefault="006C7C62" w:rsidP="006C7C62">
      <w:pPr>
        <w:spacing w:before="120" w:after="120"/>
        <w:rPr>
          <w:rFonts w:ascii="Arial" w:hAnsi="Arial" w:cs="Arial"/>
          <w:sz w:val="20"/>
          <w:szCs w:val="20"/>
        </w:rPr>
      </w:pPr>
      <w:r w:rsidRPr="00B01F9E">
        <w:rPr>
          <w:rFonts w:ascii="Arial" w:hAnsi="Arial" w:cs="Arial"/>
          <w:sz w:val="20"/>
          <w:szCs w:val="20"/>
        </w:rPr>
        <w:t xml:space="preserve">Table </w:t>
      </w:r>
      <w:r w:rsidR="007430D5" w:rsidRPr="00B01F9E">
        <w:rPr>
          <w:rFonts w:ascii="Arial" w:hAnsi="Arial" w:cs="Arial"/>
          <w:sz w:val="20"/>
          <w:szCs w:val="20"/>
        </w:rPr>
        <w:t>1</w:t>
      </w:r>
      <w:r w:rsidR="0017372F" w:rsidRPr="00B01F9E">
        <w:rPr>
          <w:rFonts w:ascii="Arial" w:hAnsi="Arial" w:cs="Arial"/>
          <w:sz w:val="20"/>
          <w:szCs w:val="20"/>
        </w:rPr>
        <w:t>7</w:t>
      </w:r>
      <w:r w:rsidRPr="00B01F9E">
        <w:rPr>
          <w:rFonts w:ascii="Arial" w:hAnsi="Arial" w:cs="Arial"/>
          <w:sz w:val="20"/>
          <w:szCs w:val="20"/>
        </w:rPr>
        <w:t xml:space="preserve"> depicts the outcome of transforming “Albumin 6.5 g/dL resulted on a Serum Sample from an </w:t>
      </w:r>
      <w:proofErr w:type="spellStart"/>
      <w:r w:rsidRPr="00B01F9E">
        <w:rPr>
          <w:rFonts w:ascii="Arial" w:hAnsi="Arial" w:cs="Arial"/>
          <w:sz w:val="20"/>
          <w:szCs w:val="20"/>
        </w:rPr>
        <w:t>Allinity</w:t>
      </w:r>
      <w:proofErr w:type="spellEnd"/>
      <w:r w:rsidRPr="00B01F9E">
        <w:rPr>
          <w:rFonts w:ascii="Arial" w:hAnsi="Arial" w:cs="Arial"/>
          <w:sz w:val="20"/>
          <w:szCs w:val="20"/>
        </w:rPr>
        <w:t xml:space="preserve"> c Device using the </w:t>
      </w:r>
      <w:proofErr w:type="spellStart"/>
      <w:r w:rsidRPr="00B01F9E">
        <w:rPr>
          <w:rFonts w:ascii="Arial" w:hAnsi="Arial" w:cs="Arial"/>
          <w:sz w:val="20"/>
          <w:szCs w:val="20"/>
        </w:rPr>
        <w:t>Bromcresol</w:t>
      </w:r>
      <w:proofErr w:type="spellEnd"/>
      <w:r w:rsidRPr="00B01F9E">
        <w:rPr>
          <w:rFonts w:ascii="Arial" w:hAnsi="Arial" w:cs="Arial"/>
          <w:sz w:val="20"/>
          <w:szCs w:val="20"/>
        </w:rPr>
        <w:t xml:space="preserve"> Purple Methodology” into an ANF clinical statement. </w:t>
      </w:r>
    </w:p>
    <w:p w14:paraId="2442B270" w14:textId="2706E008" w:rsidR="00B32CC4" w:rsidRPr="00B01F9E" w:rsidRDefault="00B32CC4" w:rsidP="00AB43E1">
      <w:pPr>
        <w:spacing w:after="0"/>
        <w:rPr>
          <w:rFonts w:ascii="Arial" w:hAnsi="Arial" w:cs="Arial"/>
          <w:color w:val="009BBF"/>
          <w:sz w:val="20"/>
          <w:szCs w:val="20"/>
        </w:rPr>
      </w:pPr>
      <w:r w:rsidRPr="00B01F9E">
        <w:rPr>
          <w:rFonts w:ascii="Arial" w:hAnsi="Arial" w:cs="Arial"/>
          <w:b/>
          <w:color w:val="009BBF"/>
          <w:sz w:val="20"/>
          <w:szCs w:val="20"/>
        </w:rPr>
        <w:t xml:space="preserve">Table </w:t>
      </w:r>
      <w:r w:rsidR="007430D5" w:rsidRPr="00B01F9E">
        <w:rPr>
          <w:rFonts w:ascii="Arial" w:hAnsi="Arial" w:cs="Arial"/>
          <w:b/>
          <w:color w:val="009BBF"/>
          <w:sz w:val="20"/>
          <w:szCs w:val="20"/>
        </w:rPr>
        <w:t>1</w:t>
      </w:r>
      <w:r w:rsidR="0017372F" w:rsidRPr="00B01F9E">
        <w:rPr>
          <w:rFonts w:ascii="Arial" w:hAnsi="Arial" w:cs="Arial"/>
          <w:b/>
          <w:color w:val="009BBF"/>
          <w:sz w:val="20"/>
          <w:szCs w:val="20"/>
        </w:rPr>
        <w:t>7</w:t>
      </w:r>
      <w:r w:rsidRPr="00B01F9E">
        <w:rPr>
          <w:rFonts w:ascii="Arial" w:hAnsi="Arial" w:cs="Arial"/>
          <w:b/>
          <w:color w:val="009BBF"/>
          <w:sz w:val="20"/>
          <w:szCs w:val="20"/>
        </w:rPr>
        <w:t>:</w:t>
      </w:r>
      <w:r w:rsidRPr="00B01F9E">
        <w:rPr>
          <w:rFonts w:ascii="Arial" w:hAnsi="Arial" w:cs="Arial"/>
          <w:b/>
          <w:bCs/>
          <w:color w:val="009BBF"/>
          <w:sz w:val="20"/>
          <w:szCs w:val="20"/>
        </w:rPr>
        <w:t xml:space="preserve"> Transform Serum Albumin Performance into ANF Clinical Statement</w:t>
      </w:r>
    </w:p>
    <w:tbl>
      <w:tblPr>
        <w:tblStyle w:val="TableGrid7"/>
        <w:tblW w:w="0" w:type="auto"/>
        <w:tblInd w:w="-5" w:type="dxa"/>
        <w:tblLook w:val="04A0" w:firstRow="1" w:lastRow="0" w:firstColumn="1" w:lastColumn="0" w:noHBand="0" w:noVBand="1"/>
      </w:tblPr>
      <w:tblGrid>
        <w:gridCol w:w="2355"/>
        <w:gridCol w:w="6275"/>
      </w:tblGrid>
      <w:tr w:rsidR="00410D41" w:rsidRPr="00B01F9E" w14:paraId="65957487" w14:textId="77777777" w:rsidTr="001A19E8">
        <w:trPr>
          <w:trHeight w:val="193"/>
        </w:trPr>
        <w:tc>
          <w:tcPr>
            <w:tcW w:w="2355" w:type="dxa"/>
            <w:shd w:val="clear" w:color="auto" w:fill="2F5496"/>
          </w:tcPr>
          <w:p w14:paraId="544C72EF" w14:textId="77777777" w:rsidR="00AD19DB" w:rsidRPr="00B01F9E" w:rsidRDefault="00AD19DB" w:rsidP="001A19E8">
            <w:pPr>
              <w:rPr>
                <w:rFonts w:ascii="Arial" w:eastAsia="Calibri" w:hAnsi="Arial" w:cs="Arial"/>
                <w:color w:val="FFFFFF"/>
                <w:sz w:val="20"/>
                <w:szCs w:val="20"/>
              </w:rPr>
            </w:pPr>
            <w:r w:rsidRPr="00B01F9E">
              <w:rPr>
                <w:rFonts w:ascii="Arial" w:eastAsia="Calibri" w:hAnsi="Arial" w:cs="Arial"/>
                <w:color w:val="FFFFFF"/>
                <w:sz w:val="20"/>
                <w:szCs w:val="20"/>
              </w:rPr>
              <w:t>Topic</w:t>
            </w:r>
          </w:p>
        </w:tc>
        <w:tc>
          <w:tcPr>
            <w:tcW w:w="6275" w:type="dxa"/>
            <w:shd w:val="clear" w:color="auto" w:fill="D9E2F3"/>
          </w:tcPr>
          <w:p w14:paraId="13E22440"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Observation procedure -&gt; has focus: Serum Albumin</w:t>
            </w:r>
          </w:p>
        </w:tc>
      </w:tr>
      <w:tr w:rsidR="00410D41" w:rsidRPr="00B01F9E" w14:paraId="0F26903E" w14:textId="77777777" w:rsidTr="001A19E8">
        <w:trPr>
          <w:trHeight w:val="397"/>
        </w:trPr>
        <w:tc>
          <w:tcPr>
            <w:tcW w:w="2355" w:type="dxa"/>
            <w:shd w:val="clear" w:color="auto" w:fill="2F5496"/>
          </w:tcPr>
          <w:p w14:paraId="31A4519C" w14:textId="77777777" w:rsidR="00AD19DB" w:rsidRPr="00B01F9E" w:rsidRDefault="00AD19DB" w:rsidP="001A19E8">
            <w:pPr>
              <w:rPr>
                <w:rFonts w:ascii="Arial" w:eastAsia="Calibri" w:hAnsi="Arial" w:cs="Arial"/>
                <w:color w:val="FFFFFF"/>
                <w:sz w:val="20"/>
                <w:szCs w:val="20"/>
              </w:rPr>
            </w:pPr>
            <w:r w:rsidRPr="00B01F9E">
              <w:rPr>
                <w:rFonts w:ascii="Arial" w:eastAsia="Calibri" w:hAnsi="Arial" w:cs="Arial"/>
                <w:color w:val="FFFFFF"/>
                <w:sz w:val="20"/>
                <w:szCs w:val="20"/>
              </w:rPr>
              <w:t>Technique</w:t>
            </w:r>
          </w:p>
        </w:tc>
        <w:tc>
          <w:tcPr>
            <w:tcW w:w="6275" w:type="dxa"/>
            <w:shd w:val="clear" w:color="auto" w:fill="D9E2F3"/>
          </w:tcPr>
          <w:p w14:paraId="07DB9D1A"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 xml:space="preserve">Serum sample collected via venipuncture tested on the </w:t>
            </w:r>
            <w:proofErr w:type="spellStart"/>
            <w:r w:rsidRPr="00B01F9E">
              <w:rPr>
                <w:rFonts w:ascii="Arial" w:eastAsia="Calibri" w:hAnsi="Arial" w:cs="Arial"/>
                <w:sz w:val="20"/>
                <w:szCs w:val="20"/>
              </w:rPr>
              <w:t>Allinity</w:t>
            </w:r>
            <w:proofErr w:type="spellEnd"/>
            <w:r w:rsidRPr="00B01F9E">
              <w:rPr>
                <w:rFonts w:ascii="Arial" w:eastAsia="Calibri" w:hAnsi="Arial" w:cs="Arial"/>
                <w:sz w:val="20"/>
                <w:szCs w:val="20"/>
              </w:rPr>
              <w:t xml:space="preserve"> c device using the </w:t>
            </w:r>
            <w:proofErr w:type="spellStart"/>
            <w:r w:rsidRPr="00B01F9E">
              <w:rPr>
                <w:rFonts w:ascii="Arial" w:eastAsia="Calibri" w:hAnsi="Arial" w:cs="Arial"/>
                <w:sz w:val="20"/>
                <w:szCs w:val="20"/>
              </w:rPr>
              <w:t>Bromcresol</w:t>
            </w:r>
            <w:proofErr w:type="spellEnd"/>
            <w:r w:rsidRPr="00B01F9E">
              <w:rPr>
                <w:rFonts w:ascii="Arial" w:eastAsia="Calibri" w:hAnsi="Arial" w:cs="Arial"/>
                <w:sz w:val="20"/>
                <w:szCs w:val="20"/>
              </w:rPr>
              <w:t xml:space="preserve"> purple reagent</w:t>
            </w:r>
          </w:p>
        </w:tc>
      </w:tr>
      <w:tr w:rsidR="00410D41" w:rsidRPr="00B01F9E" w14:paraId="4B98D55B" w14:textId="77777777" w:rsidTr="001A19E8">
        <w:trPr>
          <w:trHeight w:val="193"/>
        </w:trPr>
        <w:tc>
          <w:tcPr>
            <w:tcW w:w="2355" w:type="dxa"/>
            <w:shd w:val="clear" w:color="auto" w:fill="C45911"/>
          </w:tcPr>
          <w:p w14:paraId="55784AED" w14:textId="77777777" w:rsidR="00AD19DB" w:rsidRPr="00B01F9E" w:rsidRDefault="00AD19DB" w:rsidP="001A19E8">
            <w:pPr>
              <w:rPr>
                <w:rFonts w:ascii="Arial" w:eastAsia="Calibri" w:hAnsi="Arial" w:cs="Arial"/>
                <w:color w:val="FFFFFF"/>
                <w:sz w:val="20"/>
                <w:szCs w:val="20"/>
              </w:rPr>
            </w:pPr>
            <w:r w:rsidRPr="00B01F9E">
              <w:rPr>
                <w:rFonts w:ascii="Arial" w:eastAsia="Calibri" w:hAnsi="Arial" w:cs="Arial"/>
                <w:color w:val="FFFFFF"/>
                <w:sz w:val="20"/>
                <w:szCs w:val="20"/>
              </w:rPr>
              <w:t>Circumstance</w:t>
            </w:r>
          </w:p>
        </w:tc>
        <w:tc>
          <w:tcPr>
            <w:tcW w:w="6275" w:type="dxa"/>
            <w:shd w:val="clear" w:color="auto" w:fill="FBE4D5"/>
          </w:tcPr>
          <w:p w14:paraId="02DF4CFA"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 xml:space="preserve">(6.5, 6.5) g/dL; </w:t>
            </w:r>
            <w:proofErr w:type="spellStart"/>
            <w:r w:rsidRPr="00B01F9E">
              <w:rPr>
                <w:rFonts w:ascii="Arial" w:eastAsia="Calibri" w:hAnsi="Arial" w:cs="Arial"/>
                <w:sz w:val="20"/>
                <w:szCs w:val="20"/>
              </w:rPr>
              <w:t>ReferenceRange</w:t>
            </w:r>
            <w:proofErr w:type="spellEnd"/>
            <w:r w:rsidRPr="00B01F9E">
              <w:rPr>
                <w:rFonts w:ascii="Arial" w:eastAsia="Calibri" w:hAnsi="Arial" w:cs="Arial"/>
                <w:sz w:val="20"/>
                <w:szCs w:val="20"/>
              </w:rPr>
              <w:t xml:space="preserve"> = [3.5, 5.5] g/dL"</w:t>
            </w:r>
          </w:p>
        </w:tc>
      </w:tr>
      <w:tr w:rsidR="00410D41" w:rsidRPr="00B01F9E" w14:paraId="4615EC23" w14:textId="77777777" w:rsidTr="001A19E8">
        <w:trPr>
          <w:trHeight w:val="193"/>
        </w:trPr>
        <w:tc>
          <w:tcPr>
            <w:tcW w:w="2355" w:type="dxa"/>
            <w:shd w:val="clear" w:color="auto" w:fill="7F7F7F"/>
          </w:tcPr>
          <w:p w14:paraId="413DE94A" w14:textId="77777777" w:rsidR="00AD19DB" w:rsidRPr="00B01F9E" w:rsidRDefault="00AD19DB" w:rsidP="001A19E8">
            <w:pPr>
              <w:rPr>
                <w:rFonts w:ascii="Arial" w:eastAsia="Calibri" w:hAnsi="Arial" w:cs="Arial"/>
                <w:color w:val="FFFFFF"/>
                <w:sz w:val="20"/>
                <w:szCs w:val="20"/>
              </w:rPr>
            </w:pPr>
            <w:r w:rsidRPr="00B01F9E">
              <w:rPr>
                <w:rFonts w:ascii="Arial" w:eastAsia="Calibri" w:hAnsi="Arial" w:cs="Arial"/>
                <w:color w:val="FFFFFF"/>
                <w:sz w:val="20"/>
                <w:szCs w:val="20"/>
              </w:rPr>
              <w:t>Prerequisite</w:t>
            </w:r>
          </w:p>
        </w:tc>
        <w:tc>
          <w:tcPr>
            <w:tcW w:w="6275" w:type="dxa"/>
            <w:shd w:val="clear" w:color="auto" w:fill="D0CECE"/>
          </w:tcPr>
          <w:p w14:paraId="7F2B9592"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N/A</w:t>
            </w:r>
          </w:p>
        </w:tc>
      </w:tr>
      <w:tr w:rsidR="00AD19DB" w:rsidRPr="00B01F9E" w14:paraId="115E9CA1" w14:textId="77777777" w:rsidTr="001A19E8">
        <w:trPr>
          <w:trHeight w:val="1377"/>
        </w:trPr>
        <w:tc>
          <w:tcPr>
            <w:tcW w:w="2355" w:type="dxa"/>
          </w:tcPr>
          <w:p w14:paraId="5210DC58"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Rationale</w:t>
            </w:r>
          </w:p>
        </w:tc>
        <w:tc>
          <w:tcPr>
            <w:tcW w:w="6275" w:type="dxa"/>
          </w:tcPr>
          <w:p w14:paraId="6BE20FCE"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Topic –N/A</w:t>
            </w:r>
          </w:p>
          <w:p w14:paraId="5A854AFE"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 xml:space="preserve">Technique- the clinical statement specifies the collection method and container as well as the test performance method (Abbott </w:t>
            </w:r>
            <w:proofErr w:type="spellStart"/>
            <w:r w:rsidRPr="00B01F9E">
              <w:rPr>
                <w:rFonts w:ascii="Arial" w:eastAsia="Calibri" w:hAnsi="Arial" w:cs="Arial"/>
                <w:sz w:val="20"/>
                <w:szCs w:val="20"/>
              </w:rPr>
              <w:t>Allinity</w:t>
            </w:r>
            <w:proofErr w:type="spellEnd"/>
            <w:r w:rsidRPr="00B01F9E">
              <w:rPr>
                <w:rFonts w:ascii="Arial" w:eastAsia="Calibri" w:hAnsi="Arial" w:cs="Arial"/>
                <w:sz w:val="20"/>
                <w:szCs w:val="20"/>
              </w:rPr>
              <w:t>)</w:t>
            </w:r>
          </w:p>
          <w:p w14:paraId="469AE789"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Circumstance-N/A</w:t>
            </w:r>
          </w:p>
          <w:p w14:paraId="3FB156E0" w14:textId="77777777" w:rsidR="00AD19DB" w:rsidRPr="00B01F9E" w:rsidRDefault="00AD19DB" w:rsidP="001A19E8">
            <w:pPr>
              <w:rPr>
                <w:rFonts w:ascii="Arial" w:eastAsia="Calibri" w:hAnsi="Arial" w:cs="Arial"/>
                <w:sz w:val="20"/>
                <w:szCs w:val="20"/>
              </w:rPr>
            </w:pPr>
            <w:r w:rsidRPr="00B01F9E">
              <w:rPr>
                <w:rFonts w:ascii="Arial" w:eastAsia="Calibri" w:hAnsi="Arial" w:cs="Arial"/>
                <w:sz w:val="20"/>
                <w:szCs w:val="20"/>
              </w:rPr>
              <w:t xml:space="preserve">Prerequisite- insufficient information given regarding actions performed prior to albumin 6.5 g/dL resulted on a serum sample from an </w:t>
            </w:r>
            <w:proofErr w:type="spellStart"/>
            <w:r w:rsidRPr="00B01F9E">
              <w:rPr>
                <w:rFonts w:ascii="Arial" w:eastAsia="Calibri" w:hAnsi="Arial" w:cs="Arial"/>
                <w:sz w:val="20"/>
                <w:szCs w:val="20"/>
              </w:rPr>
              <w:t>Allinity</w:t>
            </w:r>
            <w:proofErr w:type="spellEnd"/>
            <w:r w:rsidRPr="00B01F9E">
              <w:rPr>
                <w:rFonts w:ascii="Arial" w:eastAsia="Calibri" w:hAnsi="Arial" w:cs="Arial"/>
                <w:sz w:val="20"/>
                <w:szCs w:val="20"/>
              </w:rPr>
              <w:t xml:space="preserve"> c device using </w:t>
            </w:r>
            <w:proofErr w:type="spellStart"/>
            <w:r w:rsidRPr="00B01F9E">
              <w:rPr>
                <w:rFonts w:ascii="Arial" w:eastAsia="Calibri" w:hAnsi="Arial" w:cs="Arial"/>
                <w:sz w:val="20"/>
                <w:szCs w:val="20"/>
              </w:rPr>
              <w:t>Bromcresol</w:t>
            </w:r>
            <w:proofErr w:type="spellEnd"/>
            <w:r w:rsidRPr="00B01F9E">
              <w:rPr>
                <w:rFonts w:ascii="Arial" w:eastAsia="Calibri" w:hAnsi="Arial" w:cs="Arial"/>
                <w:sz w:val="20"/>
                <w:szCs w:val="20"/>
              </w:rPr>
              <w:t xml:space="preserve"> purple methodology </w:t>
            </w:r>
          </w:p>
        </w:tc>
      </w:tr>
    </w:tbl>
    <w:p w14:paraId="66A67418" w14:textId="6166FD63" w:rsidR="003745B6" w:rsidRPr="00B01F9E" w:rsidRDefault="00535AED" w:rsidP="0039158C">
      <w:pPr>
        <w:spacing w:before="120" w:after="120"/>
        <w:rPr>
          <w:rFonts w:ascii="Arial" w:hAnsi="Arial" w:cs="Arial"/>
          <w:b/>
          <w:bCs/>
          <w:sz w:val="20"/>
          <w:szCs w:val="20"/>
        </w:rPr>
      </w:pPr>
      <w:r w:rsidRPr="00B01F9E">
        <w:rPr>
          <w:rFonts w:ascii="Arial" w:hAnsi="Arial" w:cs="Arial"/>
          <w:b/>
          <w:bCs/>
          <w:sz w:val="20"/>
          <w:szCs w:val="20"/>
        </w:rPr>
        <w:t xml:space="preserve">Early Realizations </w:t>
      </w:r>
      <w:r w:rsidR="00550004" w:rsidRPr="00B01F9E">
        <w:rPr>
          <w:rFonts w:ascii="Arial" w:hAnsi="Arial" w:cs="Arial"/>
          <w:b/>
          <w:bCs/>
          <w:sz w:val="20"/>
          <w:szCs w:val="20"/>
        </w:rPr>
        <w:t>U</w:t>
      </w:r>
      <w:r w:rsidR="00AD19DB" w:rsidRPr="00B01F9E">
        <w:rPr>
          <w:rFonts w:ascii="Arial" w:hAnsi="Arial" w:cs="Arial"/>
          <w:b/>
          <w:bCs/>
          <w:sz w:val="20"/>
          <w:szCs w:val="20"/>
        </w:rPr>
        <w:t xml:space="preserve">sing the Current State of ANF </w:t>
      </w:r>
      <w:r w:rsidR="00FA07CA" w:rsidRPr="00B01F9E">
        <w:rPr>
          <w:rFonts w:ascii="Arial" w:hAnsi="Arial" w:cs="Arial"/>
          <w:b/>
          <w:bCs/>
          <w:sz w:val="20"/>
          <w:szCs w:val="20"/>
        </w:rPr>
        <w:t>Model Data Elements</w:t>
      </w:r>
      <w:r w:rsidR="00AD19DB" w:rsidRPr="00B01F9E">
        <w:rPr>
          <w:rFonts w:ascii="Arial" w:hAnsi="Arial" w:cs="Arial"/>
          <w:b/>
          <w:bCs/>
          <w:sz w:val="20"/>
          <w:szCs w:val="20"/>
        </w:rPr>
        <w:t xml:space="preserve"> </w:t>
      </w:r>
    </w:p>
    <w:p w14:paraId="43A10F5B" w14:textId="2384E4D4" w:rsidR="001A00AB" w:rsidRPr="00B01F9E" w:rsidRDefault="001A00AB" w:rsidP="00AB43E1">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The Excel Workbook</w:t>
      </w:r>
      <w:r w:rsidR="00050461" w:rsidRPr="00B01F9E">
        <w:rPr>
          <w:rFonts w:ascii="Arial" w:eastAsia="Calibri" w:hAnsi="Arial" w:cs="Arial"/>
          <w:kern w:val="2"/>
          <w:sz w:val="20"/>
          <w:szCs w:val="20"/>
          <w14:ligatures w14:val="standardContextual"/>
        </w:rPr>
        <w:t xml:space="preserve"> (Section </w:t>
      </w:r>
      <w:r w:rsidR="006D5E7A" w:rsidRPr="00B01F9E">
        <w:rPr>
          <w:rFonts w:ascii="Arial" w:eastAsia="Calibri" w:hAnsi="Arial" w:cs="Arial"/>
          <w:kern w:val="2"/>
          <w:sz w:val="20"/>
          <w:szCs w:val="20"/>
          <w14:ligatures w14:val="standardContextual"/>
        </w:rPr>
        <w:t>7</w:t>
      </w:r>
      <w:r w:rsidR="00050461" w:rsidRPr="00B01F9E">
        <w:rPr>
          <w:rFonts w:ascii="Arial" w:eastAsia="Calibri" w:hAnsi="Arial" w:cs="Arial"/>
          <w:kern w:val="2"/>
          <w:sz w:val="20"/>
          <w:szCs w:val="20"/>
          <w14:ligatures w14:val="standardContextual"/>
        </w:rPr>
        <w:t>.3.</w:t>
      </w:r>
      <w:r w:rsidR="00356FC3" w:rsidRPr="00B01F9E">
        <w:rPr>
          <w:rFonts w:ascii="Arial" w:eastAsia="Calibri" w:hAnsi="Arial" w:cs="Arial"/>
          <w:kern w:val="2"/>
          <w:sz w:val="20"/>
          <w:szCs w:val="20"/>
          <w14:ligatures w14:val="standardContextual"/>
        </w:rPr>
        <w:t>3</w:t>
      </w:r>
      <w:r w:rsidR="00050461" w:rsidRPr="00B01F9E">
        <w:rPr>
          <w:rFonts w:ascii="Arial" w:eastAsia="Calibri" w:hAnsi="Arial" w:cs="Arial"/>
          <w:kern w:val="2"/>
          <w:sz w:val="20"/>
          <w:szCs w:val="20"/>
          <w14:ligatures w14:val="standardContextual"/>
        </w:rPr>
        <w:t>)</w:t>
      </w:r>
      <w:r w:rsidRPr="00B01F9E">
        <w:rPr>
          <w:rFonts w:ascii="Arial" w:eastAsia="Calibri" w:hAnsi="Arial" w:cs="Arial"/>
          <w:kern w:val="2"/>
          <w:sz w:val="20"/>
          <w:szCs w:val="20"/>
          <w14:ligatures w14:val="standardContextual"/>
        </w:rPr>
        <w:t xml:space="preserve"> contains a series of worksheets listing the steps in the use case narratives used to generate the ANF statements, as well as the resulting values for each of the </w:t>
      </w:r>
      <w:r w:rsidR="00F867D1" w:rsidRPr="00B01F9E">
        <w:rPr>
          <w:rFonts w:ascii="Arial" w:eastAsia="Calibri" w:hAnsi="Arial" w:cs="Arial"/>
          <w:kern w:val="2"/>
          <w:sz w:val="20"/>
          <w:szCs w:val="20"/>
          <w14:ligatures w14:val="standardContextual"/>
        </w:rPr>
        <w:t xml:space="preserve">ANF </w:t>
      </w:r>
      <w:r w:rsidRPr="00B01F9E">
        <w:rPr>
          <w:rFonts w:ascii="Arial" w:eastAsia="Calibri" w:hAnsi="Arial" w:cs="Arial"/>
          <w:kern w:val="2"/>
          <w:sz w:val="20"/>
          <w:szCs w:val="20"/>
          <w14:ligatures w14:val="standardContextual"/>
        </w:rPr>
        <w:t xml:space="preserve">data elements that were selected by the SMEs. </w:t>
      </w:r>
    </w:p>
    <w:p w14:paraId="14D6FAC4" w14:textId="6156CB32" w:rsidR="001A00AB" w:rsidRPr="00B01F9E" w:rsidRDefault="001A00AB" w:rsidP="00AB43E1">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 the initial exercise, there were differences in interpretation that led to different usage of the </w:t>
      </w:r>
      <w:r w:rsidR="00F867D1" w:rsidRPr="00B01F9E">
        <w:rPr>
          <w:rFonts w:ascii="Arial" w:eastAsia="Calibri" w:hAnsi="Arial" w:cs="Arial"/>
          <w:kern w:val="2"/>
          <w:sz w:val="20"/>
          <w:szCs w:val="20"/>
          <w14:ligatures w14:val="standardContextual"/>
        </w:rPr>
        <w:t xml:space="preserve">ANF </w:t>
      </w:r>
      <w:r w:rsidRPr="00B01F9E">
        <w:rPr>
          <w:rFonts w:ascii="Arial" w:eastAsia="Calibri" w:hAnsi="Arial" w:cs="Arial"/>
          <w:kern w:val="2"/>
          <w:sz w:val="20"/>
          <w:szCs w:val="20"/>
          <w14:ligatures w14:val="standardContextual"/>
        </w:rPr>
        <w:t xml:space="preserve">data elements, along with the realization that certain </w:t>
      </w:r>
      <w:r w:rsidR="00F867D1" w:rsidRPr="00B01F9E">
        <w:rPr>
          <w:rFonts w:ascii="Arial" w:eastAsia="Calibri" w:hAnsi="Arial" w:cs="Arial"/>
          <w:kern w:val="2"/>
          <w:sz w:val="20"/>
          <w:szCs w:val="20"/>
          <w14:ligatures w14:val="standardContextual"/>
        </w:rPr>
        <w:t xml:space="preserve">ANF </w:t>
      </w:r>
      <w:r w:rsidRPr="00B01F9E">
        <w:rPr>
          <w:rFonts w:ascii="Arial" w:eastAsia="Calibri" w:hAnsi="Arial" w:cs="Arial"/>
          <w:kern w:val="2"/>
          <w:sz w:val="20"/>
          <w:szCs w:val="20"/>
          <w14:ligatures w14:val="standardContextual"/>
        </w:rPr>
        <w:t xml:space="preserve">data elements were missing that were critical to the performance of a particular test. </w:t>
      </w:r>
    </w:p>
    <w:p w14:paraId="165EF4F1" w14:textId="52AAC752" w:rsidR="001A00AB" w:rsidRPr="00B01F9E" w:rsidRDefault="001A00AB" w:rsidP="00AB43E1">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For AP reports, there was no consistent location to report items that are collected discre</w:t>
      </w:r>
      <w:r w:rsidR="008F4C76" w:rsidRPr="00B01F9E">
        <w:rPr>
          <w:rFonts w:ascii="Arial" w:eastAsia="Calibri" w:hAnsi="Arial" w:cs="Arial"/>
          <w:kern w:val="2"/>
          <w:sz w:val="20"/>
          <w:szCs w:val="20"/>
          <w14:ligatures w14:val="standardContextual"/>
        </w:rPr>
        <w:t>t</w:t>
      </w:r>
      <w:r w:rsidRPr="00B01F9E">
        <w:rPr>
          <w:rFonts w:ascii="Arial" w:eastAsia="Calibri" w:hAnsi="Arial" w:cs="Arial"/>
          <w:kern w:val="2"/>
          <w:sz w:val="20"/>
          <w:szCs w:val="20"/>
          <w14:ligatures w14:val="standardContextual"/>
        </w:rPr>
        <w:t>ely (e.g., Collection Time, Receive Time, and Fixation Time). Additionally, the team faced challenges when defining certain terms. For example, there was discord regarding whether “Target” and “Component” were synonymous with “Analyte”. This lack of consensus was illustrated by the</w:t>
      </w:r>
      <w:r w:rsidR="001D7EA0" w:rsidRPr="00B01F9E">
        <w:rPr>
          <w:rFonts w:ascii="Arial" w:eastAsia="Calibri" w:hAnsi="Arial" w:cs="Arial"/>
          <w:kern w:val="2"/>
          <w:sz w:val="20"/>
          <w:szCs w:val="20"/>
          <w14:ligatures w14:val="standardContextual"/>
        </w:rPr>
        <w:t xml:space="preserve"> </w:t>
      </w:r>
      <w:r w:rsidR="00383814" w:rsidRPr="00B01F9E">
        <w:rPr>
          <w:rFonts w:ascii="Arial" w:eastAsia="Calibri" w:hAnsi="Arial" w:cs="Arial"/>
          <w:kern w:val="2"/>
          <w:sz w:val="20"/>
          <w:szCs w:val="20"/>
          <w14:ligatures w14:val="standardContextual"/>
        </w:rPr>
        <w:t>e</w:t>
      </w:r>
      <w:r w:rsidRPr="00B01F9E">
        <w:rPr>
          <w:rFonts w:ascii="Arial" w:eastAsia="Calibri" w:hAnsi="Arial" w:cs="Arial"/>
          <w:kern w:val="2"/>
          <w:sz w:val="20"/>
          <w:szCs w:val="20"/>
          <w14:ligatures w14:val="standardContextual"/>
        </w:rPr>
        <w:t xml:space="preserve">strogen </w:t>
      </w:r>
      <w:r w:rsidR="00383814" w:rsidRPr="00B01F9E">
        <w:rPr>
          <w:rFonts w:ascii="Arial" w:eastAsia="Calibri" w:hAnsi="Arial" w:cs="Arial"/>
          <w:kern w:val="2"/>
          <w:sz w:val="20"/>
          <w:szCs w:val="20"/>
          <w14:ligatures w14:val="standardContextual"/>
        </w:rPr>
        <w:t>r</w:t>
      </w:r>
      <w:r w:rsidRPr="00B01F9E">
        <w:rPr>
          <w:rFonts w:ascii="Arial" w:eastAsia="Calibri" w:hAnsi="Arial" w:cs="Arial"/>
          <w:kern w:val="2"/>
          <w:sz w:val="20"/>
          <w:szCs w:val="20"/>
          <w14:ligatures w14:val="standardContextual"/>
        </w:rPr>
        <w:t xml:space="preserve">eceptor (ER) immunohistochemical assessment of a breast cancer use case (Excel- </w:t>
      </w:r>
      <w:r w:rsidRPr="00B01F9E">
        <w:rPr>
          <w:rFonts w:ascii="Arial" w:eastAsia="Calibri" w:hAnsi="Arial" w:cs="Arial"/>
          <w:i/>
          <w:iCs/>
          <w:kern w:val="2"/>
          <w:sz w:val="20"/>
          <w:szCs w:val="20"/>
          <w14:ligatures w14:val="standardContextual"/>
        </w:rPr>
        <w:t>2.0 Breast Resection</w:t>
      </w:r>
      <w:r w:rsidRPr="00B01F9E">
        <w:rPr>
          <w:rFonts w:ascii="Arial" w:eastAsia="Calibri" w:hAnsi="Arial" w:cs="Arial"/>
          <w:kern w:val="2"/>
          <w:sz w:val="20"/>
          <w:szCs w:val="20"/>
          <w14:ligatures w14:val="standardContextual"/>
        </w:rPr>
        <w:t xml:space="preserve">). The “Target” was defined by the SME as the "Analyte” (ER) but the "Component” was defined as invasive cancer cells. Furthermore, the renal biopsy use case with light microscopy (Excel- </w:t>
      </w:r>
      <w:r w:rsidRPr="00B01F9E">
        <w:rPr>
          <w:rFonts w:ascii="Arial" w:eastAsia="Calibri" w:hAnsi="Arial" w:cs="Arial"/>
          <w:i/>
          <w:iCs/>
          <w:kern w:val="2"/>
          <w:sz w:val="20"/>
          <w:szCs w:val="20"/>
          <w14:ligatures w14:val="standardContextual"/>
        </w:rPr>
        <w:t>1.0 Renal Biopsy</w:t>
      </w:r>
      <w:r w:rsidRPr="00B01F9E">
        <w:rPr>
          <w:rFonts w:ascii="Arial" w:eastAsia="Calibri" w:hAnsi="Arial" w:cs="Arial"/>
          <w:kern w:val="2"/>
          <w:sz w:val="20"/>
          <w:szCs w:val="20"/>
          <w14:ligatures w14:val="standardContextual"/>
        </w:rPr>
        <w:t>) raise</w:t>
      </w:r>
      <w:r w:rsidR="001D7EA0" w:rsidRPr="00B01F9E">
        <w:rPr>
          <w:rFonts w:ascii="Arial" w:eastAsia="Calibri" w:hAnsi="Arial" w:cs="Arial"/>
          <w:kern w:val="2"/>
          <w:sz w:val="20"/>
          <w:szCs w:val="20"/>
          <w14:ligatures w14:val="standardContextual"/>
        </w:rPr>
        <w:t>d</w:t>
      </w:r>
      <w:r w:rsidRPr="00B01F9E">
        <w:rPr>
          <w:rFonts w:ascii="Arial" w:eastAsia="Calibri" w:hAnsi="Arial" w:cs="Arial"/>
          <w:kern w:val="2"/>
          <w:sz w:val="20"/>
          <w:szCs w:val="20"/>
          <w14:ligatures w14:val="standardContextual"/>
        </w:rPr>
        <w:t xml:space="preserve"> the questions of:</w:t>
      </w:r>
    </w:p>
    <w:p w14:paraId="53E77CD1" w14:textId="2CD100EA" w:rsidR="001A00AB" w:rsidRPr="00B01F9E" w:rsidRDefault="001A00AB" w:rsidP="00550F50">
      <w:pPr>
        <w:numPr>
          <w:ilvl w:val="0"/>
          <w:numId w:val="37"/>
        </w:numPr>
        <w:ind w:left="720"/>
        <w:contextualSpacing/>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What is the target?</w:t>
      </w:r>
    </w:p>
    <w:p w14:paraId="72AC51C3" w14:textId="12F1F4F5" w:rsidR="001A00AB" w:rsidRPr="00B01F9E" w:rsidRDefault="001A00AB" w:rsidP="00550F50">
      <w:pPr>
        <w:numPr>
          <w:ilvl w:val="0"/>
          <w:numId w:val="37"/>
        </w:numPr>
        <w:spacing w:after="120"/>
        <w:ind w:left="720"/>
        <w:contextualSpacing/>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Is the target any abnormality?</w:t>
      </w:r>
    </w:p>
    <w:p w14:paraId="57C99EFF" w14:textId="627D6D3A" w:rsidR="001A00AB" w:rsidRPr="00B01F9E" w:rsidRDefault="001A00AB" w:rsidP="00550F50">
      <w:pPr>
        <w:numPr>
          <w:ilvl w:val="0"/>
          <w:numId w:val="37"/>
        </w:numPr>
        <w:spacing w:after="120"/>
        <w:ind w:left="7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What is the component if a sampling of glomeruli, tubules, and mesangium is necessary for an adequate study? </w:t>
      </w:r>
    </w:p>
    <w:p w14:paraId="6CE591E6" w14:textId="175E2576" w:rsidR="001A00AB" w:rsidRPr="00B01F9E" w:rsidRDefault="001A00AB" w:rsidP="00AB43E1">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“Technique” and “Method” were other terms that generated conflicting meanings. </w:t>
      </w:r>
    </w:p>
    <w:p w14:paraId="339C0ECA" w14:textId="1A8A581E" w:rsidR="001A00AB" w:rsidRPr="00B01F9E" w:rsidRDefault="001A00AB" w:rsidP="00AB43E1">
      <w:pPr>
        <w:spacing w:after="120"/>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lastRenderedPageBreak/>
        <w:t xml:space="preserve">Table </w:t>
      </w:r>
      <w:r w:rsidR="00D80BFF" w:rsidRPr="00B01F9E">
        <w:rPr>
          <w:rFonts w:ascii="Arial" w:eastAsia="Calibri" w:hAnsi="Arial" w:cs="Arial"/>
          <w:color w:val="000000"/>
          <w:kern w:val="2"/>
          <w:sz w:val="20"/>
          <w:szCs w:val="20"/>
          <w14:ligatures w14:val="standardContextual"/>
        </w:rPr>
        <w:t>1</w:t>
      </w:r>
      <w:r w:rsidR="0017372F" w:rsidRPr="00B01F9E">
        <w:rPr>
          <w:rFonts w:ascii="Arial" w:eastAsia="Calibri" w:hAnsi="Arial" w:cs="Arial"/>
          <w:color w:val="000000"/>
          <w:kern w:val="2"/>
          <w:sz w:val="20"/>
          <w:szCs w:val="20"/>
          <w14:ligatures w14:val="standardContextual"/>
        </w:rPr>
        <w:t>8</w:t>
      </w:r>
      <w:r w:rsidRPr="00B01F9E">
        <w:rPr>
          <w:rFonts w:ascii="Arial" w:eastAsia="Calibri" w:hAnsi="Arial" w:cs="Arial"/>
          <w:color w:val="000000"/>
          <w:kern w:val="2"/>
          <w:sz w:val="20"/>
          <w:szCs w:val="20"/>
          <w14:ligatures w14:val="standardContextual"/>
        </w:rPr>
        <w:t xml:space="preserve"> and </w:t>
      </w:r>
      <w:r w:rsidR="00D80BFF" w:rsidRPr="00B01F9E">
        <w:rPr>
          <w:rFonts w:ascii="Arial" w:eastAsia="Calibri" w:hAnsi="Arial" w:cs="Arial"/>
          <w:color w:val="000000"/>
          <w:kern w:val="2"/>
          <w:sz w:val="20"/>
          <w:szCs w:val="20"/>
          <w14:ligatures w14:val="standardContextual"/>
        </w:rPr>
        <w:t>1</w:t>
      </w:r>
      <w:r w:rsidR="0017372F" w:rsidRPr="00B01F9E">
        <w:rPr>
          <w:rFonts w:ascii="Arial" w:eastAsia="Calibri" w:hAnsi="Arial" w:cs="Arial"/>
          <w:color w:val="000000"/>
          <w:kern w:val="2"/>
          <w:sz w:val="20"/>
          <w:szCs w:val="20"/>
          <w14:ligatures w14:val="standardContextual"/>
        </w:rPr>
        <w:t>9</w:t>
      </w:r>
      <w:r w:rsidRPr="00B01F9E">
        <w:rPr>
          <w:rFonts w:ascii="Arial" w:eastAsia="Calibri" w:hAnsi="Arial" w:cs="Arial"/>
          <w:color w:val="000000"/>
          <w:kern w:val="2"/>
          <w:sz w:val="20"/>
          <w:szCs w:val="20"/>
          <w14:ligatures w14:val="standardContextual"/>
        </w:rPr>
        <w:t xml:space="preserve"> presented below were developed with </w:t>
      </w:r>
      <w:r w:rsidR="00D80BFF" w:rsidRPr="00B01F9E">
        <w:rPr>
          <w:rFonts w:ascii="Arial" w:eastAsia="Calibri" w:hAnsi="Arial" w:cs="Arial"/>
          <w:color w:val="000000"/>
          <w:kern w:val="2"/>
          <w:sz w:val="20"/>
          <w:szCs w:val="20"/>
          <w14:ligatures w14:val="standardContextual"/>
        </w:rPr>
        <w:t>a</w:t>
      </w:r>
      <w:r w:rsidRPr="00B01F9E">
        <w:rPr>
          <w:rFonts w:ascii="Arial" w:eastAsia="Calibri" w:hAnsi="Arial" w:cs="Arial"/>
          <w:color w:val="000000"/>
          <w:kern w:val="2"/>
          <w:sz w:val="20"/>
          <w:szCs w:val="20"/>
          <w14:ligatures w14:val="standardContextual"/>
        </w:rPr>
        <w:t xml:space="preserve"> revised approach, using the fundamental questions </w:t>
      </w:r>
      <w:r w:rsidR="00D80BFF" w:rsidRPr="00B01F9E">
        <w:rPr>
          <w:rFonts w:ascii="Arial" w:eastAsia="Calibri" w:hAnsi="Arial" w:cs="Arial"/>
          <w:color w:val="000000"/>
          <w:kern w:val="2"/>
          <w:sz w:val="20"/>
          <w:szCs w:val="20"/>
          <w14:ligatures w14:val="standardContextual"/>
        </w:rPr>
        <w:t>that ANF data elements seek to define:</w:t>
      </w:r>
      <w:r w:rsidRPr="00B01F9E">
        <w:rPr>
          <w:rFonts w:ascii="Arial" w:eastAsia="Calibri" w:hAnsi="Arial" w:cs="Arial"/>
          <w:color w:val="000000"/>
          <w:kern w:val="2"/>
          <w:sz w:val="20"/>
          <w:szCs w:val="20"/>
          <w14:ligatures w14:val="standardContextual"/>
        </w:rPr>
        <w:t xml:space="preserve"> WHO, WHAT, WHEN, WHERE, WHY, and HOW (W5H) for any medical encounter. These questions were leveraged to create preliminary definitions for the ANF data elements, and their function was exemplified in the revised </w:t>
      </w:r>
      <w:r w:rsidR="00383814" w:rsidRPr="00B01F9E">
        <w:rPr>
          <w:rFonts w:ascii="Arial" w:eastAsia="Calibri" w:hAnsi="Arial" w:cs="Arial"/>
          <w:color w:val="000000"/>
          <w:kern w:val="2"/>
          <w:sz w:val="20"/>
          <w:szCs w:val="20"/>
          <w14:ligatures w14:val="standardContextual"/>
        </w:rPr>
        <w:t>r</w:t>
      </w:r>
      <w:r w:rsidRPr="00B01F9E">
        <w:rPr>
          <w:rFonts w:ascii="Arial" w:eastAsia="Calibri" w:hAnsi="Arial" w:cs="Arial"/>
          <w:color w:val="000000"/>
          <w:kern w:val="2"/>
          <w:sz w:val="20"/>
          <w:szCs w:val="20"/>
          <w14:ligatures w14:val="standardContextual"/>
        </w:rPr>
        <w:t xml:space="preserve">enal </w:t>
      </w:r>
      <w:r w:rsidR="00383814" w:rsidRPr="00B01F9E">
        <w:rPr>
          <w:rFonts w:ascii="Arial" w:eastAsia="Calibri" w:hAnsi="Arial" w:cs="Arial"/>
          <w:color w:val="000000"/>
          <w:kern w:val="2"/>
          <w:sz w:val="20"/>
          <w:szCs w:val="20"/>
          <w14:ligatures w14:val="standardContextual"/>
        </w:rPr>
        <w:t>b</w:t>
      </w:r>
      <w:r w:rsidRPr="00B01F9E">
        <w:rPr>
          <w:rFonts w:ascii="Arial" w:eastAsia="Calibri" w:hAnsi="Arial" w:cs="Arial"/>
          <w:color w:val="000000"/>
          <w:kern w:val="2"/>
          <w:sz w:val="20"/>
          <w:szCs w:val="20"/>
          <w14:ligatures w14:val="standardContextual"/>
        </w:rPr>
        <w:t xml:space="preserve">iopsy use case (Excel- </w:t>
      </w:r>
      <w:r w:rsidRPr="00B01F9E">
        <w:rPr>
          <w:rFonts w:ascii="Arial" w:eastAsia="Calibri" w:hAnsi="Arial" w:cs="Arial"/>
          <w:i/>
          <w:iCs/>
          <w:color w:val="000000"/>
          <w:kern w:val="2"/>
          <w:sz w:val="20"/>
          <w:szCs w:val="20"/>
          <w14:ligatures w14:val="standardContextual"/>
        </w:rPr>
        <w:t>Method 2- Renal Biopsy</w:t>
      </w:r>
      <w:r w:rsidRPr="00B01F9E">
        <w:rPr>
          <w:rFonts w:ascii="Arial" w:eastAsia="Calibri" w:hAnsi="Arial" w:cs="Arial"/>
          <w:color w:val="000000"/>
          <w:kern w:val="2"/>
          <w:sz w:val="20"/>
          <w:szCs w:val="20"/>
          <w14:ligatures w14:val="standardContextual"/>
        </w:rPr>
        <w:t xml:space="preserve">). Each SME was able to formulate a list of sub-elements that described the AP and CP use cases in a consistent manner, resulting in </w:t>
      </w:r>
      <w:r w:rsidR="00BD561F" w:rsidRPr="00B01F9E">
        <w:rPr>
          <w:rFonts w:ascii="Arial" w:eastAsia="Calibri" w:hAnsi="Arial" w:cs="Arial"/>
          <w:color w:val="000000"/>
          <w:kern w:val="2"/>
          <w:sz w:val="20"/>
          <w:szCs w:val="20"/>
          <w14:ligatures w14:val="standardContextual"/>
        </w:rPr>
        <w:t>consensus</w:t>
      </w:r>
      <w:r w:rsidRPr="00B01F9E">
        <w:rPr>
          <w:rFonts w:ascii="Arial" w:eastAsia="Calibri" w:hAnsi="Arial" w:cs="Arial"/>
          <w:color w:val="000000"/>
          <w:kern w:val="2"/>
          <w:sz w:val="20"/>
          <w:szCs w:val="20"/>
          <w14:ligatures w14:val="standardContextual"/>
        </w:rPr>
        <w:t xml:space="preserve"> on the proposed definitions.</w:t>
      </w:r>
    </w:p>
    <w:p w14:paraId="7620ABD7" w14:textId="04F03693" w:rsidR="001A00AB" w:rsidRPr="00B01F9E" w:rsidRDefault="001A00AB" w:rsidP="00AB43E1">
      <w:pPr>
        <w:spacing w:after="120"/>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t xml:space="preserve">Please note that the </w:t>
      </w:r>
      <w:r w:rsidR="00EF055F" w:rsidRPr="00B01F9E">
        <w:rPr>
          <w:rFonts w:ascii="Arial" w:eastAsia="Calibri" w:hAnsi="Arial" w:cs="Arial"/>
          <w:color w:val="000000"/>
          <w:kern w:val="2"/>
          <w:sz w:val="20"/>
          <w:szCs w:val="20"/>
          <w14:ligatures w14:val="standardContextual"/>
        </w:rPr>
        <w:t xml:space="preserve">below </w:t>
      </w:r>
      <w:r w:rsidRPr="00B01F9E">
        <w:rPr>
          <w:rFonts w:ascii="Arial" w:eastAsia="Calibri" w:hAnsi="Arial" w:cs="Arial"/>
          <w:color w:val="000000"/>
          <w:kern w:val="2"/>
          <w:sz w:val="20"/>
          <w:szCs w:val="20"/>
          <w14:ligatures w14:val="standardContextual"/>
        </w:rPr>
        <w:t xml:space="preserve">tables </w:t>
      </w:r>
      <w:r w:rsidR="00B51D93" w:rsidRPr="00B01F9E">
        <w:rPr>
          <w:rFonts w:ascii="Arial" w:eastAsia="Calibri" w:hAnsi="Arial" w:cs="Arial"/>
          <w:color w:val="000000"/>
          <w:kern w:val="2"/>
          <w:sz w:val="20"/>
          <w:szCs w:val="20"/>
          <w14:ligatures w14:val="standardContextual"/>
        </w:rPr>
        <w:t>were a starting point to better understand how the workflow in laboratory testing would overlay the existing ANF model.</w:t>
      </w:r>
    </w:p>
    <w:p w14:paraId="14CD9212" w14:textId="77777777" w:rsidR="00AA6DE6" w:rsidRPr="00B01F9E" w:rsidRDefault="00AA6DE6">
      <w:pPr>
        <w:rPr>
          <w:rFonts w:ascii="Arial" w:hAnsi="Arial" w:cs="Arial"/>
          <w:b/>
          <w:color w:val="009BBF"/>
          <w:sz w:val="20"/>
          <w:szCs w:val="20"/>
        </w:rPr>
      </w:pPr>
      <w:r w:rsidRPr="00B01F9E">
        <w:rPr>
          <w:rFonts w:ascii="Arial" w:hAnsi="Arial" w:cs="Arial"/>
          <w:b/>
          <w:color w:val="009BBF"/>
          <w:sz w:val="20"/>
          <w:szCs w:val="20"/>
        </w:rPr>
        <w:br w:type="page"/>
      </w:r>
    </w:p>
    <w:p w14:paraId="2F771B14" w14:textId="71B3ABAA" w:rsidR="00EE4CBD" w:rsidRPr="00B01F9E" w:rsidRDefault="00EE4CBD" w:rsidP="00A31A4E">
      <w:pPr>
        <w:spacing w:after="0"/>
        <w:rPr>
          <w:rFonts w:ascii="Arial" w:hAnsi="Arial" w:cs="Arial"/>
          <w:b/>
          <w:bCs/>
          <w:color w:val="009BBF"/>
          <w:sz w:val="20"/>
          <w:szCs w:val="20"/>
        </w:rPr>
      </w:pPr>
      <w:r w:rsidRPr="00B01F9E">
        <w:rPr>
          <w:rFonts w:ascii="Arial" w:hAnsi="Arial" w:cs="Arial"/>
          <w:b/>
          <w:color w:val="009BBF"/>
          <w:sz w:val="20"/>
          <w:szCs w:val="20"/>
        </w:rPr>
        <w:lastRenderedPageBreak/>
        <w:t xml:space="preserve">Table </w:t>
      </w:r>
      <w:r w:rsidR="007430D5" w:rsidRPr="00B01F9E">
        <w:rPr>
          <w:rFonts w:ascii="Arial" w:hAnsi="Arial" w:cs="Arial"/>
          <w:b/>
          <w:color w:val="009BBF"/>
          <w:sz w:val="20"/>
          <w:szCs w:val="20"/>
        </w:rPr>
        <w:t>1</w:t>
      </w:r>
      <w:r w:rsidR="0017372F" w:rsidRPr="00B01F9E">
        <w:rPr>
          <w:rFonts w:ascii="Arial" w:hAnsi="Arial" w:cs="Arial"/>
          <w:b/>
          <w:color w:val="009BBF"/>
          <w:sz w:val="20"/>
          <w:szCs w:val="20"/>
        </w:rPr>
        <w:t>8</w:t>
      </w:r>
      <w:r w:rsidRPr="00B01F9E">
        <w:rPr>
          <w:rFonts w:ascii="Arial" w:hAnsi="Arial" w:cs="Arial"/>
          <w:b/>
          <w:color w:val="009BBF"/>
          <w:sz w:val="20"/>
          <w:szCs w:val="20"/>
        </w:rPr>
        <w:t>:</w:t>
      </w:r>
      <w:r w:rsidRPr="00B01F9E">
        <w:rPr>
          <w:rFonts w:ascii="Arial" w:hAnsi="Arial" w:cs="Arial"/>
          <w:b/>
          <w:bCs/>
          <w:color w:val="009BBF"/>
          <w:sz w:val="20"/>
          <w:szCs w:val="20"/>
        </w:rPr>
        <w:t xml:space="preserve"> </w:t>
      </w:r>
      <w:r w:rsidR="00144146" w:rsidRPr="00B01F9E">
        <w:rPr>
          <w:rFonts w:ascii="Arial" w:hAnsi="Arial" w:cs="Arial"/>
          <w:b/>
          <w:bCs/>
          <w:color w:val="009BBF"/>
          <w:sz w:val="20"/>
          <w:szCs w:val="20"/>
        </w:rPr>
        <w:t xml:space="preserve">Preliminary </w:t>
      </w:r>
      <w:r w:rsidRPr="00B01F9E">
        <w:rPr>
          <w:rFonts w:ascii="Arial" w:hAnsi="Arial" w:cs="Arial"/>
          <w:b/>
          <w:bCs/>
          <w:color w:val="009BBF"/>
          <w:sz w:val="20"/>
          <w:szCs w:val="20"/>
        </w:rPr>
        <w:t>ANF Request Statement Data Elements</w:t>
      </w:r>
    </w:p>
    <w:tbl>
      <w:tblPr>
        <w:tblW w:w="10210" w:type="dxa"/>
        <w:tblInd w:w="-113" w:type="dxa"/>
        <w:tblLook w:val="04A0" w:firstRow="1" w:lastRow="0" w:firstColumn="1" w:lastColumn="0" w:noHBand="0" w:noVBand="1"/>
      </w:tblPr>
      <w:tblGrid>
        <w:gridCol w:w="1425"/>
        <w:gridCol w:w="2257"/>
        <w:gridCol w:w="6528"/>
      </w:tblGrid>
      <w:tr w:rsidR="004267E2" w:rsidRPr="00B01F9E" w14:paraId="15756068" w14:textId="77777777" w:rsidTr="002827F1">
        <w:trPr>
          <w:trHeight w:val="249"/>
        </w:trPr>
        <w:tc>
          <w:tcPr>
            <w:tcW w:w="10210" w:type="dxa"/>
            <w:gridSpan w:val="3"/>
            <w:tcBorders>
              <w:top w:val="single" w:sz="4" w:space="0" w:color="000000"/>
              <w:left w:val="single" w:sz="4" w:space="0" w:color="000000"/>
              <w:bottom w:val="single" w:sz="4" w:space="0" w:color="000000"/>
              <w:right w:val="single" w:sz="4" w:space="0" w:color="000000"/>
            </w:tcBorders>
            <w:shd w:val="clear" w:color="000000" w:fill="808080"/>
            <w:noWrap/>
            <w:vAlign w:val="bottom"/>
            <w:hideMark/>
          </w:tcPr>
          <w:p w14:paraId="07925FE4" w14:textId="77777777" w:rsidR="002827F1" w:rsidRPr="00B01F9E" w:rsidRDefault="002827F1" w:rsidP="002827F1">
            <w:pPr>
              <w:spacing w:after="0" w:line="240" w:lineRule="auto"/>
              <w:jc w:val="center"/>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ANF Request Statement Data Elements</w:t>
            </w:r>
          </w:p>
        </w:tc>
      </w:tr>
      <w:tr w:rsidR="001F4C50" w:rsidRPr="00B01F9E" w14:paraId="308508F3" w14:textId="77777777" w:rsidTr="001A19E8">
        <w:trPr>
          <w:trHeight w:val="249"/>
        </w:trPr>
        <w:tc>
          <w:tcPr>
            <w:tcW w:w="1425" w:type="dxa"/>
            <w:tcBorders>
              <w:top w:val="nil"/>
              <w:left w:val="single" w:sz="4" w:space="0" w:color="000000"/>
              <w:bottom w:val="nil"/>
              <w:right w:val="single" w:sz="4" w:space="0" w:color="000000"/>
            </w:tcBorders>
            <w:shd w:val="clear" w:color="000000" w:fill="FFFFFF"/>
            <w:hideMark/>
          </w:tcPr>
          <w:p w14:paraId="5300408F" w14:textId="77777777" w:rsidR="002827F1" w:rsidRPr="00B01F9E" w:rsidRDefault="002827F1" w:rsidP="001A19E8">
            <w:pPr>
              <w:spacing w:after="0" w:line="240" w:lineRule="auto"/>
              <w:rPr>
                <w:rFonts w:ascii="Arial" w:eastAsia="Times New Roman" w:hAnsi="Arial" w:cs="Arial"/>
                <w:b/>
                <w:bCs/>
                <w:sz w:val="20"/>
                <w:szCs w:val="20"/>
              </w:rPr>
            </w:pPr>
            <w:r w:rsidRPr="00B01F9E">
              <w:rPr>
                <w:rFonts w:ascii="Arial" w:eastAsia="Times New Roman" w:hAnsi="Arial" w:cs="Arial"/>
                <w:b/>
                <w:bCs/>
                <w:sz w:val="20"/>
                <w:szCs w:val="20"/>
              </w:rPr>
              <w:t>Question</w:t>
            </w:r>
          </w:p>
        </w:tc>
        <w:tc>
          <w:tcPr>
            <w:tcW w:w="2257" w:type="dxa"/>
            <w:tcBorders>
              <w:top w:val="nil"/>
              <w:left w:val="nil"/>
              <w:bottom w:val="nil"/>
              <w:right w:val="single" w:sz="4" w:space="0" w:color="000000"/>
            </w:tcBorders>
            <w:shd w:val="clear" w:color="000000" w:fill="FFFFFF"/>
            <w:hideMark/>
          </w:tcPr>
          <w:p w14:paraId="4BB9926D" w14:textId="77777777" w:rsidR="002827F1" w:rsidRPr="00B01F9E" w:rsidRDefault="002827F1" w:rsidP="001A19E8">
            <w:pPr>
              <w:spacing w:after="0" w:line="240" w:lineRule="auto"/>
              <w:rPr>
                <w:rFonts w:ascii="Arial" w:eastAsia="Times New Roman" w:hAnsi="Arial" w:cs="Arial"/>
                <w:b/>
                <w:bCs/>
                <w:color w:val="000000"/>
                <w:sz w:val="20"/>
                <w:szCs w:val="20"/>
              </w:rPr>
            </w:pPr>
            <w:r w:rsidRPr="00B01F9E">
              <w:rPr>
                <w:rFonts w:ascii="Arial" w:eastAsia="Times New Roman" w:hAnsi="Arial" w:cs="Arial"/>
                <w:b/>
                <w:bCs/>
                <w:color w:val="000000"/>
                <w:sz w:val="20"/>
                <w:szCs w:val="20"/>
              </w:rPr>
              <w:t>Data Element</w:t>
            </w:r>
          </w:p>
        </w:tc>
        <w:tc>
          <w:tcPr>
            <w:tcW w:w="6528" w:type="dxa"/>
            <w:tcBorders>
              <w:top w:val="nil"/>
              <w:left w:val="nil"/>
              <w:bottom w:val="nil"/>
              <w:right w:val="single" w:sz="4" w:space="0" w:color="000000"/>
            </w:tcBorders>
            <w:shd w:val="clear" w:color="000000" w:fill="FFFFFF"/>
            <w:hideMark/>
          </w:tcPr>
          <w:p w14:paraId="29334FB1" w14:textId="77777777" w:rsidR="002827F1" w:rsidRPr="00B01F9E" w:rsidRDefault="002827F1" w:rsidP="001A19E8">
            <w:pPr>
              <w:spacing w:after="0" w:line="240" w:lineRule="auto"/>
              <w:rPr>
                <w:rFonts w:ascii="Arial" w:eastAsia="Times New Roman" w:hAnsi="Arial" w:cs="Arial"/>
                <w:b/>
                <w:bCs/>
                <w:color w:val="000000"/>
                <w:sz w:val="20"/>
                <w:szCs w:val="20"/>
              </w:rPr>
            </w:pPr>
            <w:r w:rsidRPr="00B01F9E">
              <w:rPr>
                <w:rFonts w:ascii="Arial" w:eastAsia="Times New Roman" w:hAnsi="Arial" w:cs="Arial"/>
                <w:b/>
                <w:bCs/>
                <w:color w:val="000000"/>
                <w:sz w:val="20"/>
                <w:szCs w:val="20"/>
              </w:rPr>
              <w:t>Description</w:t>
            </w:r>
          </w:p>
        </w:tc>
      </w:tr>
      <w:tr w:rsidR="007466CE" w:rsidRPr="00B01F9E" w14:paraId="18BCE0C7" w14:textId="77777777" w:rsidTr="001A19E8">
        <w:trPr>
          <w:trHeight w:val="249"/>
        </w:trPr>
        <w:tc>
          <w:tcPr>
            <w:tcW w:w="1425" w:type="dxa"/>
            <w:vMerge w:val="restart"/>
            <w:tcBorders>
              <w:top w:val="single" w:sz="4" w:space="0" w:color="000000"/>
              <w:left w:val="single" w:sz="4" w:space="0" w:color="000000"/>
              <w:bottom w:val="single" w:sz="4" w:space="0" w:color="000000"/>
              <w:right w:val="single" w:sz="4" w:space="0" w:color="000000"/>
            </w:tcBorders>
            <w:shd w:val="clear" w:color="000000" w:fill="4BACC6"/>
            <w:hideMark/>
          </w:tcPr>
          <w:p w14:paraId="7AB52F56" w14:textId="77777777" w:rsidR="002827F1" w:rsidRPr="00B01F9E" w:rsidRDefault="002827F1" w:rsidP="001A19E8">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Who</w:t>
            </w:r>
          </w:p>
        </w:tc>
        <w:tc>
          <w:tcPr>
            <w:tcW w:w="2257" w:type="dxa"/>
            <w:tcBorders>
              <w:top w:val="single" w:sz="4" w:space="0" w:color="000000"/>
              <w:left w:val="nil"/>
              <w:bottom w:val="single" w:sz="4" w:space="0" w:color="000000"/>
              <w:right w:val="single" w:sz="4" w:space="0" w:color="000000"/>
            </w:tcBorders>
            <w:shd w:val="clear" w:color="000000" w:fill="FFFFFF"/>
            <w:hideMark/>
          </w:tcPr>
          <w:p w14:paraId="13E5E703"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Patient Identifier</w:t>
            </w:r>
          </w:p>
        </w:tc>
        <w:tc>
          <w:tcPr>
            <w:tcW w:w="6528" w:type="dxa"/>
            <w:tcBorders>
              <w:top w:val="single" w:sz="4" w:space="0" w:color="000000"/>
              <w:left w:val="nil"/>
              <w:bottom w:val="single" w:sz="4" w:space="0" w:color="000000"/>
              <w:right w:val="single" w:sz="4" w:space="0" w:color="000000"/>
            </w:tcBorders>
            <w:shd w:val="clear" w:color="000000" w:fill="FFFFFF"/>
            <w:hideMark/>
          </w:tcPr>
          <w:p w14:paraId="75DC1FCD"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patient for whom the service or action is being requested</w:t>
            </w:r>
          </w:p>
        </w:tc>
      </w:tr>
      <w:tr w:rsidR="004267E2" w:rsidRPr="00B01F9E" w14:paraId="14725C78" w14:textId="77777777" w:rsidTr="004F4EBC">
        <w:trPr>
          <w:trHeight w:val="288"/>
        </w:trPr>
        <w:tc>
          <w:tcPr>
            <w:tcW w:w="1425" w:type="dxa"/>
            <w:vMerge/>
            <w:tcBorders>
              <w:top w:val="single" w:sz="4" w:space="0" w:color="000000"/>
              <w:left w:val="single" w:sz="4" w:space="0" w:color="000000"/>
              <w:bottom w:val="single" w:sz="4" w:space="0" w:color="000000"/>
              <w:right w:val="single" w:sz="4" w:space="0" w:color="000000"/>
            </w:tcBorders>
            <w:hideMark/>
          </w:tcPr>
          <w:p w14:paraId="2107FBF3"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4A5961F5"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Requesting Provider</w:t>
            </w:r>
          </w:p>
        </w:tc>
        <w:tc>
          <w:tcPr>
            <w:tcW w:w="6528" w:type="dxa"/>
            <w:tcBorders>
              <w:top w:val="nil"/>
              <w:left w:val="nil"/>
              <w:bottom w:val="single" w:sz="4" w:space="0" w:color="000000"/>
              <w:right w:val="single" w:sz="4" w:space="0" w:color="000000"/>
            </w:tcBorders>
            <w:shd w:val="clear" w:color="000000" w:fill="FFFFFF"/>
            <w:hideMark/>
          </w:tcPr>
          <w:p w14:paraId="620FD52F"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practitioner(s) making the request for the service or action</w:t>
            </w:r>
          </w:p>
        </w:tc>
      </w:tr>
      <w:tr w:rsidR="004267E2" w:rsidRPr="00B01F9E" w14:paraId="391DD9CF" w14:textId="77777777" w:rsidTr="001A19E8">
        <w:trPr>
          <w:trHeight w:val="499"/>
        </w:trPr>
        <w:tc>
          <w:tcPr>
            <w:tcW w:w="1425" w:type="dxa"/>
            <w:vMerge/>
            <w:tcBorders>
              <w:top w:val="single" w:sz="4" w:space="0" w:color="000000"/>
              <w:left w:val="single" w:sz="4" w:space="0" w:color="000000"/>
              <w:bottom w:val="single" w:sz="4" w:space="0" w:color="000000"/>
              <w:right w:val="single" w:sz="4" w:space="0" w:color="000000"/>
            </w:tcBorders>
            <w:hideMark/>
          </w:tcPr>
          <w:p w14:paraId="02522CC2"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258BB4B1"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Requested Service Provider</w:t>
            </w:r>
          </w:p>
        </w:tc>
        <w:tc>
          <w:tcPr>
            <w:tcW w:w="6528" w:type="dxa"/>
            <w:tcBorders>
              <w:top w:val="nil"/>
              <w:left w:val="nil"/>
              <w:bottom w:val="single" w:sz="4" w:space="0" w:color="000000"/>
              <w:right w:val="single" w:sz="4" w:space="0" w:color="000000"/>
            </w:tcBorders>
            <w:shd w:val="clear" w:color="000000" w:fill="FFFFFF"/>
            <w:hideMark/>
          </w:tcPr>
          <w:p w14:paraId="7B9FB634"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practitioner(s) providing the service or actions requested.</w:t>
            </w:r>
            <w:r w:rsidRPr="00B01F9E">
              <w:rPr>
                <w:rFonts w:ascii="Arial" w:eastAsia="Times New Roman" w:hAnsi="Arial" w:cs="Arial"/>
                <w:color w:val="000000"/>
                <w:sz w:val="20"/>
                <w:szCs w:val="20"/>
              </w:rPr>
              <w:br/>
              <w:t>May be another Provider, Hospital, Practice Group, or Laboratory</w:t>
            </w:r>
          </w:p>
        </w:tc>
      </w:tr>
      <w:tr w:rsidR="007466CE" w:rsidRPr="00B01F9E" w14:paraId="74A8F437" w14:textId="77777777" w:rsidTr="001A19E8">
        <w:trPr>
          <w:trHeight w:val="750"/>
        </w:trPr>
        <w:tc>
          <w:tcPr>
            <w:tcW w:w="1425" w:type="dxa"/>
            <w:tcBorders>
              <w:top w:val="nil"/>
              <w:left w:val="single" w:sz="4" w:space="0" w:color="000000"/>
              <w:bottom w:val="single" w:sz="4" w:space="0" w:color="000000"/>
              <w:right w:val="single" w:sz="4" w:space="0" w:color="000000"/>
            </w:tcBorders>
            <w:shd w:val="clear" w:color="000000" w:fill="4BACC6"/>
            <w:hideMark/>
          </w:tcPr>
          <w:p w14:paraId="4939A9D9" w14:textId="77777777" w:rsidR="002827F1" w:rsidRPr="00B01F9E" w:rsidRDefault="002827F1" w:rsidP="001A19E8">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What</w:t>
            </w:r>
          </w:p>
        </w:tc>
        <w:tc>
          <w:tcPr>
            <w:tcW w:w="2257" w:type="dxa"/>
            <w:tcBorders>
              <w:top w:val="nil"/>
              <w:left w:val="nil"/>
              <w:bottom w:val="single" w:sz="4" w:space="0" w:color="000000"/>
              <w:right w:val="single" w:sz="4" w:space="0" w:color="000000"/>
            </w:tcBorders>
            <w:shd w:val="clear" w:color="000000" w:fill="FFFFFF"/>
            <w:hideMark/>
          </w:tcPr>
          <w:p w14:paraId="4435C6E5"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Requested Action or Service</w:t>
            </w:r>
          </w:p>
        </w:tc>
        <w:tc>
          <w:tcPr>
            <w:tcW w:w="6528" w:type="dxa"/>
            <w:tcBorders>
              <w:top w:val="nil"/>
              <w:left w:val="nil"/>
              <w:bottom w:val="single" w:sz="4" w:space="0" w:color="000000"/>
              <w:right w:val="single" w:sz="4" w:space="0" w:color="000000"/>
            </w:tcBorders>
            <w:shd w:val="clear" w:color="000000" w:fill="FFFFFF"/>
            <w:hideMark/>
          </w:tcPr>
          <w:p w14:paraId="5E1C0998" w14:textId="4BB3E08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Includes the name of the test or procedure and provides information on any treatment of the patient or timing that is required for interpretation of the result (e.g.</w:t>
            </w:r>
            <w:r w:rsidR="00CB5C98" w:rsidRPr="00B01F9E">
              <w:rPr>
                <w:rFonts w:ascii="Arial" w:eastAsia="Times New Roman" w:hAnsi="Arial" w:cs="Arial"/>
                <w:color w:val="000000"/>
                <w:sz w:val="20"/>
                <w:szCs w:val="20"/>
              </w:rPr>
              <w:t>,</w:t>
            </w:r>
            <w:r w:rsidRPr="00B01F9E">
              <w:rPr>
                <w:rFonts w:ascii="Arial" w:eastAsia="Times New Roman" w:hAnsi="Arial" w:cs="Arial"/>
                <w:color w:val="000000"/>
                <w:sz w:val="20"/>
                <w:szCs w:val="20"/>
              </w:rPr>
              <w:t xml:space="preserve"> Glucose Tolerance Test or Androgen Sensitivity Test)</w:t>
            </w:r>
          </w:p>
        </w:tc>
      </w:tr>
      <w:tr w:rsidR="007466CE" w:rsidRPr="00B01F9E" w14:paraId="572D94B9" w14:textId="77777777" w:rsidTr="004F4EBC">
        <w:trPr>
          <w:trHeight w:val="288"/>
        </w:trPr>
        <w:tc>
          <w:tcPr>
            <w:tcW w:w="1425" w:type="dxa"/>
            <w:vMerge w:val="restart"/>
            <w:tcBorders>
              <w:top w:val="nil"/>
              <w:left w:val="single" w:sz="4" w:space="0" w:color="000000"/>
              <w:bottom w:val="single" w:sz="4" w:space="0" w:color="000000"/>
              <w:right w:val="single" w:sz="4" w:space="0" w:color="000000"/>
            </w:tcBorders>
            <w:shd w:val="clear" w:color="000000" w:fill="4BACC6"/>
            <w:hideMark/>
          </w:tcPr>
          <w:p w14:paraId="10ADE6AF" w14:textId="77777777" w:rsidR="002827F1" w:rsidRPr="00B01F9E" w:rsidRDefault="002827F1" w:rsidP="001A19E8">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When</w:t>
            </w:r>
          </w:p>
        </w:tc>
        <w:tc>
          <w:tcPr>
            <w:tcW w:w="2257" w:type="dxa"/>
            <w:tcBorders>
              <w:top w:val="nil"/>
              <w:left w:val="nil"/>
              <w:bottom w:val="single" w:sz="4" w:space="0" w:color="000000"/>
              <w:right w:val="single" w:sz="4" w:space="0" w:color="000000"/>
            </w:tcBorders>
            <w:shd w:val="clear" w:color="000000" w:fill="FFFFFF"/>
            <w:hideMark/>
          </w:tcPr>
          <w:p w14:paraId="7A776F0F"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Time Order is Placed</w:t>
            </w:r>
          </w:p>
        </w:tc>
        <w:tc>
          <w:tcPr>
            <w:tcW w:w="6528" w:type="dxa"/>
            <w:tcBorders>
              <w:top w:val="nil"/>
              <w:left w:val="nil"/>
              <w:bottom w:val="single" w:sz="4" w:space="0" w:color="000000"/>
              <w:right w:val="single" w:sz="4" w:space="0" w:color="000000"/>
            </w:tcBorders>
            <w:shd w:val="clear" w:color="000000" w:fill="FFFFFF"/>
            <w:hideMark/>
          </w:tcPr>
          <w:p w14:paraId="52EC8816"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Time stamp for when the order was placed</w:t>
            </w:r>
          </w:p>
        </w:tc>
      </w:tr>
      <w:tr w:rsidR="007466CE" w:rsidRPr="00B01F9E" w14:paraId="1F83328B" w14:textId="77777777" w:rsidTr="001A19E8">
        <w:trPr>
          <w:trHeight w:val="461"/>
        </w:trPr>
        <w:tc>
          <w:tcPr>
            <w:tcW w:w="1425" w:type="dxa"/>
            <w:vMerge/>
            <w:tcBorders>
              <w:top w:val="nil"/>
              <w:left w:val="single" w:sz="4" w:space="0" w:color="000000"/>
              <w:bottom w:val="single" w:sz="4" w:space="0" w:color="000000"/>
              <w:right w:val="single" w:sz="4" w:space="0" w:color="000000"/>
            </w:tcBorders>
            <w:hideMark/>
          </w:tcPr>
          <w:p w14:paraId="0AAF6A28"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0688380F"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Time Interval Order is Valid</w:t>
            </w:r>
          </w:p>
        </w:tc>
        <w:tc>
          <w:tcPr>
            <w:tcW w:w="6528" w:type="dxa"/>
            <w:tcBorders>
              <w:top w:val="nil"/>
              <w:left w:val="nil"/>
              <w:bottom w:val="single" w:sz="4" w:space="0" w:color="000000"/>
              <w:right w:val="single" w:sz="4" w:space="0" w:color="000000"/>
            </w:tcBorders>
            <w:shd w:val="clear" w:color="000000" w:fill="FFFFFF"/>
            <w:hideMark/>
          </w:tcPr>
          <w:p w14:paraId="32DB3B6A"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Provides the time interval for which the order is valid</w:t>
            </w:r>
          </w:p>
        </w:tc>
      </w:tr>
      <w:tr w:rsidR="007466CE" w:rsidRPr="00B01F9E" w14:paraId="0CCC44C9" w14:textId="77777777" w:rsidTr="001A19E8">
        <w:trPr>
          <w:trHeight w:val="852"/>
        </w:trPr>
        <w:tc>
          <w:tcPr>
            <w:tcW w:w="1425" w:type="dxa"/>
            <w:vMerge/>
            <w:tcBorders>
              <w:top w:val="nil"/>
              <w:left w:val="single" w:sz="4" w:space="0" w:color="000000"/>
              <w:bottom w:val="single" w:sz="4" w:space="0" w:color="000000"/>
              <w:right w:val="single" w:sz="4" w:space="0" w:color="000000"/>
            </w:tcBorders>
            <w:hideMark/>
          </w:tcPr>
          <w:p w14:paraId="0736BA98"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59A10041"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Repetition</w:t>
            </w:r>
          </w:p>
        </w:tc>
        <w:tc>
          <w:tcPr>
            <w:tcW w:w="6528" w:type="dxa"/>
            <w:tcBorders>
              <w:top w:val="nil"/>
              <w:left w:val="nil"/>
              <w:bottom w:val="single" w:sz="4" w:space="0" w:color="000000"/>
              <w:right w:val="single" w:sz="4" w:space="0" w:color="000000"/>
            </w:tcBorders>
            <w:shd w:val="clear" w:color="000000" w:fill="FFFFFF"/>
            <w:hideMark/>
          </w:tcPr>
          <w:p w14:paraId="1093AFCF"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Pertaining to (or properties of) the test:</w:t>
            </w:r>
            <w:r w:rsidRPr="00B01F9E">
              <w:rPr>
                <w:rFonts w:ascii="Arial" w:eastAsia="Times New Roman" w:hAnsi="Arial" w:cs="Arial"/>
                <w:color w:val="000000"/>
                <w:sz w:val="20"/>
                <w:szCs w:val="20"/>
              </w:rPr>
              <w:br/>
            </w:r>
            <w:proofErr w:type="gramStart"/>
            <w:r w:rsidRPr="00B01F9E">
              <w:rPr>
                <w:rFonts w:ascii="Arial" w:eastAsia="Times New Roman" w:hAnsi="Arial" w:cs="Arial"/>
                <w:color w:val="000000"/>
                <w:sz w:val="20"/>
                <w:szCs w:val="20"/>
              </w:rPr>
              <w:t>Non-repeating</w:t>
            </w:r>
            <w:proofErr w:type="gramEnd"/>
            <w:r w:rsidRPr="00B01F9E">
              <w:rPr>
                <w:rFonts w:ascii="Arial" w:eastAsia="Times New Roman" w:hAnsi="Arial" w:cs="Arial"/>
                <w:color w:val="000000"/>
                <w:sz w:val="20"/>
                <w:szCs w:val="20"/>
              </w:rPr>
              <w:t xml:space="preserve"> (single point in time)</w:t>
            </w:r>
            <w:r w:rsidRPr="00B01F9E">
              <w:rPr>
                <w:rFonts w:ascii="Arial" w:eastAsia="Times New Roman" w:hAnsi="Arial" w:cs="Arial"/>
                <w:color w:val="000000"/>
                <w:sz w:val="20"/>
                <w:szCs w:val="20"/>
              </w:rPr>
              <w:br/>
              <w:t>Repeating n times at specified y(</w:t>
            </w:r>
            <w:proofErr w:type="spellStart"/>
            <w:r w:rsidRPr="00B01F9E">
              <w:rPr>
                <w:rFonts w:ascii="Arial" w:eastAsia="Times New Roman" w:hAnsi="Arial" w:cs="Arial"/>
                <w:color w:val="000000"/>
                <w:sz w:val="20"/>
                <w:szCs w:val="20"/>
              </w:rPr>
              <w:t>i</w:t>
            </w:r>
            <w:proofErr w:type="spellEnd"/>
            <w:r w:rsidRPr="00B01F9E">
              <w:rPr>
                <w:rFonts w:ascii="Arial" w:eastAsia="Times New Roman" w:hAnsi="Arial" w:cs="Arial"/>
                <w:color w:val="000000"/>
                <w:sz w:val="20"/>
                <w:szCs w:val="20"/>
              </w:rPr>
              <w:t xml:space="preserve">) time intervals where </w:t>
            </w:r>
            <w:proofErr w:type="spellStart"/>
            <w:r w:rsidRPr="00B01F9E">
              <w:rPr>
                <w:rFonts w:ascii="Arial" w:eastAsia="Times New Roman" w:hAnsi="Arial" w:cs="Arial"/>
                <w:color w:val="000000"/>
                <w:sz w:val="20"/>
                <w:szCs w:val="20"/>
              </w:rPr>
              <w:t>i</w:t>
            </w:r>
            <w:proofErr w:type="spellEnd"/>
            <w:r w:rsidRPr="00B01F9E">
              <w:rPr>
                <w:rFonts w:ascii="Arial" w:eastAsia="Times New Roman" w:hAnsi="Arial" w:cs="Arial"/>
                <w:color w:val="000000"/>
                <w:sz w:val="20"/>
                <w:szCs w:val="20"/>
              </w:rPr>
              <w:t xml:space="preserve"> goes from 0 (first time performed) to n and each y(</w:t>
            </w:r>
            <w:proofErr w:type="spellStart"/>
            <w:r w:rsidRPr="00B01F9E">
              <w:rPr>
                <w:rFonts w:ascii="Arial" w:eastAsia="Times New Roman" w:hAnsi="Arial" w:cs="Arial"/>
                <w:color w:val="000000"/>
                <w:sz w:val="20"/>
                <w:szCs w:val="20"/>
              </w:rPr>
              <w:t>i</w:t>
            </w:r>
            <w:proofErr w:type="spellEnd"/>
            <w:r w:rsidRPr="00B01F9E">
              <w:rPr>
                <w:rFonts w:ascii="Arial" w:eastAsia="Times New Roman" w:hAnsi="Arial" w:cs="Arial"/>
                <w:color w:val="000000"/>
                <w:sz w:val="20"/>
                <w:szCs w:val="20"/>
              </w:rPr>
              <w:t>) can be different (or the same)</w:t>
            </w:r>
          </w:p>
        </w:tc>
      </w:tr>
      <w:tr w:rsidR="007466CE" w:rsidRPr="00B01F9E" w14:paraId="67E34BFD" w14:textId="77777777" w:rsidTr="001A19E8">
        <w:trPr>
          <w:trHeight w:val="1278"/>
        </w:trPr>
        <w:tc>
          <w:tcPr>
            <w:tcW w:w="1425" w:type="dxa"/>
            <w:vMerge/>
            <w:tcBorders>
              <w:top w:val="nil"/>
              <w:left w:val="single" w:sz="4" w:space="0" w:color="000000"/>
              <w:bottom w:val="single" w:sz="4" w:space="0" w:color="000000"/>
              <w:right w:val="single" w:sz="4" w:space="0" w:color="000000"/>
            </w:tcBorders>
            <w:hideMark/>
          </w:tcPr>
          <w:p w14:paraId="1377896C"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6BDFA2C3"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Urgency</w:t>
            </w:r>
          </w:p>
        </w:tc>
        <w:tc>
          <w:tcPr>
            <w:tcW w:w="6528" w:type="dxa"/>
            <w:tcBorders>
              <w:top w:val="nil"/>
              <w:left w:val="nil"/>
              <w:bottom w:val="single" w:sz="4" w:space="0" w:color="000000"/>
              <w:right w:val="single" w:sz="4" w:space="0" w:color="000000"/>
            </w:tcBorders>
            <w:shd w:val="clear" w:color="000000" w:fill="FFFFFF"/>
            <w:hideMark/>
          </w:tcPr>
          <w:p w14:paraId="7D740B52"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Pertaining to the timing of the requestor’s need for action or results:</w:t>
            </w:r>
            <w:r w:rsidRPr="00B01F9E">
              <w:rPr>
                <w:rFonts w:ascii="Arial" w:eastAsia="Times New Roman" w:hAnsi="Arial" w:cs="Arial"/>
                <w:color w:val="000000"/>
                <w:sz w:val="20"/>
                <w:szCs w:val="20"/>
              </w:rPr>
              <w:br/>
              <w:t>Immediate</w:t>
            </w:r>
            <w:r w:rsidRPr="00B01F9E">
              <w:rPr>
                <w:rFonts w:ascii="Arial" w:eastAsia="Times New Roman" w:hAnsi="Arial" w:cs="Arial"/>
                <w:color w:val="000000"/>
                <w:sz w:val="20"/>
                <w:szCs w:val="20"/>
              </w:rPr>
              <w:br/>
              <w:t>Urgent</w:t>
            </w:r>
            <w:r w:rsidRPr="00B01F9E">
              <w:rPr>
                <w:rFonts w:ascii="Arial" w:eastAsia="Times New Roman" w:hAnsi="Arial" w:cs="Arial"/>
                <w:color w:val="000000"/>
                <w:sz w:val="20"/>
                <w:szCs w:val="20"/>
              </w:rPr>
              <w:br/>
              <w:t>Rush</w:t>
            </w:r>
            <w:r w:rsidRPr="00B01F9E">
              <w:rPr>
                <w:rFonts w:ascii="Arial" w:eastAsia="Times New Roman" w:hAnsi="Arial" w:cs="Arial"/>
                <w:color w:val="000000"/>
                <w:sz w:val="20"/>
                <w:szCs w:val="20"/>
              </w:rPr>
              <w:br/>
              <w:t>Routine</w:t>
            </w:r>
            <w:r w:rsidRPr="00B01F9E">
              <w:rPr>
                <w:rFonts w:ascii="Arial" w:eastAsia="Times New Roman" w:hAnsi="Arial" w:cs="Arial"/>
                <w:color w:val="000000"/>
                <w:sz w:val="20"/>
                <w:szCs w:val="20"/>
              </w:rPr>
              <w:br/>
              <w:t>Not Specified (assume anytime for the time interval for which the order is valid)</w:t>
            </w:r>
          </w:p>
        </w:tc>
      </w:tr>
      <w:tr w:rsidR="007466CE" w:rsidRPr="00B01F9E" w14:paraId="5E6F0F07" w14:textId="77777777" w:rsidTr="001A19E8">
        <w:trPr>
          <w:trHeight w:val="480"/>
        </w:trPr>
        <w:tc>
          <w:tcPr>
            <w:tcW w:w="1425" w:type="dxa"/>
            <w:vMerge w:val="restart"/>
            <w:tcBorders>
              <w:top w:val="nil"/>
              <w:left w:val="single" w:sz="4" w:space="0" w:color="000000"/>
              <w:bottom w:val="single" w:sz="4" w:space="0" w:color="000000"/>
              <w:right w:val="single" w:sz="4" w:space="0" w:color="000000"/>
            </w:tcBorders>
            <w:shd w:val="clear" w:color="000000" w:fill="4BACC6"/>
            <w:hideMark/>
          </w:tcPr>
          <w:p w14:paraId="15E704DA" w14:textId="77777777" w:rsidR="002827F1" w:rsidRPr="00B01F9E" w:rsidRDefault="002827F1" w:rsidP="001A19E8">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Where</w:t>
            </w:r>
          </w:p>
        </w:tc>
        <w:tc>
          <w:tcPr>
            <w:tcW w:w="2257" w:type="dxa"/>
            <w:tcBorders>
              <w:top w:val="nil"/>
              <w:left w:val="nil"/>
              <w:bottom w:val="single" w:sz="4" w:space="0" w:color="000000"/>
              <w:right w:val="single" w:sz="4" w:space="0" w:color="000000"/>
            </w:tcBorders>
            <w:shd w:val="clear" w:color="000000" w:fill="FFFFFF"/>
            <w:hideMark/>
          </w:tcPr>
          <w:p w14:paraId="5AB1CDCD"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Facility Identifier for the Requestor</w:t>
            </w:r>
          </w:p>
        </w:tc>
        <w:tc>
          <w:tcPr>
            <w:tcW w:w="6528" w:type="dxa"/>
            <w:tcBorders>
              <w:top w:val="nil"/>
              <w:left w:val="nil"/>
              <w:bottom w:val="single" w:sz="4" w:space="0" w:color="000000"/>
              <w:right w:val="single" w:sz="4" w:space="0" w:color="000000"/>
            </w:tcBorders>
            <w:shd w:val="clear" w:color="000000" w:fill="FFFFFF"/>
            <w:hideMark/>
          </w:tcPr>
          <w:p w14:paraId="72310A8F"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facility or practice setting of the requesting provider</w:t>
            </w:r>
          </w:p>
        </w:tc>
      </w:tr>
      <w:tr w:rsidR="007466CE" w:rsidRPr="00B01F9E" w14:paraId="45739101" w14:textId="77777777" w:rsidTr="001A19E8">
        <w:trPr>
          <w:trHeight w:val="499"/>
        </w:trPr>
        <w:tc>
          <w:tcPr>
            <w:tcW w:w="1425" w:type="dxa"/>
            <w:vMerge/>
            <w:tcBorders>
              <w:top w:val="nil"/>
              <w:left w:val="single" w:sz="4" w:space="0" w:color="000000"/>
              <w:bottom w:val="single" w:sz="4" w:space="0" w:color="000000"/>
              <w:right w:val="single" w:sz="4" w:space="0" w:color="000000"/>
            </w:tcBorders>
            <w:hideMark/>
          </w:tcPr>
          <w:p w14:paraId="65A05BC7"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53EDD222"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Facility Identifier for the Service Provider</w:t>
            </w:r>
          </w:p>
        </w:tc>
        <w:tc>
          <w:tcPr>
            <w:tcW w:w="6528" w:type="dxa"/>
            <w:tcBorders>
              <w:top w:val="nil"/>
              <w:left w:val="nil"/>
              <w:bottom w:val="single" w:sz="4" w:space="0" w:color="000000"/>
              <w:right w:val="single" w:sz="4" w:space="0" w:color="000000"/>
            </w:tcBorders>
            <w:shd w:val="clear" w:color="000000" w:fill="FFFFFF"/>
            <w:hideMark/>
          </w:tcPr>
          <w:p w14:paraId="65A35152"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facility or practice setting of the service provider</w:t>
            </w:r>
          </w:p>
        </w:tc>
      </w:tr>
      <w:tr w:rsidR="007466CE" w:rsidRPr="00B01F9E" w14:paraId="70A81DB9" w14:textId="77777777" w:rsidTr="001A19E8">
        <w:trPr>
          <w:trHeight w:val="249"/>
        </w:trPr>
        <w:tc>
          <w:tcPr>
            <w:tcW w:w="1425" w:type="dxa"/>
            <w:vMerge w:val="restart"/>
            <w:tcBorders>
              <w:top w:val="nil"/>
              <w:left w:val="single" w:sz="4" w:space="0" w:color="000000"/>
              <w:bottom w:val="single" w:sz="4" w:space="0" w:color="000000"/>
              <w:right w:val="single" w:sz="4" w:space="0" w:color="000000"/>
            </w:tcBorders>
            <w:shd w:val="clear" w:color="000000" w:fill="4BACC6"/>
            <w:hideMark/>
          </w:tcPr>
          <w:p w14:paraId="7D8EA183" w14:textId="77777777" w:rsidR="002827F1" w:rsidRPr="00B01F9E" w:rsidRDefault="002827F1" w:rsidP="001A19E8">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Why</w:t>
            </w:r>
          </w:p>
        </w:tc>
        <w:tc>
          <w:tcPr>
            <w:tcW w:w="2257" w:type="dxa"/>
            <w:tcBorders>
              <w:top w:val="nil"/>
              <w:left w:val="nil"/>
              <w:bottom w:val="single" w:sz="4" w:space="0" w:color="000000"/>
              <w:right w:val="single" w:sz="4" w:space="0" w:color="000000"/>
            </w:tcBorders>
            <w:shd w:val="clear" w:color="000000" w:fill="FFFFFF"/>
            <w:hideMark/>
          </w:tcPr>
          <w:p w14:paraId="63D709BC"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Clinical Diagnosis</w:t>
            </w:r>
          </w:p>
        </w:tc>
        <w:tc>
          <w:tcPr>
            <w:tcW w:w="6528" w:type="dxa"/>
            <w:tcBorders>
              <w:top w:val="nil"/>
              <w:left w:val="nil"/>
              <w:bottom w:val="single" w:sz="4" w:space="0" w:color="000000"/>
              <w:right w:val="single" w:sz="4" w:space="0" w:color="000000"/>
            </w:tcBorders>
            <w:shd w:val="clear" w:color="000000" w:fill="FFFFFF"/>
            <w:hideMark/>
          </w:tcPr>
          <w:p w14:paraId="4B9D67E8"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Serves as indication for service</w:t>
            </w:r>
          </w:p>
        </w:tc>
      </w:tr>
      <w:tr w:rsidR="007466CE" w:rsidRPr="00B01F9E" w14:paraId="5D9FDE3D" w14:textId="77777777" w:rsidTr="001A19E8">
        <w:trPr>
          <w:trHeight w:val="499"/>
        </w:trPr>
        <w:tc>
          <w:tcPr>
            <w:tcW w:w="1425" w:type="dxa"/>
            <w:vMerge/>
            <w:tcBorders>
              <w:top w:val="nil"/>
              <w:left w:val="single" w:sz="4" w:space="0" w:color="000000"/>
              <w:bottom w:val="single" w:sz="4" w:space="0" w:color="000000"/>
              <w:right w:val="single" w:sz="4" w:space="0" w:color="000000"/>
            </w:tcBorders>
            <w:hideMark/>
          </w:tcPr>
          <w:p w14:paraId="7C89385E"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37445939"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Relevant Co-Morbidities</w:t>
            </w:r>
          </w:p>
        </w:tc>
        <w:tc>
          <w:tcPr>
            <w:tcW w:w="6528" w:type="dxa"/>
            <w:tcBorders>
              <w:top w:val="nil"/>
              <w:left w:val="nil"/>
              <w:bottom w:val="single" w:sz="4" w:space="0" w:color="000000"/>
              <w:right w:val="single" w:sz="4" w:space="0" w:color="000000"/>
            </w:tcBorders>
            <w:shd w:val="clear" w:color="000000" w:fill="FFFFFF"/>
            <w:hideMark/>
          </w:tcPr>
          <w:p w14:paraId="541FA8E9"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Information on relevant co-morbidities that may impact the performance of the action or test or affects the interpretation of results</w:t>
            </w:r>
          </w:p>
        </w:tc>
      </w:tr>
      <w:tr w:rsidR="001F4C50" w:rsidRPr="00B01F9E" w14:paraId="6B778662" w14:textId="77777777" w:rsidTr="001A19E8">
        <w:trPr>
          <w:trHeight w:val="249"/>
        </w:trPr>
        <w:tc>
          <w:tcPr>
            <w:tcW w:w="1425" w:type="dxa"/>
            <w:vMerge w:val="restart"/>
            <w:tcBorders>
              <w:top w:val="nil"/>
              <w:left w:val="single" w:sz="4" w:space="0" w:color="000000"/>
              <w:bottom w:val="single" w:sz="4" w:space="0" w:color="000000"/>
              <w:right w:val="single" w:sz="4" w:space="0" w:color="000000"/>
            </w:tcBorders>
            <w:shd w:val="clear" w:color="000000" w:fill="4BACC6"/>
            <w:hideMark/>
          </w:tcPr>
          <w:p w14:paraId="591DC411" w14:textId="77777777" w:rsidR="002827F1" w:rsidRPr="00B01F9E" w:rsidRDefault="002827F1" w:rsidP="001A19E8">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How</w:t>
            </w:r>
          </w:p>
        </w:tc>
        <w:tc>
          <w:tcPr>
            <w:tcW w:w="2257" w:type="dxa"/>
            <w:tcBorders>
              <w:top w:val="nil"/>
              <w:left w:val="nil"/>
              <w:bottom w:val="single" w:sz="4" w:space="0" w:color="000000"/>
              <w:right w:val="single" w:sz="4" w:space="0" w:color="000000"/>
            </w:tcBorders>
            <w:shd w:val="clear" w:color="000000" w:fill="FFFFFF"/>
            <w:hideMark/>
          </w:tcPr>
          <w:p w14:paraId="65F7AE52"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Technique</w:t>
            </w:r>
          </w:p>
        </w:tc>
        <w:tc>
          <w:tcPr>
            <w:tcW w:w="6528" w:type="dxa"/>
            <w:tcBorders>
              <w:top w:val="nil"/>
              <w:left w:val="nil"/>
              <w:bottom w:val="single" w:sz="4" w:space="0" w:color="000000"/>
              <w:right w:val="single" w:sz="4" w:space="0" w:color="000000"/>
            </w:tcBorders>
            <w:shd w:val="clear" w:color="000000" w:fill="FFFFFF"/>
            <w:hideMark/>
          </w:tcPr>
          <w:p w14:paraId="69E75A13"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Specific action performed by an individual (e.g., light microscopy, gram stain, or ultrasound guided FNA)</w:t>
            </w:r>
          </w:p>
        </w:tc>
      </w:tr>
      <w:tr w:rsidR="007466CE" w:rsidRPr="00B01F9E" w14:paraId="3B762663" w14:textId="77777777" w:rsidTr="001A19E8">
        <w:trPr>
          <w:trHeight w:val="499"/>
        </w:trPr>
        <w:tc>
          <w:tcPr>
            <w:tcW w:w="1425" w:type="dxa"/>
            <w:vMerge/>
            <w:tcBorders>
              <w:top w:val="nil"/>
              <w:left w:val="single" w:sz="4" w:space="0" w:color="000000"/>
              <w:bottom w:val="single" w:sz="4" w:space="0" w:color="000000"/>
              <w:right w:val="single" w:sz="4" w:space="0" w:color="000000"/>
            </w:tcBorders>
            <w:hideMark/>
          </w:tcPr>
          <w:p w14:paraId="636B44A0"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2534A50A"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Method</w:t>
            </w:r>
          </w:p>
        </w:tc>
        <w:tc>
          <w:tcPr>
            <w:tcW w:w="6528" w:type="dxa"/>
            <w:tcBorders>
              <w:top w:val="nil"/>
              <w:left w:val="nil"/>
              <w:bottom w:val="single" w:sz="4" w:space="0" w:color="000000"/>
              <w:right w:val="single" w:sz="4" w:space="0" w:color="000000"/>
            </w:tcBorders>
            <w:shd w:val="clear" w:color="000000" w:fill="FFFFFF"/>
            <w:hideMark/>
          </w:tcPr>
          <w:p w14:paraId="6FAC2E39"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Comprehensive approach or protocol that employs or is inclusive of individual technique or steps (e.g., flow cytometry, electron microscopy, next generation sequencing)</w:t>
            </w:r>
          </w:p>
        </w:tc>
      </w:tr>
      <w:tr w:rsidR="007466CE" w:rsidRPr="00B01F9E" w14:paraId="027F8B81" w14:textId="77777777" w:rsidTr="001A19E8">
        <w:trPr>
          <w:trHeight w:val="499"/>
        </w:trPr>
        <w:tc>
          <w:tcPr>
            <w:tcW w:w="1425" w:type="dxa"/>
            <w:vMerge/>
            <w:tcBorders>
              <w:top w:val="nil"/>
              <w:left w:val="single" w:sz="4" w:space="0" w:color="000000"/>
              <w:bottom w:val="single" w:sz="4" w:space="0" w:color="000000"/>
              <w:right w:val="single" w:sz="4" w:space="0" w:color="000000"/>
            </w:tcBorders>
            <w:hideMark/>
          </w:tcPr>
          <w:p w14:paraId="3EAB6A2C"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5114FB64"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Specimen Type</w:t>
            </w:r>
          </w:p>
        </w:tc>
        <w:tc>
          <w:tcPr>
            <w:tcW w:w="6528" w:type="dxa"/>
            <w:tcBorders>
              <w:top w:val="nil"/>
              <w:left w:val="nil"/>
              <w:bottom w:val="single" w:sz="4" w:space="0" w:color="000000"/>
              <w:right w:val="single" w:sz="4" w:space="0" w:color="000000"/>
            </w:tcBorders>
            <w:shd w:val="clear" w:color="000000" w:fill="FFFFFF"/>
            <w:hideMark/>
          </w:tcPr>
          <w:p w14:paraId="2CFD0A44"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Substance or tissue being sampled or tested (e.g., nasopharyngeal swab, whole blood, serum, urine, wound swab)</w:t>
            </w:r>
          </w:p>
        </w:tc>
      </w:tr>
      <w:tr w:rsidR="007466CE" w:rsidRPr="00B01F9E" w14:paraId="003E6FA0" w14:textId="77777777" w:rsidTr="001A19E8">
        <w:trPr>
          <w:trHeight w:val="249"/>
        </w:trPr>
        <w:tc>
          <w:tcPr>
            <w:tcW w:w="1425" w:type="dxa"/>
            <w:vMerge/>
            <w:tcBorders>
              <w:top w:val="nil"/>
              <w:left w:val="single" w:sz="4" w:space="0" w:color="000000"/>
              <w:bottom w:val="single" w:sz="4" w:space="0" w:color="000000"/>
              <w:right w:val="single" w:sz="4" w:space="0" w:color="000000"/>
            </w:tcBorders>
            <w:hideMark/>
          </w:tcPr>
          <w:p w14:paraId="72177B33"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09DE3B3C"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Specimen Source</w:t>
            </w:r>
          </w:p>
        </w:tc>
        <w:tc>
          <w:tcPr>
            <w:tcW w:w="6528" w:type="dxa"/>
            <w:tcBorders>
              <w:top w:val="nil"/>
              <w:left w:val="nil"/>
              <w:bottom w:val="single" w:sz="4" w:space="0" w:color="000000"/>
              <w:right w:val="single" w:sz="4" w:space="0" w:color="000000"/>
            </w:tcBorders>
            <w:shd w:val="clear" w:color="000000" w:fill="FFFFFF"/>
            <w:hideMark/>
          </w:tcPr>
          <w:p w14:paraId="2D931FF9"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Body location from where a specimen was obtained</w:t>
            </w:r>
          </w:p>
        </w:tc>
      </w:tr>
      <w:tr w:rsidR="007466CE" w:rsidRPr="00B01F9E" w14:paraId="3067196E" w14:textId="77777777" w:rsidTr="001A19E8">
        <w:trPr>
          <w:trHeight w:val="473"/>
        </w:trPr>
        <w:tc>
          <w:tcPr>
            <w:tcW w:w="1425" w:type="dxa"/>
            <w:vMerge/>
            <w:tcBorders>
              <w:top w:val="nil"/>
              <w:left w:val="single" w:sz="4" w:space="0" w:color="000000"/>
              <w:bottom w:val="single" w:sz="4" w:space="0" w:color="000000"/>
              <w:right w:val="single" w:sz="4" w:space="0" w:color="000000"/>
            </w:tcBorders>
            <w:hideMark/>
          </w:tcPr>
          <w:p w14:paraId="764CEA45" w14:textId="77777777" w:rsidR="002827F1" w:rsidRPr="00B01F9E" w:rsidRDefault="002827F1" w:rsidP="001A19E8">
            <w:pPr>
              <w:spacing w:after="0" w:line="240" w:lineRule="auto"/>
              <w:rPr>
                <w:rFonts w:ascii="Arial" w:eastAsia="Times New Roman" w:hAnsi="Arial" w:cs="Arial"/>
                <w:b/>
                <w:bCs/>
                <w:color w:val="FFFFFF"/>
                <w:sz w:val="20"/>
                <w:szCs w:val="20"/>
              </w:rPr>
            </w:pPr>
          </w:p>
        </w:tc>
        <w:tc>
          <w:tcPr>
            <w:tcW w:w="2257" w:type="dxa"/>
            <w:tcBorders>
              <w:top w:val="nil"/>
              <w:left w:val="nil"/>
              <w:bottom w:val="single" w:sz="4" w:space="0" w:color="000000"/>
              <w:right w:val="single" w:sz="4" w:space="0" w:color="000000"/>
            </w:tcBorders>
            <w:shd w:val="clear" w:color="000000" w:fill="FFFFFF"/>
            <w:hideMark/>
          </w:tcPr>
          <w:p w14:paraId="7FC44C27"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Target</w:t>
            </w:r>
          </w:p>
        </w:tc>
        <w:tc>
          <w:tcPr>
            <w:tcW w:w="6528" w:type="dxa"/>
            <w:tcBorders>
              <w:top w:val="nil"/>
              <w:left w:val="nil"/>
              <w:bottom w:val="single" w:sz="4" w:space="0" w:color="000000"/>
              <w:right w:val="single" w:sz="4" w:space="0" w:color="000000"/>
            </w:tcBorders>
            <w:shd w:val="clear" w:color="000000" w:fill="FFFFFF"/>
            <w:hideMark/>
          </w:tcPr>
          <w:p w14:paraId="28AA82C2" w14:textId="77777777" w:rsidR="002827F1" w:rsidRPr="00B01F9E" w:rsidRDefault="002827F1" w:rsidP="001A19E8">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The requesting provider may specify a particular area of focus, biomarker or gene in the order or request (e.g., wrist radiograph, FISH for BCL2, BCL6, and MYC)</w:t>
            </w:r>
          </w:p>
        </w:tc>
      </w:tr>
    </w:tbl>
    <w:p w14:paraId="2FC57EDB" w14:textId="77777777" w:rsidR="00AA6DE6" w:rsidRPr="00B01F9E" w:rsidRDefault="00AA6DE6" w:rsidP="00A31A4E">
      <w:pPr>
        <w:spacing w:before="120" w:after="0"/>
        <w:rPr>
          <w:rFonts w:ascii="Arial" w:hAnsi="Arial" w:cs="Arial"/>
          <w:b/>
          <w:color w:val="009BBF"/>
          <w:sz w:val="20"/>
          <w:szCs w:val="20"/>
        </w:rPr>
      </w:pPr>
    </w:p>
    <w:p w14:paraId="3D86DCF9" w14:textId="7D9A9EA8" w:rsidR="00A86505" w:rsidRPr="00B01F9E" w:rsidRDefault="00A86505" w:rsidP="00A31A4E">
      <w:pPr>
        <w:spacing w:before="120" w:after="0"/>
        <w:rPr>
          <w:rFonts w:ascii="Arial" w:hAnsi="Arial" w:cs="Arial"/>
          <w:b/>
          <w:bCs/>
          <w:color w:val="009BBF"/>
          <w:sz w:val="20"/>
          <w:szCs w:val="20"/>
        </w:rPr>
      </w:pPr>
      <w:r w:rsidRPr="00B01F9E">
        <w:rPr>
          <w:rFonts w:ascii="Arial" w:hAnsi="Arial" w:cs="Arial"/>
          <w:b/>
          <w:color w:val="009BBF"/>
          <w:sz w:val="20"/>
          <w:szCs w:val="20"/>
        </w:rPr>
        <w:lastRenderedPageBreak/>
        <w:t xml:space="preserve">Table </w:t>
      </w:r>
      <w:r w:rsidR="007430D5" w:rsidRPr="00B01F9E">
        <w:rPr>
          <w:rFonts w:ascii="Arial" w:hAnsi="Arial" w:cs="Arial"/>
          <w:b/>
          <w:color w:val="009BBF"/>
          <w:sz w:val="20"/>
          <w:szCs w:val="20"/>
        </w:rPr>
        <w:t>1</w:t>
      </w:r>
      <w:r w:rsidR="0017372F" w:rsidRPr="00B01F9E">
        <w:rPr>
          <w:rFonts w:ascii="Arial" w:hAnsi="Arial" w:cs="Arial"/>
          <w:b/>
          <w:color w:val="009BBF"/>
          <w:sz w:val="20"/>
          <w:szCs w:val="20"/>
        </w:rPr>
        <w:t>9</w:t>
      </w:r>
      <w:r w:rsidRPr="00B01F9E">
        <w:rPr>
          <w:rFonts w:ascii="Arial" w:hAnsi="Arial" w:cs="Arial"/>
          <w:b/>
          <w:color w:val="009BBF"/>
          <w:sz w:val="20"/>
          <w:szCs w:val="20"/>
        </w:rPr>
        <w:t>:</w:t>
      </w:r>
      <w:r w:rsidRPr="00B01F9E">
        <w:rPr>
          <w:rFonts w:ascii="Arial" w:hAnsi="Arial" w:cs="Arial"/>
          <w:b/>
          <w:bCs/>
          <w:color w:val="009BBF"/>
          <w:sz w:val="20"/>
          <w:szCs w:val="20"/>
        </w:rPr>
        <w:t xml:space="preserve"> </w:t>
      </w:r>
      <w:r w:rsidR="00144146" w:rsidRPr="00B01F9E">
        <w:rPr>
          <w:rFonts w:ascii="Arial" w:hAnsi="Arial" w:cs="Arial"/>
          <w:b/>
          <w:bCs/>
          <w:color w:val="009BBF"/>
          <w:sz w:val="20"/>
          <w:szCs w:val="20"/>
        </w:rPr>
        <w:t xml:space="preserve">Preliminary </w:t>
      </w:r>
      <w:r w:rsidRPr="00B01F9E">
        <w:rPr>
          <w:rFonts w:ascii="Arial" w:hAnsi="Arial" w:cs="Arial"/>
          <w:b/>
          <w:bCs/>
          <w:color w:val="009BBF"/>
          <w:sz w:val="20"/>
          <w:szCs w:val="20"/>
        </w:rPr>
        <w:t>ANF Performance Statement Data Elements</w:t>
      </w:r>
    </w:p>
    <w:tbl>
      <w:tblPr>
        <w:tblW w:w="10230" w:type="dxa"/>
        <w:tblInd w:w="-113" w:type="dxa"/>
        <w:tblLook w:val="04A0" w:firstRow="1" w:lastRow="0" w:firstColumn="1" w:lastColumn="0" w:noHBand="0" w:noVBand="1"/>
      </w:tblPr>
      <w:tblGrid>
        <w:gridCol w:w="1083"/>
        <w:gridCol w:w="1812"/>
        <w:gridCol w:w="7335"/>
      </w:tblGrid>
      <w:tr w:rsidR="004267E2" w:rsidRPr="00B01F9E" w14:paraId="176AF188" w14:textId="77777777" w:rsidTr="00E75D1F">
        <w:trPr>
          <w:trHeight w:val="306"/>
        </w:trPr>
        <w:tc>
          <w:tcPr>
            <w:tcW w:w="10230" w:type="dxa"/>
            <w:gridSpan w:val="3"/>
            <w:tcBorders>
              <w:top w:val="single" w:sz="4" w:space="0" w:color="000000"/>
              <w:left w:val="single" w:sz="4" w:space="0" w:color="000000"/>
              <w:bottom w:val="single" w:sz="4" w:space="0" w:color="000000"/>
              <w:right w:val="single" w:sz="4" w:space="0" w:color="000000"/>
            </w:tcBorders>
            <w:shd w:val="clear" w:color="000000" w:fill="808080"/>
            <w:noWrap/>
            <w:hideMark/>
          </w:tcPr>
          <w:p w14:paraId="58DFA933" w14:textId="77777777" w:rsidR="00902A71" w:rsidRPr="00B01F9E" w:rsidRDefault="00902A71" w:rsidP="00E75D1F">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ANF Performance Statement Data Elements</w:t>
            </w:r>
          </w:p>
        </w:tc>
      </w:tr>
      <w:tr w:rsidR="00410D41" w:rsidRPr="00B01F9E" w14:paraId="0F9780ED" w14:textId="77777777" w:rsidTr="00E75D1F">
        <w:trPr>
          <w:trHeight w:val="306"/>
        </w:trPr>
        <w:tc>
          <w:tcPr>
            <w:tcW w:w="1074" w:type="dxa"/>
            <w:tcBorders>
              <w:top w:val="nil"/>
              <w:left w:val="single" w:sz="4" w:space="0" w:color="000000"/>
              <w:bottom w:val="single" w:sz="4" w:space="0" w:color="000000"/>
              <w:right w:val="single" w:sz="4" w:space="0" w:color="000000"/>
            </w:tcBorders>
            <w:shd w:val="clear" w:color="auto" w:fill="auto"/>
            <w:hideMark/>
          </w:tcPr>
          <w:p w14:paraId="7CC0A660" w14:textId="77777777" w:rsidR="00902A71" w:rsidRPr="00B01F9E" w:rsidRDefault="00902A71" w:rsidP="00E75D1F">
            <w:pPr>
              <w:spacing w:after="0" w:line="240" w:lineRule="auto"/>
              <w:rPr>
                <w:rFonts w:ascii="Arial" w:eastAsia="Times New Roman" w:hAnsi="Arial" w:cs="Arial"/>
                <w:b/>
                <w:bCs/>
                <w:color w:val="000000"/>
                <w:sz w:val="20"/>
                <w:szCs w:val="20"/>
              </w:rPr>
            </w:pPr>
            <w:r w:rsidRPr="00B01F9E">
              <w:rPr>
                <w:rFonts w:ascii="Arial" w:eastAsia="Times New Roman" w:hAnsi="Arial" w:cs="Arial"/>
                <w:b/>
                <w:bCs/>
                <w:color w:val="000000"/>
                <w:sz w:val="20"/>
                <w:szCs w:val="20"/>
              </w:rPr>
              <w:t>Question</w:t>
            </w:r>
          </w:p>
        </w:tc>
        <w:tc>
          <w:tcPr>
            <w:tcW w:w="1812" w:type="dxa"/>
            <w:tcBorders>
              <w:top w:val="nil"/>
              <w:left w:val="nil"/>
              <w:bottom w:val="single" w:sz="4" w:space="0" w:color="000000"/>
              <w:right w:val="single" w:sz="4" w:space="0" w:color="000000"/>
            </w:tcBorders>
            <w:shd w:val="clear" w:color="auto" w:fill="auto"/>
            <w:hideMark/>
          </w:tcPr>
          <w:p w14:paraId="05BBA505" w14:textId="77777777" w:rsidR="00902A71" w:rsidRPr="00B01F9E" w:rsidRDefault="00902A71" w:rsidP="00E75D1F">
            <w:pPr>
              <w:spacing w:after="0" w:line="240" w:lineRule="auto"/>
              <w:rPr>
                <w:rFonts w:ascii="Arial" w:eastAsia="Times New Roman" w:hAnsi="Arial" w:cs="Arial"/>
                <w:b/>
                <w:bCs/>
                <w:color w:val="000000"/>
                <w:sz w:val="20"/>
                <w:szCs w:val="20"/>
              </w:rPr>
            </w:pPr>
            <w:r w:rsidRPr="00B01F9E">
              <w:rPr>
                <w:rFonts w:ascii="Arial" w:eastAsia="Times New Roman" w:hAnsi="Arial" w:cs="Arial"/>
                <w:b/>
                <w:bCs/>
                <w:color w:val="000000"/>
                <w:sz w:val="20"/>
                <w:szCs w:val="20"/>
              </w:rPr>
              <w:t>Data Element</w:t>
            </w:r>
          </w:p>
        </w:tc>
        <w:tc>
          <w:tcPr>
            <w:tcW w:w="7342" w:type="dxa"/>
            <w:tcBorders>
              <w:top w:val="nil"/>
              <w:left w:val="nil"/>
              <w:bottom w:val="single" w:sz="4" w:space="0" w:color="000000"/>
              <w:right w:val="single" w:sz="4" w:space="0" w:color="000000"/>
            </w:tcBorders>
            <w:shd w:val="clear" w:color="auto" w:fill="auto"/>
            <w:hideMark/>
          </w:tcPr>
          <w:p w14:paraId="0AB652EA" w14:textId="77777777" w:rsidR="00902A71" w:rsidRPr="00B01F9E" w:rsidRDefault="00902A71" w:rsidP="00E75D1F">
            <w:pPr>
              <w:spacing w:after="0" w:line="240" w:lineRule="auto"/>
              <w:rPr>
                <w:rFonts w:ascii="Arial" w:eastAsia="Times New Roman" w:hAnsi="Arial" w:cs="Arial"/>
                <w:b/>
                <w:bCs/>
                <w:color w:val="000000"/>
                <w:sz w:val="20"/>
                <w:szCs w:val="20"/>
              </w:rPr>
            </w:pPr>
            <w:r w:rsidRPr="00B01F9E">
              <w:rPr>
                <w:rFonts w:ascii="Arial" w:eastAsia="Times New Roman" w:hAnsi="Arial" w:cs="Arial"/>
                <w:b/>
                <w:bCs/>
                <w:color w:val="000000"/>
                <w:sz w:val="20"/>
                <w:szCs w:val="20"/>
              </w:rPr>
              <w:t>Description</w:t>
            </w:r>
          </w:p>
        </w:tc>
      </w:tr>
      <w:tr w:rsidR="007466CE" w:rsidRPr="00B01F9E" w14:paraId="532B4025" w14:textId="77777777" w:rsidTr="00E75D1F">
        <w:trPr>
          <w:trHeight w:val="306"/>
        </w:trPr>
        <w:tc>
          <w:tcPr>
            <w:tcW w:w="1074" w:type="dxa"/>
            <w:vMerge w:val="restart"/>
            <w:tcBorders>
              <w:top w:val="nil"/>
              <w:left w:val="single" w:sz="4" w:space="0" w:color="000000"/>
              <w:bottom w:val="single" w:sz="4" w:space="0" w:color="000000"/>
              <w:right w:val="single" w:sz="4" w:space="0" w:color="000000"/>
            </w:tcBorders>
            <w:shd w:val="clear" w:color="auto" w:fill="009BBF"/>
            <w:noWrap/>
            <w:hideMark/>
          </w:tcPr>
          <w:p w14:paraId="4239B420" w14:textId="77777777" w:rsidR="00902A71" w:rsidRPr="00B01F9E" w:rsidRDefault="00902A71" w:rsidP="00E75D1F">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Who</w:t>
            </w:r>
          </w:p>
        </w:tc>
        <w:tc>
          <w:tcPr>
            <w:tcW w:w="1812" w:type="dxa"/>
            <w:tcBorders>
              <w:top w:val="nil"/>
              <w:left w:val="nil"/>
              <w:bottom w:val="single" w:sz="4" w:space="0" w:color="000000"/>
              <w:right w:val="single" w:sz="4" w:space="0" w:color="000000"/>
            </w:tcBorders>
            <w:shd w:val="clear" w:color="000000" w:fill="FFFFFF"/>
            <w:hideMark/>
          </w:tcPr>
          <w:p w14:paraId="3AC01A06"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Patient Identifier</w:t>
            </w:r>
          </w:p>
        </w:tc>
        <w:tc>
          <w:tcPr>
            <w:tcW w:w="7342" w:type="dxa"/>
            <w:tcBorders>
              <w:top w:val="nil"/>
              <w:left w:val="nil"/>
              <w:bottom w:val="single" w:sz="4" w:space="0" w:color="000000"/>
              <w:right w:val="single" w:sz="4" w:space="0" w:color="000000"/>
            </w:tcBorders>
            <w:shd w:val="clear" w:color="000000" w:fill="FFFFFF"/>
            <w:hideMark/>
          </w:tcPr>
          <w:p w14:paraId="76B32F51"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patient for whom the service or action is being performed</w:t>
            </w:r>
          </w:p>
        </w:tc>
      </w:tr>
      <w:tr w:rsidR="007466CE" w:rsidRPr="00B01F9E" w14:paraId="769A2767" w14:textId="77777777" w:rsidTr="00E75D1F">
        <w:trPr>
          <w:trHeight w:val="509"/>
        </w:trPr>
        <w:tc>
          <w:tcPr>
            <w:tcW w:w="1074" w:type="dxa"/>
            <w:vMerge/>
            <w:tcBorders>
              <w:top w:val="nil"/>
              <w:left w:val="single" w:sz="4" w:space="0" w:color="000000"/>
              <w:bottom w:val="single" w:sz="4" w:space="0" w:color="000000"/>
              <w:right w:val="single" w:sz="4" w:space="0" w:color="000000"/>
            </w:tcBorders>
            <w:shd w:val="clear" w:color="auto" w:fill="009BBF"/>
            <w:hideMark/>
          </w:tcPr>
          <w:p w14:paraId="3D489FE3"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noWrap/>
            <w:hideMark/>
          </w:tcPr>
          <w:p w14:paraId="262A9624"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Service Provider</w:t>
            </w:r>
          </w:p>
        </w:tc>
        <w:tc>
          <w:tcPr>
            <w:tcW w:w="7342" w:type="dxa"/>
            <w:tcBorders>
              <w:top w:val="nil"/>
              <w:left w:val="nil"/>
              <w:bottom w:val="single" w:sz="4" w:space="0" w:color="000000"/>
              <w:right w:val="single" w:sz="4" w:space="0" w:color="000000"/>
            </w:tcBorders>
            <w:shd w:val="clear" w:color="000000" w:fill="FFFFFF"/>
            <w:hideMark/>
          </w:tcPr>
          <w:p w14:paraId="4ACEB247"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practitioner(s) responsible for the results reported:</w:t>
            </w:r>
            <w:r w:rsidRPr="00B01F9E">
              <w:rPr>
                <w:rFonts w:ascii="Arial" w:eastAsia="Times New Roman" w:hAnsi="Arial" w:cs="Arial"/>
                <w:color w:val="000000"/>
                <w:sz w:val="20"/>
                <w:szCs w:val="20"/>
              </w:rPr>
              <w:br/>
              <w:t>Clinician, Pathologist, Radiologist, Laboratory, Lab Section</w:t>
            </w:r>
          </w:p>
        </w:tc>
      </w:tr>
      <w:tr w:rsidR="007466CE" w:rsidRPr="00B01F9E" w14:paraId="49C4BBBD" w14:textId="77777777" w:rsidTr="00E75D1F">
        <w:trPr>
          <w:trHeight w:val="354"/>
        </w:trPr>
        <w:tc>
          <w:tcPr>
            <w:tcW w:w="1074" w:type="dxa"/>
            <w:vMerge w:val="restart"/>
            <w:tcBorders>
              <w:top w:val="nil"/>
              <w:left w:val="single" w:sz="4" w:space="0" w:color="000000"/>
              <w:bottom w:val="single" w:sz="4" w:space="0" w:color="000000"/>
              <w:right w:val="single" w:sz="4" w:space="0" w:color="000000"/>
            </w:tcBorders>
            <w:shd w:val="clear" w:color="auto" w:fill="009BBF"/>
            <w:noWrap/>
            <w:hideMark/>
          </w:tcPr>
          <w:p w14:paraId="12E6A3EA" w14:textId="77777777" w:rsidR="00902A71" w:rsidRPr="00B01F9E" w:rsidRDefault="00902A71" w:rsidP="00E75D1F">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What</w:t>
            </w:r>
          </w:p>
        </w:tc>
        <w:tc>
          <w:tcPr>
            <w:tcW w:w="1812" w:type="dxa"/>
            <w:tcBorders>
              <w:top w:val="nil"/>
              <w:left w:val="nil"/>
              <w:bottom w:val="single" w:sz="4" w:space="0" w:color="000000"/>
              <w:right w:val="single" w:sz="4" w:space="0" w:color="000000"/>
            </w:tcBorders>
            <w:shd w:val="clear" w:color="000000" w:fill="FFFFFF"/>
            <w:hideMark/>
          </w:tcPr>
          <w:p w14:paraId="352B0779" w14:textId="6F2B9F8F"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Performed Test/Action</w:t>
            </w:r>
          </w:p>
        </w:tc>
        <w:tc>
          <w:tcPr>
            <w:tcW w:w="7342" w:type="dxa"/>
            <w:tcBorders>
              <w:top w:val="nil"/>
              <w:left w:val="nil"/>
              <w:bottom w:val="single" w:sz="4" w:space="0" w:color="000000"/>
              <w:right w:val="single" w:sz="4" w:space="0" w:color="000000"/>
            </w:tcBorders>
            <w:shd w:val="clear" w:color="000000" w:fill="FFFFFF"/>
            <w:hideMark/>
          </w:tcPr>
          <w:p w14:paraId="4ECA8107"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What is being performed (test) or resulted (the final report)</w:t>
            </w:r>
          </w:p>
        </w:tc>
      </w:tr>
      <w:tr w:rsidR="007466CE" w:rsidRPr="00B01F9E" w14:paraId="2DBE7012" w14:textId="77777777" w:rsidTr="00E75D1F">
        <w:trPr>
          <w:trHeight w:val="536"/>
        </w:trPr>
        <w:tc>
          <w:tcPr>
            <w:tcW w:w="1074" w:type="dxa"/>
            <w:vMerge/>
            <w:tcBorders>
              <w:top w:val="nil"/>
              <w:left w:val="single" w:sz="4" w:space="0" w:color="000000"/>
              <w:bottom w:val="single" w:sz="4" w:space="0" w:color="000000"/>
              <w:right w:val="single" w:sz="4" w:space="0" w:color="000000"/>
            </w:tcBorders>
            <w:shd w:val="clear" w:color="auto" w:fill="009BBF"/>
            <w:hideMark/>
          </w:tcPr>
          <w:p w14:paraId="1B632578"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45A11DF9" w14:textId="779534BF"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Resulted Test/Action Report</w:t>
            </w:r>
          </w:p>
        </w:tc>
        <w:tc>
          <w:tcPr>
            <w:tcW w:w="7342" w:type="dxa"/>
            <w:tcBorders>
              <w:top w:val="nil"/>
              <w:left w:val="nil"/>
              <w:bottom w:val="single" w:sz="4" w:space="0" w:color="000000"/>
              <w:right w:val="single" w:sz="4" w:space="0" w:color="000000"/>
            </w:tcBorders>
            <w:shd w:val="clear" w:color="000000" w:fill="FFFFFF"/>
            <w:hideMark/>
          </w:tcPr>
          <w:p w14:paraId="5107A7D5"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May include narrative, individual components/analytes, qualitative or quantitative results. Quantitative results should include units of measure as appropriate</w:t>
            </w:r>
          </w:p>
        </w:tc>
      </w:tr>
      <w:tr w:rsidR="007466CE" w:rsidRPr="00B01F9E" w14:paraId="6DB5A58C" w14:textId="77777777" w:rsidTr="00E75D1F">
        <w:trPr>
          <w:trHeight w:val="800"/>
        </w:trPr>
        <w:tc>
          <w:tcPr>
            <w:tcW w:w="1074" w:type="dxa"/>
            <w:vMerge/>
            <w:tcBorders>
              <w:top w:val="nil"/>
              <w:left w:val="single" w:sz="4" w:space="0" w:color="000000"/>
              <w:bottom w:val="single" w:sz="4" w:space="0" w:color="000000"/>
              <w:right w:val="single" w:sz="4" w:space="0" w:color="000000"/>
            </w:tcBorders>
            <w:shd w:val="clear" w:color="auto" w:fill="009BBF"/>
            <w:hideMark/>
          </w:tcPr>
          <w:p w14:paraId="7DDE2645"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4E6F2D10"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Reference Range</w:t>
            </w:r>
          </w:p>
        </w:tc>
        <w:tc>
          <w:tcPr>
            <w:tcW w:w="7342" w:type="dxa"/>
            <w:tcBorders>
              <w:top w:val="nil"/>
              <w:left w:val="nil"/>
              <w:bottom w:val="single" w:sz="4" w:space="0" w:color="000000"/>
              <w:right w:val="single" w:sz="4" w:space="0" w:color="000000"/>
            </w:tcBorders>
            <w:shd w:val="clear" w:color="000000" w:fill="FFFFFF"/>
            <w:hideMark/>
          </w:tcPr>
          <w:p w14:paraId="1A208C5E"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Interval of values that are used to interpret the observation or finding and may include values that are deemed normal for a physiological measurement in healthy persons or values that indicate adequate therapeutic response or drug level (e.g., anticoagulation, therapeutic drug monitoring)</w:t>
            </w:r>
          </w:p>
        </w:tc>
      </w:tr>
      <w:tr w:rsidR="007466CE" w:rsidRPr="00B01F9E" w14:paraId="32EC58B7" w14:textId="77777777" w:rsidTr="00125FD7">
        <w:trPr>
          <w:trHeight w:val="432"/>
        </w:trPr>
        <w:tc>
          <w:tcPr>
            <w:tcW w:w="1074" w:type="dxa"/>
            <w:vMerge/>
            <w:tcBorders>
              <w:top w:val="nil"/>
              <w:left w:val="single" w:sz="4" w:space="0" w:color="000000"/>
              <w:bottom w:val="single" w:sz="4" w:space="0" w:color="000000"/>
              <w:right w:val="single" w:sz="4" w:space="0" w:color="000000"/>
            </w:tcBorders>
            <w:shd w:val="clear" w:color="auto" w:fill="009BBF"/>
            <w:hideMark/>
          </w:tcPr>
          <w:p w14:paraId="6C9CDCEC"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58D44DAF"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Results Flag</w:t>
            </w:r>
          </w:p>
        </w:tc>
        <w:tc>
          <w:tcPr>
            <w:tcW w:w="7342" w:type="dxa"/>
            <w:tcBorders>
              <w:top w:val="nil"/>
              <w:left w:val="nil"/>
              <w:bottom w:val="single" w:sz="4" w:space="0" w:color="000000"/>
              <w:right w:val="single" w:sz="4" w:space="0" w:color="000000"/>
            </w:tcBorders>
            <w:shd w:val="clear" w:color="000000" w:fill="FFFFFF"/>
            <w:hideMark/>
          </w:tcPr>
          <w:p w14:paraId="63B50777"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Results comment or flag indicating abnormality or risk to health (e.g., a flag with coded values, such as 'low', 'normal', high', and 'critical')</w:t>
            </w:r>
          </w:p>
        </w:tc>
      </w:tr>
      <w:tr w:rsidR="007466CE" w:rsidRPr="00B01F9E" w14:paraId="50C50B50" w14:textId="77777777" w:rsidTr="00E75D1F">
        <w:trPr>
          <w:trHeight w:val="909"/>
        </w:trPr>
        <w:tc>
          <w:tcPr>
            <w:tcW w:w="1074" w:type="dxa"/>
            <w:vMerge/>
            <w:tcBorders>
              <w:top w:val="nil"/>
              <w:left w:val="single" w:sz="4" w:space="0" w:color="000000"/>
              <w:bottom w:val="single" w:sz="4" w:space="0" w:color="000000"/>
              <w:right w:val="single" w:sz="4" w:space="0" w:color="000000"/>
            </w:tcBorders>
            <w:shd w:val="clear" w:color="auto" w:fill="009BBF"/>
            <w:hideMark/>
          </w:tcPr>
          <w:p w14:paraId="30144151"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141A9C4A" w14:textId="321570B5"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Rejection Criteria/Adequacy Condition</w:t>
            </w:r>
          </w:p>
        </w:tc>
        <w:tc>
          <w:tcPr>
            <w:tcW w:w="7342" w:type="dxa"/>
            <w:tcBorders>
              <w:top w:val="nil"/>
              <w:left w:val="nil"/>
              <w:bottom w:val="single" w:sz="4" w:space="0" w:color="000000"/>
              <w:right w:val="single" w:sz="4" w:space="0" w:color="000000"/>
            </w:tcBorders>
            <w:shd w:val="clear" w:color="000000" w:fill="FFFFFF"/>
            <w:hideMark/>
          </w:tcPr>
          <w:p w14:paraId="5BEA90E2"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Result might be insufficient for diagnosis in which case Rejection Criteria/Adequacy Condition should be used to indicate any information regarding the condition and disposition of specimens that do not meet the laboratory's criteria for acceptability or compromise an observation or exam (e.g., hemolyzed specimen, inadequate bowel prep, inadequate fixation, or sample size)</w:t>
            </w:r>
          </w:p>
        </w:tc>
      </w:tr>
      <w:tr w:rsidR="007466CE" w:rsidRPr="00B01F9E" w14:paraId="10479D0F" w14:textId="77777777" w:rsidTr="00125FD7">
        <w:trPr>
          <w:trHeight w:val="1152"/>
        </w:trPr>
        <w:tc>
          <w:tcPr>
            <w:tcW w:w="1074" w:type="dxa"/>
            <w:vMerge w:val="restart"/>
            <w:tcBorders>
              <w:top w:val="nil"/>
              <w:left w:val="single" w:sz="4" w:space="0" w:color="000000"/>
              <w:bottom w:val="single" w:sz="4" w:space="0" w:color="000000"/>
              <w:right w:val="single" w:sz="4" w:space="0" w:color="000000"/>
            </w:tcBorders>
            <w:shd w:val="clear" w:color="auto" w:fill="009BBF"/>
            <w:noWrap/>
            <w:hideMark/>
          </w:tcPr>
          <w:p w14:paraId="324FD467" w14:textId="77777777" w:rsidR="00902A71" w:rsidRPr="00B01F9E" w:rsidRDefault="00902A71" w:rsidP="00E75D1F">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When</w:t>
            </w:r>
          </w:p>
        </w:tc>
        <w:tc>
          <w:tcPr>
            <w:tcW w:w="1812" w:type="dxa"/>
            <w:tcBorders>
              <w:top w:val="nil"/>
              <w:left w:val="nil"/>
              <w:bottom w:val="single" w:sz="4" w:space="0" w:color="000000"/>
              <w:right w:val="single" w:sz="4" w:space="0" w:color="000000"/>
            </w:tcBorders>
            <w:shd w:val="clear" w:color="000000" w:fill="FFFFFF"/>
            <w:hideMark/>
          </w:tcPr>
          <w:p w14:paraId="3B94532D"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Relevant Time Records</w:t>
            </w:r>
          </w:p>
        </w:tc>
        <w:tc>
          <w:tcPr>
            <w:tcW w:w="7342" w:type="dxa"/>
            <w:tcBorders>
              <w:top w:val="nil"/>
              <w:left w:val="nil"/>
              <w:bottom w:val="single" w:sz="4" w:space="0" w:color="000000"/>
              <w:right w:val="single" w:sz="4" w:space="0" w:color="000000"/>
            </w:tcBorders>
            <w:shd w:val="clear" w:color="000000" w:fill="FFFFFF"/>
            <w:hideMark/>
          </w:tcPr>
          <w:p w14:paraId="4447C46F"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Time Records Relevant to Performance:</w:t>
            </w:r>
            <w:r w:rsidRPr="00B01F9E">
              <w:rPr>
                <w:rFonts w:ascii="Arial" w:eastAsia="Times New Roman" w:hAnsi="Arial" w:cs="Arial"/>
                <w:color w:val="000000"/>
                <w:sz w:val="20"/>
                <w:szCs w:val="20"/>
              </w:rPr>
              <w:br/>
              <w:t>Challenge Time ((</w:t>
            </w:r>
            <w:proofErr w:type="spellStart"/>
            <w:r w:rsidRPr="00B01F9E">
              <w:rPr>
                <w:rFonts w:ascii="Arial" w:eastAsia="Times New Roman" w:hAnsi="Arial" w:cs="Arial"/>
                <w:color w:val="000000"/>
                <w:sz w:val="20"/>
                <w:szCs w:val="20"/>
              </w:rPr>
              <w:t>HH:mm:DD:</w:t>
            </w:r>
            <w:proofErr w:type="gramStart"/>
            <w:r w:rsidRPr="00B01F9E">
              <w:rPr>
                <w:rFonts w:ascii="Arial" w:eastAsia="Times New Roman" w:hAnsi="Arial" w:cs="Arial"/>
                <w:color w:val="000000"/>
                <w:sz w:val="20"/>
                <w:szCs w:val="20"/>
              </w:rPr>
              <w:t>MM:YYYY</w:t>
            </w:r>
            <w:proofErr w:type="spellEnd"/>
            <w:proofErr w:type="gramEnd"/>
            <w:r w:rsidRPr="00B01F9E">
              <w:rPr>
                <w:rFonts w:ascii="Arial" w:eastAsia="Times New Roman" w:hAnsi="Arial" w:cs="Arial"/>
                <w:color w:val="000000"/>
                <w:sz w:val="20"/>
                <w:szCs w:val="20"/>
              </w:rPr>
              <w:t>)</w:t>
            </w:r>
            <w:r w:rsidRPr="00B01F9E">
              <w:rPr>
                <w:rFonts w:ascii="Arial" w:eastAsia="Times New Roman" w:hAnsi="Arial" w:cs="Arial"/>
                <w:color w:val="000000"/>
                <w:sz w:val="20"/>
                <w:szCs w:val="20"/>
              </w:rPr>
              <w:br/>
              <w:t>Collection Time (</w:t>
            </w:r>
            <w:proofErr w:type="spellStart"/>
            <w:r w:rsidRPr="00B01F9E">
              <w:rPr>
                <w:rFonts w:ascii="Arial" w:eastAsia="Times New Roman" w:hAnsi="Arial" w:cs="Arial"/>
                <w:color w:val="000000"/>
                <w:sz w:val="20"/>
                <w:szCs w:val="20"/>
              </w:rPr>
              <w:t>HH:mm:DD:MM:YYYY</w:t>
            </w:r>
            <w:proofErr w:type="spellEnd"/>
            <w:r w:rsidRPr="00B01F9E">
              <w:rPr>
                <w:rFonts w:ascii="Arial" w:eastAsia="Times New Roman" w:hAnsi="Arial" w:cs="Arial"/>
                <w:color w:val="000000"/>
                <w:sz w:val="20"/>
                <w:szCs w:val="20"/>
              </w:rPr>
              <w:t>)</w:t>
            </w:r>
            <w:r w:rsidRPr="00B01F9E">
              <w:rPr>
                <w:rFonts w:ascii="Arial" w:eastAsia="Times New Roman" w:hAnsi="Arial" w:cs="Arial"/>
                <w:color w:val="000000"/>
                <w:sz w:val="20"/>
                <w:szCs w:val="20"/>
              </w:rPr>
              <w:br/>
              <w:t>Receive Time (</w:t>
            </w:r>
            <w:proofErr w:type="spellStart"/>
            <w:r w:rsidRPr="00B01F9E">
              <w:rPr>
                <w:rFonts w:ascii="Arial" w:eastAsia="Times New Roman" w:hAnsi="Arial" w:cs="Arial"/>
                <w:color w:val="000000"/>
                <w:sz w:val="20"/>
                <w:szCs w:val="20"/>
              </w:rPr>
              <w:t>HH:mm:DD:MM:YYYY</w:t>
            </w:r>
            <w:proofErr w:type="spellEnd"/>
            <w:r w:rsidRPr="00B01F9E">
              <w:rPr>
                <w:rFonts w:ascii="Arial" w:eastAsia="Times New Roman" w:hAnsi="Arial" w:cs="Arial"/>
                <w:color w:val="000000"/>
                <w:sz w:val="20"/>
                <w:szCs w:val="20"/>
              </w:rPr>
              <w:t>)</w:t>
            </w:r>
            <w:r w:rsidRPr="00B01F9E">
              <w:rPr>
                <w:rFonts w:ascii="Arial" w:eastAsia="Times New Roman" w:hAnsi="Arial" w:cs="Arial"/>
                <w:color w:val="000000"/>
                <w:sz w:val="20"/>
                <w:szCs w:val="20"/>
              </w:rPr>
              <w:br/>
              <w:t xml:space="preserve">Specified Procedural Times (e.g. Time in Fixative, Time out of Fixative) </w:t>
            </w:r>
          </w:p>
        </w:tc>
      </w:tr>
      <w:tr w:rsidR="007466CE" w:rsidRPr="00B01F9E" w14:paraId="32C57FF8" w14:textId="77777777" w:rsidTr="00E75D1F">
        <w:trPr>
          <w:trHeight w:val="1164"/>
        </w:trPr>
        <w:tc>
          <w:tcPr>
            <w:tcW w:w="1074" w:type="dxa"/>
            <w:vMerge/>
            <w:tcBorders>
              <w:top w:val="nil"/>
              <w:left w:val="single" w:sz="4" w:space="0" w:color="000000"/>
              <w:bottom w:val="single" w:sz="4" w:space="0" w:color="000000"/>
              <w:right w:val="single" w:sz="4" w:space="0" w:color="000000"/>
            </w:tcBorders>
            <w:shd w:val="clear" w:color="auto" w:fill="009BBF"/>
            <w:hideMark/>
          </w:tcPr>
          <w:p w14:paraId="26610DE9"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745F65BA"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Status</w:t>
            </w:r>
          </w:p>
        </w:tc>
        <w:tc>
          <w:tcPr>
            <w:tcW w:w="7342" w:type="dxa"/>
            <w:tcBorders>
              <w:top w:val="nil"/>
              <w:left w:val="nil"/>
              <w:bottom w:val="single" w:sz="4" w:space="0" w:color="000000"/>
              <w:right w:val="single" w:sz="4" w:space="0" w:color="000000"/>
            </w:tcBorders>
            <w:shd w:val="clear" w:color="000000" w:fill="FFFFFF"/>
            <w:hideMark/>
          </w:tcPr>
          <w:p w14:paraId="0ACE98B8"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Status of the result or observation with time stamps as needed:</w:t>
            </w:r>
            <w:r w:rsidRPr="00B01F9E">
              <w:rPr>
                <w:rFonts w:ascii="Arial" w:eastAsia="Times New Roman" w:hAnsi="Arial" w:cs="Arial"/>
                <w:color w:val="000000"/>
                <w:sz w:val="20"/>
                <w:szCs w:val="20"/>
              </w:rPr>
              <w:br/>
              <w:t>Preliminary Result</w:t>
            </w:r>
            <w:r w:rsidRPr="00B01F9E">
              <w:rPr>
                <w:rFonts w:ascii="Arial" w:eastAsia="Times New Roman" w:hAnsi="Arial" w:cs="Arial"/>
                <w:color w:val="000000"/>
                <w:sz w:val="20"/>
                <w:szCs w:val="20"/>
              </w:rPr>
              <w:br/>
              <w:t>Final Result</w:t>
            </w:r>
            <w:r w:rsidRPr="00B01F9E">
              <w:rPr>
                <w:rFonts w:ascii="Arial" w:eastAsia="Times New Roman" w:hAnsi="Arial" w:cs="Arial"/>
                <w:color w:val="000000"/>
                <w:sz w:val="20"/>
                <w:szCs w:val="20"/>
              </w:rPr>
              <w:br/>
              <w:t>Addended Result</w:t>
            </w:r>
            <w:r w:rsidRPr="00B01F9E">
              <w:rPr>
                <w:rFonts w:ascii="Arial" w:eastAsia="Times New Roman" w:hAnsi="Arial" w:cs="Arial"/>
                <w:color w:val="000000"/>
                <w:sz w:val="20"/>
                <w:szCs w:val="20"/>
              </w:rPr>
              <w:br/>
              <w:t>Amended Result</w:t>
            </w:r>
          </w:p>
        </w:tc>
      </w:tr>
      <w:tr w:rsidR="007466CE" w:rsidRPr="00B01F9E" w14:paraId="3E75EFC3" w14:textId="77777777" w:rsidTr="00E75D1F">
        <w:trPr>
          <w:trHeight w:val="427"/>
        </w:trPr>
        <w:tc>
          <w:tcPr>
            <w:tcW w:w="1074" w:type="dxa"/>
            <w:tcBorders>
              <w:top w:val="nil"/>
              <w:left w:val="single" w:sz="4" w:space="0" w:color="000000"/>
              <w:bottom w:val="single" w:sz="4" w:space="0" w:color="000000"/>
              <w:right w:val="single" w:sz="4" w:space="0" w:color="000000"/>
            </w:tcBorders>
            <w:shd w:val="clear" w:color="auto" w:fill="009BBF"/>
            <w:noWrap/>
            <w:hideMark/>
          </w:tcPr>
          <w:p w14:paraId="5DCB1E9D" w14:textId="77777777" w:rsidR="00902A71" w:rsidRPr="00B01F9E" w:rsidRDefault="00902A71" w:rsidP="00E75D1F">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Where</w:t>
            </w:r>
          </w:p>
        </w:tc>
        <w:tc>
          <w:tcPr>
            <w:tcW w:w="1812" w:type="dxa"/>
            <w:tcBorders>
              <w:top w:val="nil"/>
              <w:left w:val="nil"/>
              <w:bottom w:val="single" w:sz="4" w:space="0" w:color="000000"/>
              <w:right w:val="single" w:sz="4" w:space="0" w:color="000000"/>
            </w:tcBorders>
            <w:shd w:val="clear" w:color="000000" w:fill="FFFFFF"/>
            <w:hideMark/>
          </w:tcPr>
          <w:p w14:paraId="54625EDA"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Facility Identifier</w:t>
            </w:r>
          </w:p>
        </w:tc>
        <w:tc>
          <w:tcPr>
            <w:tcW w:w="7342" w:type="dxa"/>
            <w:tcBorders>
              <w:top w:val="nil"/>
              <w:left w:val="nil"/>
              <w:bottom w:val="single" w:sz="4" w:space="0" w:color="000000"/>
              <w:right w:val="single" w:sz="4" w:space="0" w:color="000000"/>
            </w:tcBorders>
            <w:shd w:val="clear" w:color="000000" w:fill="FFFFFF"/>
            <w:hideMark/>
          </w:tcPr>
          <w:p w14:paraId="5CDDA7A9"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Identifies the facility or practice where the action or service was performed (e.g., CLIA Laboratory identifier)</w:t>
            </w:r>
          </w:p>
        </w:tc>
      </w:tr>
      <w:tr w:rsidR="007466CE" w:rsidRPr="00B01F9E" w14:paraId="6F52258B" w14:textId="77777777" w:rsidTr="00E75D1F">
        <w:trPr>
          <w:trHeight w:val="306"/>
        </w:trPr>
        <w:tc>
          <w:tcPr>
            <w:tcW w:w="1074" w:type="dxa"/>
            <w:vMerge w:val="restart"/>
            <w:tcBorders>
              <w:top w:val="nil"/>
              <w:left w:val="single" w:sz="4" w:space="0" w:color="000000"/>
              <w:bottom w:val="single" w:sz="4" w:space="0" w:color="000000"/>
              <w:right w:val="single" w:sz="4" w:space="0" w:color="000000"/>
            </w:tcBorders>
            <w:shd w:val="clear" w:color="auto" w:fill="009BBF"/>
            <w:noWrap/>
            <w:hideMark/>
          </w:tcPr>
          <w:p w14:paraId="4D7BDEDC" w14:textId="77777777" w:rsidR="00902A71" w:rsidRPr="00B01F9E" w:rsidRDefault="00902A71" w:rsidP="00E75D1F">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Why</w:t>
            </w:r>
          </w:p>
        </w:tc>
        <w:tc>
          <w:tcPr>
            <w:tcW w:w="1812" w:type="dxa"/>
            <w:tcBorders>
              <w:top w:val="nil"/>
              <w:left w:val="nil"/>
              <w:bottom w:val="single" w:sz="4" w:space="0" w:color="000000"/>
              <w:right w:val="single" w:sz="4" w:space="0" w:color="000000"/>
            </w:tcBorders>
            <w:shd w:val="clear" w:color="000000" w:fill="FFFFFF"/>
            <w:hideMark/>
          </w:tcPr>
          <w:p w14:paraId="242181A7"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Clinical Diagnosis</w:t>
            </w:r>
          </w:p>
        </w:tc>
        <w:tc>
          <w:tcPr>
            <w:tcW w:w="7342" w:type="dxa"/>
            <w:tcBorders>
              <w:top w:val="nil"/>
              <w:left w:val="nil"/>
              <w:bottom w:val="single" w:sz="4" w:space="0" w:color="000000"/>
              <w:right w:val="single" w:sz="4" w:space="0" w:color="000000"/>
            </w:tcBorders>
            <w:shd w:val="clear" w:color="000000" w:fill="FFFFFF"/>
            <w:hideMark/>
          </w:tcPr>
          <w:p w14:paraId="3477B471"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xml:space="preserve">This data element can inherit a parent order or be specified as the individual reason for a reflex </w:t>
            </w:r>
          </w:p>
        </w:tc>
      </w:tr>
      <w:tr w:rsidR="007466CE" w:rsidRPr="00B01F9E" w14:paraId="77683EAC" w14:textId="77777777" w:rsidTr="00E75D1F">
        <w:trPr>
          <w:trHeight w:val="418"/>
        </w:trPr>
        <w:tc>
          <w:tcPr>
            <w:tcW w:w="1074" w:type="dxa"/>
            <w:vMerge/>
            <w:tcBorders>
              <w:top w:val="nil"/>
              <w:left w:val="single" w:sz="4" w:space="0" w:color="000000"/>
              <w:bottom w:val="single" w:sz="4" w:space="0" w:color="000000"/>
              <w:right w:val="single" w:sz="4" w:space="0" w:color="000000"/>
            </w:tcBorders>
            <w:shd w:val="clear" w:color="auto" w:fill="009BBF"/>
            <w:hideMark/>
          </w:tcPr>
          <w:p w14:paraId="3D77452D"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23A5969B"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Relevant Co-Morbidities</w:t>
            </w:r>
          </w:p>
        </w:tc>
        <w:tc>
          <w:tcPr>
            <w:tcW w:w="7342" w:type="dxa"/>
            <w:tcBorders>
              <w:top w:val="nil"/>
              <w:left w:val="nil"/>
              <w:bottom w:val="single" w:sz="4" w:space="0" w:color="000000"/>
              <w:right w:val="single" w:sz="4" w:space="0" w:color="000000"/>
            </w:tcBorders>
            <w:shd w:val="clear" w:color="000000" w:fill="FFFFFF"/>
            <w:hideMark/>
          </w:tcPr>
          <w:p w14:paraId="228F882F"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 xml:space="preserve">This data element can inherit a parent order or be specified as the individual reason for a reflex </w:t>
            </w:r>
          </w:p>
        </w:tc>
      </w:tr>
      <w:tr w:rsidR="007466CE" w:rsidRPr="00B01F9E" w14:paraId="2A504780" w14:textId="77777777" w:rsidTr="00E75D1F">
        <w:trPr>
          <w:trHeight w:val="306"/>
        </w:trPr>
        <w:tc>
          <w:tcPr>
            <w:tcW w:w="1074" w:type="dxa"/>
            <w:vMerge w:val="restart"/>
            <w:tcBorders>
              <w:top w:val="nil"/>
              <w:left w:val="single" w:sz="4" w:space="0" w:color="000000"/>
              <w:bottom w:val="single" w:sz="4" w:space="0" w:color="000000"/>
              <w:right w:val="single" w:sz="4" w:space="0" w:color="000000"/>
            </w:tcBorders>
            <w:shd w:val="clear" w:color="auto" w:fill="009BBF"/>
            <w:noWrap/>
            <w:hideMark/>
          </w:tcPr>
          <w:p w14:paraId="75395740" w14:textId="77777777" w:rsidR="00902A71" w:rsidRPr="00B01F9E" w:rsidRDefault="00902A71" w:rsidP="00E75D1F">
            <w:pPr>
              <w:spacing w:after="0" w:line="240" w:lineRule="auto"/>
              <w:rPr>
                <w:rFonts w:ascii="Arial" w:eastAsia="Times New Roman" w:hAnsi="Arial" w:cs="Arial"/>
                <w:b/>
                <w:bCs/>
                <w:color w:val="FFFFFF"/>
                <w:sz w:val="20"/>
                <w:szCs w:val="20"/>
              </w:rPr>
            </w:pPr>
            <w:r w:rsidRPr="00B01F9E">
              <w:rPr>
                <w:rFonts w:ascii="Arial" w:eastAsia="Times New Roman" w:hAnsi="Arial" w:cs="Arial"/>
                <w:b/>
                <w:bCs/>
                <w:color w:val="FFFFFF"/>
                <w:sz w:val="20"/>
                <w:szCs w:val="20"/>
              </w:rPr>
              <w:t>How</w:t>
            </w:r>
          </w:p>
        </w:tc>
        <w:tc>
          <w:tcPr>
            <w:tcW w:w="1812" w:type="dxa"/>
            <w:tcBorders>
              <w:top w:val="nil"/>
              <w:left w:val="nil"/>
              <w:bottom w:val="single" w:sz="4" w:space="0" w:color="000000"/>
              <w:right w:val="single" w:sz="4" w:space="0" w:color="000000"/>
            </w:tcBorders>
            <w:shd w:val="clear" w:color="000000" w:fill="FFFFFF"/>
            <w:hideMark/>
          </w:tcPr>
          <w:p w14:paraId="33D51B60"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Technique</w:t>
            </w:r>
          </w:p>
        </w:tc>
        <w:tc>
          <w:tcPr>
            <w:tcW w:w="7342" w:type="dxa"/>
            <w:tcBorders>
              <w:top w:val="nil"/>
              <w:left w:val="nil"/>
              <w:bottom w:val="single" w:sz="4" w:space="0" w:color="000000"/>
              <w:right w:val="single" w:sz="4" w:space="0" w:color="000000"/>
            </w:tcBorders>
            <w:shd w:val="clear" w:color="000000" w:fill="FFFFFF"/>
            <w:hideMark/>
          </w:tcPr>
          <w:p w14:paraId="118805B9"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Specific action performed by an individual (e.g., light microscopy, gram stain, or ultrasound guided FNA)</w:t>
            </w:r>
          </w:p>
        </w:tc>
      </w:tr>
      <w:tr w:rsidR="007466CE" w:rsidRPr="00B01F9E" w14:paraId="4E5648E8" w14:textId="77777777" w:rsidTr="00E75D1F">
        <w:trPr>
          <w:trHeight w:val="472"/>
        </w:trPr>
        <w:tc>
          <w:tcPr>
            <w:tcW w:w="1074" w:type="dxa"/>
            <w:vMerge/>
            <w:tcBorders>
              <w:top w:val="nil"/>
              <w:left w:val="single" w:sz="4" w:space="0" w:color="000000"/>
              <w:bottom w:val="single" w:sz="4" w:space="0" w:color="000000"/>
              <w:right w:val="single" w:sz="4" w:space="0" w:color="000000"/>
            </w:tcBorders>
            <w:shd w:val="clear" w:color="auto" w:fill="009BBF"/>
            <w:hideMark/>
          </w:tcPr>
          <w:p w14:paraId="64D3C34D"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2AF85DF4"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Method</w:t>
            </w:r>
          </w:p>
        </w:tc>
        <w:tc>
          <w:tcPr>
            <w:tcW w:w="7342" w:type="dxa"/>
            <w:tcBorders>
              <w:top w:val="nil"/>
              <w:left w:val="nil"/>
              <w:bottom w:val="single" w:sz="4" w:space="0" w:color="000000"/>
              <w:right w:val="single" w:sz="4" w:space="0" w:color="000000"/>
            </w:tcBorders>
            <w:shd w:val="clear" w:color="000000" w:fill="FFFFFF"/>
            <w:hideMark/>
          </w:tcPr>
          <w:p w14:paraId="15393295"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Comprehensive approach or protocol that employs or is inclusive of individual technique or steps (e.g., flow cytometry, electron microscopy, next generation sequencing)</w:t>
            </w:r>
          </w:p>
        </w:tc>
      </w:tr>
      <w:tr w:rsidR="007466CE" w:rsidRPr="00B01F9E" w14:paraId="58EDCF12" w14:textId="77777777" w:rsidTr="00125FD7">
        <w:trPr>
          <w:trHeight w:val="144"/>
        </w:trPr>
        <w:tc>
          <w:tcPr>
            <w:tcW w:w="1074" w:type="dxa"/>
            <w:vMerge/>
            <w:tcBorders>
              <w:top w:val="nil"/>
              <w:left w:val="single" w:sz="4" w:space="0" w:color="000000"/>
              <w:bottom w:val="single" w:sz="4" w:space="0" w:color="000000"/>
              <w:right w:val="single" w:sz="4" w:space="0" w:color="000000"/>
            </w:tcBorders>
            <w:shd w:val="clear" w:color="auto" w:fill="009BBF"/>
            <w:hideMark/>
          </w:tcPr>
          <w:p w14:paraId="5F37D0C2"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7B509291"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Instrument</w:t>
            </w:r>
          </w:p>
        </w:tc>
        <w:tc>
          <w:tcPr>
            <w:tcW w:w="7342" w:type="dxa"/>
            <w:tcBorders>
              <w:top w:val="nil"/>
              <w:left w:val="nil"/>
              <w:bottom w:val="single" w:sz="4" w:space="0" w:color="000000"/>
              <w:right w:val="single" w:sz="4" w:space="0" w:color="000000"/>
            </w:tcBorders>
            <w:shd w:val="clear" w:color="000000" w:fill="FFFFFF"/>
            <w:hideMark/>
          </w:tcPr>
          <w:p w14:paraId="5D13BAB0"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Instrument or platform used to produce the result</w:t>
            </w:r>
          </w:p>
        </w:tc>
      </w:tr>
      <w:tr w:rsidR="007466CE" w:rsidRPr="00B01F9E" w14:paraId="0F79C167" w14:textId="77777777" w:rsidTr="00E75D1F">
        <w:trPr>
          <w:trHeight w:val="199"/>
        </w:trPr>
        <w:tc>
          <w:tcPr>
            <w:tcW w:w="1074" w:type="dxa"/>
            <w:vMerge/>
            <w:tcBorders>
              <w:top w:val="nil"/>
              <w:left w:val="single" w:sz="4" w:space="0" w:color="000000"/>
              <w:bottom w:val="single" w:sz="4" w:space="0" w:color="000000"/>
              <w:right w:val="single" w:sz="4" w:space="0" w:color="000000"/>
            </w:tcBorders>
            <w:shd w:val="clear" w:color="auto" w:fill="009BBF"/>
            <w:hideMark/>
          </w:tcPr>
          <w:p w14:paraId="362DDD47"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188EAA50"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Test Kit</w:t>
            </w:r>
          </w:p>
        </w:tc>
        <w:tc>
          <w:tcPr>
            <w:tcW w:w="7342" w:type="dxa"/>
            <w:tcBorders>
              <w:top w:val="nil"/>
              <w:left w:val="nil"/>
              <w:bottom w:val="single" w:sz="4" w:space="0" w:color="000000"/>
              <w:right w:val="single" w:sz="4" w:space="0" w:color="000000"/>
            </w:tcBorders>
            <w:shd w:val="clear" w:color="000000" w:fill="FFFFFF"/>
            <w:hideMark/>
          </w:tcPr>
          <w:p w14:paraId="34287769"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Test kit or reagent system used to produce the result</w:t>
            </w:r>
          </w:p>
        </w:tc>
      </w:tr>
      <w:tr w:rsidR="007466CE" w:rsidRPr="00B01F9E" w14:paraId="20AE53AF" w14:textId="77777777" w:rsidTr="00E75D1F">
        <w:trPr>
          <w:trHeight w:val="235"/>
        </w:trPr>
        <w:tc>
          <w:tcPr>
            <w:tcW w:w="1074" w:type="dxa"/>
            <w:vMerge/>
            <w:tcBorders>
              <w:top w:val="nil"/>
              <w:left w:val="single" w:sz="4" w:space="0" w:color="000000"/>
              <w:bottom w:val="single" w:sz="4" w:space="0" w:color="000000"/>
              <w:right w:val="single" w:sz="4" w:space="0" w:color="000000"/>
            </w:tcBorders>
            <w:shd w:val="clear" w:color="auto" w:fill="009BBF"/>
            <w:hideMark/>
          </w:tcPr>
          <w:p w14:paraId="4CFD401E"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2A91A57A"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Target</w:t>
            </w:r>
          </w:p>
        </w:tc>
        <w:tc>
          <w:tcPr>
            <w:tcW w:w="7342" w:type="dxa"/>
            <w:tcBorders>
              <w:top w:val="nil"/>
              <w:left w:val="nil"/>
              <w:bottom w:val="single" w:sz="4" w:space="0" w:color="000000"/>
              <w:right w:val="single" w:sz="4" w:space="0" w:color="000000"/>
            </w:tcBorders>
            <w:shd w:val="clear" w:color="000000" w:fill="FFFFFF"/>
            <w:hideMark/>
          </w:tcPr>
          <w:p w14:paraId="30860659" w14:textId="77777777" w:rsidR="00902A71" w:rsidRPr="00B01F9E" w:rsidRDefault="00902A71" w:rsidP="00E75D1F">
            <w:pPr>
              <w:spacing w:after="0" w:line="240" w:lineRule="auto"/>
              <w:rPr>
                <w:rFonts w:ascii="Arial" w:eastAsia="Times New Roman" w:hAnsi="Arial" w:cs="Arial"/>
                <w:color w:val="000000"/>
                <w:sz w:val="20"/>
                <w:szCs w:val="20"/>
              </w:rPr>
            </w:pPr>
            <w:proofErr w:type="gramStart"/>
            <w:r w:rsidRPr="00B01F9E">
              <w:rPr>
                <w:rFonts w:ascii="Arial" w:eastAsia="Times New Roman" w:hAnsi="Arial" w:cs="Arial"/>
                <w:color w:val="000000"/>
                <w:sz w:val="20"/>
                <w:szCs w:val="20"/>
              </w:rPr>
              <w:t>Particular area</w:t>
            </w:r>
            <w:proofErr w:type="gramEnd"/>
            <w:r w:rsidRPr="00B01F9E">
              <w:rPr>
                <w:rFonts w:ascii="Arial" w:eastAsia="Times New Roman" w:hAnsi="Arial" w:cs="Arial"/>
                <w:color w:val="000000"/>
                <w:sz w:val="20"/>
                <w:szCs w:val="20"/>
              </w:rPr>
              <w:t xml:space="preserve"> of focus, biomarker, or gene (e.g., wrist radiograph, FISH for BCL2, BCL6 and MYC)</w:t>
            </w:r>
          </w:p>
        </w:tc>
      </w:tr>
      <w:tr w:rsidR="007466CE" w:rsidRPr="00B01F9E" w14:paraId="521D1CF6" w14:textId="77777777" w:rsidTr="00E75D1F">
        <w:trPr>
          <w:trHeight w:val="326"/>
        </w:trPr>
        <w:tc>
          <w:tcPr>
            <w:tcW w:w="1074" w:type="dxa"/>
            <w:vMerge/>
            <w:tcBorders>
              <w:top w:val="nil"/>
              <w:left w:val="single" w:sz="4" w:space="0" w:color="000000"/>
              <w:bottom w:val="single" w:sz="4" w:space="0" w:color="000000"/>
              <w:right w:val="single" w:sz="4" w:space="0" w:color="000000"/>
            </w:tcBorders>
            <w:shd w:val="clear" w:color="auto" w:fill="009BBF"/>
            <w:hideMark/>
          </w:tcPr>
          <w:p w14:paraId="5ACD21C3"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0A9510BB"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Specimen Type</w:t>
            </w:r>
          </w:p>
        </w:tc>
        <w:tc>
          <w:tcPr>
            <w:tcW w:w="7342" w:type="dxa"/>
            <w:tcBorders>
              <w:top w:val="nil"/>
              <w:left w:val="nil"/>
              <w:bottom w:val="single" w:sz="4" w:space="0" w:color="000000"/>
              <w:right w:val="single" w:sz="4" w:space="0" w:color="000000"/>
            </w:tcBorders>
            <w:shd w:val="clear" w:color="000000" w:fill="FFFFFF"/>
            <w:hideMark/>
          </w:tcPr>
          <w:p w14:paraId="13AF9613"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Substance or tissue being sampled or tested (e.g., nasopharyngeal swab, whole blood, serum, urine, wound swab)</w:t>
            </w:r>
          </w:p>
        </w:tc>
      </w:tr>
      <w:tr w:rsidR="007466CE" w:rsidRPr="00B01F9E" w14:paraId="59A77266" w14:textId="77777777" w:rsidTr="0065503F">
        <w:trPr>
          <w:trHeight w:val="144"/>
        </w:trPr>
        <w:tc>
          <w:tcPr>
            <w:tcW w:w="1074" w:type="dxa"/>
            <w:vMerge/>
            <w:tcBorders>
              <w:top w:val="nil"/>
              <w:left w:val="single" w:sz="4" w:space="0" w:color="000000"/>
              <w:bottom w:val="single" w:sz="4" w:space="0" w:color="000000"/>
              <w:right w:val="single" w:sz="4" w:space="0" w:color="000000"/>
            </w:tcBorders>
            <w:shd w:val="clear" w:color="auto" w:fill="009BBF"/>
            <w:hideMark/>
          </w:tcPr>
          <w:p w14:paraId="41ECDCD6" w14:textId="77777777" w:rsidR="00902A71" w:rsidRPr="00B01F9E" w:rsidRDefault="00902A71" w:rsidP="00E75D1F">
            <w:pPr>
              <w:spacing w:after="0" w:line="240" w:lineRule="auto"/>
              <w:rPr>
                <w:rFonts w:ascii="Arial" w:eastAsia="Times New Roman" w:hAnsi="Arial" w:cs="Arial"/>
                <w:b/>
                <w:bCs/>
                <w:color w:val="FFFFFF"/>
                <w:sz w:val="20"/>
                <w:szCs w:val="20"/>
              </w:rPr>
            </w:pPr>
          </w:p>
        </w:tc>
        <w:tc>
          <w:tcPr>
            <w:tcW w:w="1812" w:type="dxa"/>
            <w:tcBorders>
              <w:top w:val="nil"/>
              <w:left w:val="nil"/>
              <w:bottom w:val="single" w:sz="4" w:space="0" w:color="000000"/>
              <w:right w:val="single" w:sz="4" w:space="0" w:color="000000"/>
            </w:tcBorders>
            <w:shd w:val="clear" w:color="000000" w:fill="FFFFFF"/>
            <w:hideMark/>
          </w:tcPr>
          <w:p w14:paraId="36E0E4EB"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Specimen Source</w:t>
            </w:r>
          </w:p>
        </w:tc>
        <w:tc>
          <w:tcPr>
            <w:tcW w:w="7342" w:type="dxa"/>
            <w:tcBorders>
              <w:top w:val="nil"/>
              <w:left w:val="nil"/>
              <w:bottom w:val="single" w:sz="4" w:space="0" w:color="000000"/>
              <w:right w:val="single" w:sz="4" w:space="0" w:color="000000"/>
            </w:tcBorders>
            <w:shd w:val="clear" w:color="000000" w:fill="FFFFFF"/>
            <w:hideMark/>
          </w:tcPr>
          <w:p w14:paraId="6CBAE9C7" w14:textId="77777777" w:rsidR="00902A71" w:rsidRPr="00B01F9E" w:rsidRDefault="00902A71" w:rsidP="00E75D1F">
            <w:pPr>
              <w:spacing w:after="0" w:line="240" w:lineRule="auto"/>
              <w:rPr>
                <w:rFonts w:ascii="Arial" w:eastAsia="Times New Roman" w:hAnsi="Arial" w:cs="Arial"/>
                <w:color w:val="000000"/>
                <w:sz w:val="20"/>
                <w:szCs w:val="20"/>
              </w:rPr>
            </w:pPr>
            <w:r w:rsidRPr="00B01F9E">
              <w:rPr>
                <w:rFonts w:ascii="Arial" w:eastAsia="Times New Roman" w:hAnsi="Arial" w:cs="Arial"/>
                <w:color w:val="000000"/>
                <w:sz w:val="20"/>
                <w:szCs w:val="20"/>
              </w:rPr>
              <w:t>Body location from where a specimen was obtained</w:t>
            </w:r>
          </w:p>
        </w:tc>
      </w:tr>
    </w:tbl>
    <w:p w14:paraId="28630EC8" w14:textId="753E20F7" w:rsidR="00E367E8" w:rsidRPr="00B01F9E" w:rsidRDefault="00C07ECD" w:rsidP="00AB43E1">
      <w:pPr>
        <w:spacing w:before="120" w:after="120"/>
        <w:rPr>
          <w:rFonts w:ascii="Arial" w:hAnsi="Arial" w:cs="Arial"/>
          <w:i/>
          <w:iCs/>
          <w:color w:val="4BACC6"/>
          <w:sz w:val="20"/>
          <w:szCs w:val="20"/>
        </w:rPr>
      </w:pPr>
      <w:r w:rsidRPr="00B01F9E">
        <w:rPr>
          <w:rFonts w:ascii="Arial" w:eastAsia="Calibri" w:hAnsi="Arial" w:cs="Arial"/>
          <w:color w:val="000000"/>
          <w:kern w:val="2"/>
          <w:sz w:val="20"/>
          <w:szCs w:val="20"/>
          <w14:ligatures w14:val="standardContextual"/>
        </w:rPr>
        <w:t>At this stage, the CAP</w:t>
      </w:r>
      <w:r w:rsidR="00AA2B25" w:rsidRPr="00B01F9E">
        <w:rPr>
          <w:rFonts w:ascii="Arial" w:eastAsia="Calibri" w:hAnsi="Arial" w:cs="Arial"/>
          <w:color w:val="000000"/>
          <w:kern w:val="2"/>
          <w:sz w:val="20"/>
          <w:szCs w:val="20"/>
          <w14:ligatures w14:val="standardContextual"/>
        </w:rPr>
        <w:t xml:space="preserve"> was asked</w:t>
      </w:r>
      <w:r w:rsidRPr="00B01F9E">
        <w:rPr>
          <w:rFonts w:ascii="Arial" w:eastAsia="Calibri" w:hAnsi="Arial" w:cs="Arial"/>
          <w:color w:val="000000"/>
          <w:kern w:val="2"/>
          <w:sz w:val="20"/>
          <w:szCs w:val="20"/>
          <w14:ligatures w14:val="standardContextual"/>
        </w:rPr>
        <w:t xml:space="preserve"> </w:t>
      </w:r>
      <w:r w:rsidR="00AA2B25" w:rsidRPr="00B01F9E">
        <w:rPr>
          <w:rFonts w:ascii="Arial" w:eastAsia="Calibri" w:hAnsi="Arial" w:cs="Arial"/>
          <w:color w:val="000000"/>
          <w:kern w:val="2"/>
          <w:sz w:val="20"/>
          <w:szCs w:val="20"/>
          <w14:ligatures w14:val="standardContextual"/>
        </w:rPr>
        <w:t xml:space="preserve">to </w:t>
      </w:r>
      <w:r w:rsidRPr="00B01F9E">
        <w:rPr>
          <w:rFonts w:ascii="Arial" w:eastAsia="Calibri" w:hAnsi="Arial" w:cs="Arial"/>
          <w:color w:val="000000"/>
          <w:kern w:val="2"/>
          <w:sz w:val="20"/>
          <w:szCs w:val="20"/>
          <w14:ligatures w14:val="standardContextual"/>
        </w:rPr>
        <w:t>pivot from the development of ANF statements to</w:t>
      </w:r>
      <w:r w:rsidR="006C02F0" w:rsidRPr="00B01F9E">
        <w:rPr>
          <w:rFonts w:ascii="Arial" w:eastAsia="Calibri" w:hAnsi="Arial" w:cs="Arial"/>
          <w:color w:val="000000"/>
          <w:kern w:val="2"/>
          <w:sz w:val="20"/>
          <w:szCs w:val="20"/>
          <w14:ligatures w14:val="standardContextual"/>
        </w:rPr>
        <w:t xml:space="preserve"> </w:t>
      </w:r>
      <w:r w:rsidR="00CE0F97" w:rsidRPr="00B01F9E">
        <w:rPr>
          <w:rFonts w:ascii="Arial" w:eastAsia="Calibri" w:hAnsi="Arial" w:cs="Arial"/>
          <w:color w:val="000000"/>
          <w:kern w:val="2"/>
          <w:sz w:val="20"/>
          <w:szCs w:val="20"/>
          <w14:ligatures w14:val="standardContextual"/>
        </w:rPr>
        <w:t xml:space="preserve">developing </w:t>
      </w:r>
      <w:r w:rsidR="006C02F0" w:rsidRPr="00B01F9E">
        <w:rPr>
          <w:rFonts w:ascii="Arial" w:eastAsia="Calibri" w:hAnsi="Arial" w:cs="Arial"/>
          <w:color w:val="000000"/>
          <w:kern w:val="2"/>
          <w:sz w:val="20"/>
          <w:szCs w:val="20"/>
          <w14:ligatures w14:val="standardContextual"/>
        </w:rPr>
        <w:t>enrich</w:t>
      </w:r>
      <w:r w:rsidR="00CE0F97" w:rsidRPr="00B01F9E">
        <w:rPr>
          <w:rFonts w:ascii="Arial" w:eastAsia="Calibri" w:hAnsi="Arial" w:cs="Arial"/>
          <w:color w:val="000000"/>
          <w:kern w:val="2"/>
          <w:sz w:val="20"/>
          <w:szCs w:val="20"/>
          <w14:ligatures w14:val="standardContextual"/>
        </w:rPr>
        <w:t>ed</w:t>
      </w:r>
      <w:r w:rsidR="006C02F0" w:rsidRPr="00B01F9E">
        <w:rPr>
          <w:rFonts w:ascii="Arial" w:eastAsia="Calibri" w:hAnsi="Arial" w:cs="Arial"/>
          <w:color w:val="000000"/>
          <w:kern w:val="2"/>
          <w:sz w:val="20"/>
          <w:szCs w:val="20"/>
          <w14:ligatures w14:val="standardContextual"/>
        </w:rPr>
        <w:t xml:space="preserve"> clinical narratives that</w:t>
      </w:r>
      <w:r w:rsidRPr="00B01F9E">
        <w:rPr>
          <w:rFonts w:ascii="Arial" w:eastAsia="Calibri" w:hAnsi="Arial" w:cs="Arial"/>
          <w:color w:val="000000"/>
          <w:kern w:val="2"/>
          <w:sz w:val="20"/>
          <w:szCs w:val="20"/>
          <w14:ligatures w14:val="standardContextual"/>
        </w:rPr>
        <w:t xml:space="preserve"> explicit</w:t>
      </w:r>
      <w:r w:rsidR="006C02F0" w:rsidRPr="00B01F9E">
        <w:rPr>
          <w:rFonts w:ascii="Arial" w:eastAsia="Calibri" w:hAnsi="Arial" w:cs="Arial"/>
          <w:color w:val="000000"/>
          <w:kern w:val="2"/>
          <w:sz w:val="20"/>
          <w:szCs w:val="20"/>
          <w14:ligatures w14:val="standardContextual"/>
        </w:rPr>
        <w:t>ly exposed gaps and challenges.</w:t>
      </w:r>
    </w:p>
    <w:p w14:paraId="433094AD" w14:textId="5B5855AE" w:rsidR="00CC6C11" w:rsidRPr="00B01F9E" w:rsidRDefault="00CC6C11" w:rsidP="00AB43E1">
      <w:pPr>
        <w:spacing w:after="120" w:line="240" w:lineRule="auto"/>
        <w:rPr>
          <w:rFonts w:ascii="Arial" w:eastAsia="Times New Roman" w:hAnsi="Arial" w:cs="Arial"/>
          <w:bCs/>
          <w:color w:val="000000"/>
          <w:sz w:val="20"/>
          <w:szCs w:val="20"/>
        </w:rPr>
      </w:pPr>
      <w:r w:rsidRPr="00B01F9E">
        <w:rPr>
          <w:rFonts w:ascii="Arial" w:eastAsia="Times New Roman" w:hAnsi="Arial" w:cs="Arial"/>
          <w:bCs/>
          <w:color w:val="000000"/>
          <w:sz w:val="20"/>
          <w:szCs w:val="20"/>
        </w:rPr>
        <w:t>These</w:t>
      </w:r>
      <w:r w:rsidRPr="00B01F9E" w:rsidDel="002D6638">
        <w:rPr>
          <w:rFonts w:ascii="Arial" w:eastAsia="Times New Roman" w:hAnsi="Arial" w:cs="Arial"/>
          <w:bCs/>
          <w:color w:val="000000"/>
          <w:sz w:val="20"/>
          <w:szCs w:val="20"/>
        </w:rPr>
        <w:t xml:space="preserve"> </w:t>
      </w:r>
      <w:r w:rsidRPr="00B01F9E">
        <w:rPr>
          <w:rFonts w:ascii="Arial" w:eastAsia="Times New Roman" w:hAnsi="Arial" w:cs="Arial"/>
          <w:bCs/>
          <w:color w:val="000000"/>
          <w:sz w:val="20"/>
          <w:szCs w:val="20"/>
        </w:rPr>
        <w:t xml:space="preserve">clinical narratives depict the steps by which data </w:t>
      </w:r>
      <w:r w:rsidR="00BD326A" w:rsidRPr="00B01F9E">
        <w:rPr>
          <w:rFonts w:ascii="Arial" w:eastAsia="Times New Roman" w:hAnsi="Arial" w:cs="Arial"/>
          <w:bCs/>
          <w:color w:val="000000"/>
          <w:sz w:val="20"/>
          <w:szCs w:val="20"/>
        </w:rPr>
        <w:t>are</w:t>
      </w:r>
      <w:r w:rsidRPr="00B01F9E">
        <w:rPr>
          <w:rFonts w:ascii="Arial" w:eastAsia="Times New Roman" w:hAnsi="Arial" w:cs="Arial"/>
          <w:bCs/>
          <w:color w:val="000000"/>
          <w:sz w:val="20"/>
          <w:szCs w:val="20"/>
        </w:rPr>
        <w:t xml:space="preserve"> generated and exchanged during test request, execution, and reporting for a broad range of IVD applications. Information and/or specimen transfer might involve any of several pathways between a variety of participants (e.g., submissions by patients directly to a laboratory </w:t>
      </w:r>
      <w:r w:rsidR="00947110" w:rsidRPr="00B01F9E">
        <w:rPr>
          <w:rFonts w:ascii="Arial" w:eastAsia="Times New Roman" w:hAnsi="Arial" w:cs="Arial"/>
          <w:bCs/>
          <w:color w:val="000000"/>
          <w:sz w:val="20"/>
          <w:szCs w:val="20"/>
        </w:rPr>
        <w:t>[</w:t>
      </w:r>
      <w:r w:rsidRPr="00B01F9E">
        <w:rPr>
          <w:rFonts w:ascii="Arial" w:eastAsia="Times New Roman" w:hAnsi="Arial" w:cs="Arial"/>
          <w:bCs/>
          <w:color w:val="000000"/>
          <w:sz w:val="20"/>
          <w:szCs w:val="20"/>
        </w:rPr>
        <w:t>at-home test</w:t>
      </w:r>
      <w:r w:rsidR="00947110" w:rsidRPr="00B01F9E">
        <w:rPr>
          <w:rFonts w:ascii="Arial" w:eastAsia="Times New Roman" w:hAnsi="Arial" w:cs="Arial"/>
          <w:bCs/>
          <w:color w:val="000000"/>
          <w:sz w:val="20"/>
          <w:szCs w:val="20"/>
        </w:rPr>
        <w:t>]</w:t>
      </w:r>
      <w:r w:rsidRPr="00B01F9E">
        <w:rPr>
          <w:rFonts w:ascii="Arial" w:eastAsia="Times New Roman" w:hAnsi="Arial" w:cs="Arial"/>
          <w:bCs/>
          <w:color w:val="000000"/>
          <w:sz w:val="20"/>
          <w:szCs w:val="20"/>
        </w:rPr>
        <w:t xml:space="preserve">, exchanges between healthcare providers and laboratories, submissions to public health agencies by a laboratory or healthcare provider, or exchanges between laboratories). The CAP used these narratives to </w:t>
      </w:r>
      <w:r w:rsidR="001D6120" w:rsidRPr="00B01F9E">
        <w:rPr>
          <w:rFonts w:ascii="Arial" w:eastAsia="Times New Roman" w:hAnsi="Arial" w:cs="Arial"/>
          <w:bCs/>
          <w:color w:val="000000"/>
          <w:sz w:val="20"/>
          <w:szCs w:val="20"/>
        </w:rPr>
        <w:t>propose</w:t>
      </w:r>
      <w:r w:rsidRPr="00B01F9E">
        <w:rPr>
          <w:rFonts w:ascii="Arial" w:eastAsia="Times New Roman" w:hAnsi="Arial" w:cs="Arial"/>
          <w:bCs/>
          <w:color w:val="000000"/>
          <w:sz w:val="20"/>
          <w:szCs w:val="20"/>
        </w:rPr>
        <w:t xml:space="preserve"> add</w:t>
      </w:r>
      <w:r w:rsidR="001D6120" w:rsidRPr="00B01F9E">
        <w:rPr>
          <w:rFonts w:ascii="Arial" w:eastAsia="Times New Roman" w:hAnsi="Arial" w:cs="Arial"/>
          <w:bCs/>
          <w:color w:val="000000"/>
          <w:sz w:val="20"/>
          <w:szCs w:val="20"/>
        </w:rPr>
        <w:t>itional</w:t>
      </w:r>
      <w:r w:rsidRPr="00B01F9E">
        <w:rPr>
          <w:rFonts w:ascii="Arial" w:eastAsia="Times New Roman" w:hAnsi="Arial" w:cs="Arial"/>
          <w:bCs/>
          <w:color w:val="000000"/>
          <w:sz w:val="20"/>
          <w:szCs w:val="20"/>
        </w:rPr>
        <w:t xml:space="preserve"> </w:t>
      </w:r>
      <w:r w:rsidR="00F867D1" w:rsidRPr="00B01F9E">
        <w:rPr>
          <w:rFonts w:ascii="Arial" w:eastAsia="Times New Roman" w:hAnsi="Arial" w:cs="Arial"/>
          <w:bCs/>
          <w:color w:val="000000"/>
          <w:sz w:val="20"/>
          <w:szCs w:val="20"/>
        </w:rPr>
        <w:t xml:space="preserve">ANF </w:t>
      </w:r>
      <w:r w:rsidRPr="00B01F9E">
        <w:rPr>
          <w:rFonts w:ascii="Arial" w:eastAsia="Times New Roman" w:hAnsi="Arial" w:cs="Arial"/>
          <w:bCs/>
          <w:color w:val="000000"/>
          <w:sz w:val="20"/>
          <w:szCs w:val="20"/>
        </w:rPr>
        <w:t>data elements for accurate conveyance of information created in both anatomic pathology and clinical pathology laboratories, ensuring that ANF supports interoperability</w:t>
      </w:r>
      <w:r w:rsidR="00DF531C" w:rsidRPr="00B01F9E">
        <w:rPr>
          <w:rFonts w:ascii="Arial" w:eastAsia="Times New Roman" w:hAnsi="Arial" w:cs="Arial"/>
          <w:bCs/>
          <w:color w:val="000000"/>
          <w:sz w:val="20"/>
          <w:szCs w:val="20"/>
        </w:rPr>
        <w:t xml:space="preserve"> in those domains</w:t>
      </w:r>
      <w:r w:rsidRPr="00B01F9E">
        <w:rPr>
          <w:rFonts w:ascii="Arial" w:eastAsia="Times New Roman" w:hAnsi="Arial" w:cs="Arial"/>
          <w:bCs/>
          <w:color w:val="000000"/>
          <w:sz w:val="20"/>
          <w:szCs w:val="20"/>
        </w:rPr>
        <w:t>.</w:t>
      </w:r>
    </w:p>
    <w:p w14:paraId="2EE67AA8" w14:textId="4D02F13E" w:rsidR="00CC6C11" w:rsidRPr="00B01F9E" w:rsidRDefault="009F1F82" w:rsidP="00AB43E1">
      <w:pPr>
        <w:pStyle w:val="Heading2"/>
        <w:spacing w:before="0" w:after="120"/>
        <w:rPr>
          <w:rFonts w:ascii="Arial" w:eastAsiaTheme="minorHAnsi" w:hAnsi="Arial" w:cs="Arial"/>
          <w:b/>
          <w:color w:val="009ABF" w:themeColor="text1"/>
          <w:sz w:val="20"/>
          <w:szCs w:val="20"/>
        </w:rPr>
      </w:pPr>
      <w:bookmarkStart w:id="376" w:name="_Toc177137014"/>
      <w:r w:rsidRPr="00B01F9E">
        <w:rPr>
          <w:rFonts w:ascii="Arial" w:hAnsi="Arial" w:cs="Arial"/>
          <w:b/>
          <w:bCs/>
          <w:color w:val="009ABF" w:themeColor="text1"/>
          <w:sz w:val="20"/>
          <w:szCs w:val="20"/>
        </w:rPr>
        <w:t>5</w:t>
      </w:r>
      <w:r w:rsidR="00922ABC" w:rsidRPr="00B01F9E">
        <w:rPr>
          <w:rFonts w:ascii="Arial" w:hAnsi="Arial" w:cs="Arial"/>
          <w:b/>
          <w:bCs/>
          <w:color w:val="009ABF" w:themeColor="text1"/>
          <w:sz w:val="20"/>
          <w:szCs w:val="20"/>
        </w:rPr>
        <w:t xml:space="preserve">.3 </w:t>
      </w:r>
      <w:r w:rsidR="00CC6C11" w:rsidRPr="00B01F9E">
        <w:rPr>
          <w:rFonts w:ascii="Arial" w:hAnsi="Arial" w:cs="Arial"/>
          <w:b/>
          <w:bCs/>
          <w:color w:val="009ABF" w:themeColor="text1"/>
          <w:sz w:val="20"/>
          <w:szCs w:val="20"/>
        </w:rPr>
        <w:t>Develop</w:t>
      </w:r>
      <w:r w:rsidR="00C45957" w:rsidRPr="00B01F9E">
        <w:rPr>
          <w:rFonts w:ascii="Arial" w:hAnsi="Arial" w:cs="Arial"/>
          <w:b/>
          <w:bCs/>
          <w:color w:val="009ABF" w:themeColor="text1"/>
          <w:sz w:val="20"/>
          <w:szCs w:val="20"/>
        </w:rPr>
        <w:t>ment of</w:t>
      </w:r>
      <w:r w:rsidR="00CC6C11" w:rsidRPr="00B01F9E">
        <w:rPr>
          <w:rFonts w:ascii="Arial" w:hAnsi="Arial" w:cs="Arial"/>
          <w:b/>
          <w:color w:val="009ABF" w:themeColor="text1"/>
          <w:sz w:val="20"/>
          <w:szCs w:val="20"/>
        </w:rPr>
        <w:t xml:space="preserve"> Clinical Narratives</w:t>
      </w:r>
      <w:bookmarkEnd w:id="376"/>
      <w:r w:rsidR="00CC6C11" w:rsidRPr="00B01F9E">
        <w:rPr>
          <w:rFonts w:ascii="Arial" w:hAnsi="Arial" w:cs="Arial"/>
          <w:b/>
          <w:color w:val="009ABF" w:themeColor="text1"/>
          <w:sz w:val="20"/>
          <w:szCs w:val="20"/>
        </w:rPr>
        <w:t xml:space="preserve"> </w:t>
      </w:r>
    </w:p>
    <w:p w14:paraId="7F872D00" w14:textId="6A403C2A" w:rsidR="00074742" w:rsidRPr="00B01F9E" w:rsidRDefault="00074742" w:rsidP="00955B5A">
      <w:pPr>
        <w:spacing w:after="120"/>
        <w:rPr>
          <w:rFonts w:ascii="Arial" w:hAnsi="Arial" w:cs="Arial"/>
          <w:sz w:val="20"/>
          <w:szCs w:val="20"/>
        </w:rPr>
      </w:pPr>
      <w:r w:rsidRPr="00B01F9E">
        <w:rPr>
          <w:rFonts w:ascii="Arial" w:hAnsi="Arial" w:cs="Arial"/>
          <w:sz w:val="20"/>
          <w:szCs w:val="20"/>
        </w:rPr>
        <w:t>The Excel document was translated into a narrative format using the eight clinical use cases referenced in Tab</w:t>
      </w:r>
      <w:bookmarkStart w:id="377" w:name="_Hlt175750832"/>
      <w:r w:rsidRPr="00B01F9E">
        <w:rPr>
          <w:rFonts w:ascii="Arial" w:hAnsi="Arial" w:cs="Arial"/>
          <w:sz w:val="20"/>
          <w:szCs w:val="20"/>
        </w:rPr>
        <w:t>l</w:t>
      </w:r>
      <w:bookmarkEnd w:id="377"/>
      <w:r w:rsidRPr="00B01F9E">
        <w:rPr>
          <w:rFonts w:ascii="Arial" w:hAnsi="Arial" w:cs="Arial"/>
          <w:sz w:val="20"/>
          <w:szCs w:val="20"/>
        </w:rPr>
        <w:t>e 1</w:t>
      </w:r>
      <w:r w:rsidR="0017372F" w:rsidRPr="00B01F9E">
        <w:rPr>
          <w:rStyle w:val="Hyperlink"/>
          <w:rFonts w:ascii="Arial" w:hAnsi="Arial" w:cs="Arial"/>
          <w:color w:val="auto"/>
          <w:sz w:val="20"/>
          <w:szCs w:val="20"/>
          <w:u w:val="none"/>
        </w:rPr>
        <w:t>3</w:t>
      </w:r>
      <w:r w:rsidRPr="00B01F9E">
        <w:rPr>
          <w:rFonts w:ascii="Arial" w:hAnsi="Arial" w:cs="Arial"/>
          <w:sz w:val="20"/>
          <w:szCs w:val="20"/>
        </w:rPr>
        <w:t xml:space="preserve">. These narratives include extensive detail to support proposed additions to the ANF model such that it includes laboratory reporting. These clinical narratives, presented below (Sections </w:t>
      </w:r>
      <w:r w:rsidR="009F1F82" w:rsidRPr="00B01F9E">
        <w:rPr>
          <w:rFonts w:ascii="Arial" w:hAnsi="Arial" w:cs="Arial"/>
          <w:sz w:val="20"/>
          <w:szCs w:val="20"/>
        </w:rPr>
        <w:t>5</w:t>
      </w:r>
      <w:r w:rsidRPr="00B01F9E">
        <w:rPr>
          <w:rFonts w:ascii="Arial" w:hAnsi="Arial" w:cs="Arial"/>
          <w:sz w:val="20"/>
          <w:szCs w:val="20"/>
        </w:rPr>
        <w:t>.3.1-</w:t>
      </w:r>
      <w:r w:rsidR="009F1F82" w:rsidRPr="00B01F9E">
        <w:rPr>
          <w:rFonts w:ascii="Arial" w:hAnsi="Arial" w:cs="Arial"/>
          <w:sz w:val="20"/>
          <w:szCs w:val="20"/>
        </w:rPr>
        <w:t>5</w:t>
      </w:r>
      <w:r w:rsidRPr="00B01F9E">
        <w:rPr>
          <w:rFonts w:ascii="Arial" w:hAnsi="Arial" w:cs="Arial"/>
          <w:sz w:val="20"/>
          <w:szCs w:val="20"/>
        </w:rPr>
        <w:t>.3.8), will serve as a tool for the FDA and other ANF contributors as they continue to strengthen the ANF model.</w:t>
      </w:r>
    </w:p>
    <w:p w14:paraId="71A72C8E" w14:textId="4101E1C9" w:rsidR="00CC6C11" w:rsidRPr="00B01F9E" w:rsidRDefault="00CC6C11" w:rsidP="00955B5A">
      <w:pPr>
        <w:spacing w:after="120"/>
        <w:rPr>
          <w:rFonts w:ascii="Arial" w:eastAsia="Times New Roman" w:hAnsi="Arial" w:cs="Arial"/>
          <w:sz w:val="20"/>
          <w:szCs w:val="20"/>
        </w:rPr>
      </w:pPr>
      <w:r w:rsidRPr="00B01F9E">
        <w:rPr>
          <w:rFonts w:ascii="Arial" w:eastAsia="Times New Roman" w:hAnsi="Arial" w:cs="Arial"/>
          <w:sz w:val="20"/>
          <w:szCs w:val="20"/>
        </w:rPr>
        <w:t>The clinical narratives incorporate</w:t>
      </w:r>
      <w:r w:rsidR="00A903E3" w:rsidRPr="00B01F9E">
        <w:rPr>
          <w:rFonts w:ascii="Arial" w:eastAsia="Times New Roman" w:hAnsi="Arial" w:cs="Arial"/>
          <w:sz w:val="20"/>
          <w:szCs w:val="20"/>
        </w:rPr>
        <w:t xml:space="preserve"> existing</w:t>
      </w:r>
      <w:r w:rsidRPr="00B01F9E">
        <w:rPr>
          <w:rFonts w:ascii="Arial" w:eastAsia="Times New Roman" w:hAnsi="Arial" w:cs="Arial"/>
          <w:sz w:val="20"/>
          <w:szCs w:val="20"/>
        </w:rPr>
        <w:t xml:space="preserve"> mature data models that are widely used for data exchange. Given that selected clinical narratives relate to cancer reporting, reference is made to the use of data elements defined by the CAP Cancer Protocol templates. The CAP published its first cancer protocols in 1986 as best practice guidelines for reporting on common AP cancer cases. These protocols have been expanded and are now available in both human readable (paper) and in electronic format (since 2007), with the latter supporting the capture of discrete data elements. Both HL7 and FHIR</w:t>
      </w:r>
      <w:r w:rsidR="00B4545F" w:rsidRPr="00B01F9E">
        <w:rPr>
          <w:rFonts w:ascii="Arial" w:hAnsi="Arial" w:cs="Arial"/>
          <w:sz w:val="20"/>
          <w:szCs w:val="20"/>
        </w:rPr>
        <w:t>®</w:t>
      </w:r>
      <w:r w:rsidRPr="00B01F9E">
        <w:rPr>
          <w:rFonts w:ascii="Arial" w:eastAsia="Times New Roman" w:hAnsi="Arial" w:cs="Arial"/>
          <w:sz w:val="20"/>
          <w:szCs w:val="20"/>
        </w:rPr>
        <w:t xml:space="preserve"> transport protocols are available for sending and receiving the discretized data from the reports, thereby achieving interoperability. The individual data elements are vetted for their clinical utility by subject matter experts in a process presided over by the CAP Cancer Committee. Histological subtypes are based on the World Health Organization (WHO) Blue Books and staging on the American Joint Committee on Cancer (AJCC) guidelines. Electronic protocols are maintained by the CAP Pathology Electronic Reporting (PERT) Committee. They are used extensively across the United States and Canada for local reporting and interoperable data exchange. Laboratories with Commission on Cancer (COC) Accreditation are required to incorporate the CAP Cancer Protocol synoptic report that includes the required data elements. If an electronic cancer protocol is used by a facility, then these required data elements can be electronically submitted to the local cancer registry and subsequently to national cancer registries. The Assistant Secretary for Technology Policy/Office of the National Coordinator for Health Information Technology (ASTP/ONC) is in the process of reviewing a recommendation that the CAP Cancer Protocols be adopted for cancer reporting as part of USCDI+ (United States Core Data for Interoperability extension to include cancer registry reporting). </w:t>
      </w:r>
    </w:p>
    <w:p w14:paraId="35654A4F" w14:textId="502CD629" w:rsidR="00CC6C11" w:rsidRPr="00B01F9E" w:rsidRDefault="00CC6C11" w:rsidP="00955B5A">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lastRenderedPageBreak/>
        <w:t xml:space="preserve">The most recent versions in human readable format with guidelines and references can be found at </w:t>
      </w:r>
      <w:r w:rsidR="00844D3C" w:rsidRPr="00B01F9E">
        <w:rPr>
          <w:rFonts w:ascii="Arial" w:eastAsia="Calibri" w:hAnsi="Arial" w:cs="Arial"/>
          <w:kern w:val="2"/>
          <w:sz w:val="20"/>
          <w:szCs w:val="20"/>
          <w14:ligatures w14:val="standardContextual"/>
        </w:rPr>
        <w:t xml:space="preserve">this link: </w:t>
      </w:r>
      <w:hyperlink r:id="rId84" w:history="1">
        <w:r w:rsidR="00844D3C" w:rsidRPr="00B01F9E">
          <w:rPr>
            <w:rStyle w:val="Hyperlink"/>
            <w:rFonts w:ascii="Arial" w:eastAsia="Calibri" w:hAnsi="Arial" w:cs="Arial"/>
            <w:kern w:val="2"/>
            <w:sz w:val="20"/>
            <w:szCs w:val="20"/>
            <w14:ligatures w14:val="standardContextual"/>
          </w:rPr>
          <w:t>CAP Cancer Protocol Templates</w:t>
        </w:r>
      </w:hyperlink>
      <w:r w:rsidRPr="00B01F9E">
        <w:rPr>
          <w:rFonts w:ascii="Arial" w:eastAsia="Calibri" w:hAnsi="Arial" w:cs="Arial"/>
          <w:kern w:val="2"/>
          <w:sz w:val="20"/>
          <w:szCs w:val="20"/>
          <w14:ligatures w14:val="standardContextual"/>
        </w:rPr>
        <w:t xml:space="preserve">. In </w:t>
      </w:r>
      <w:r w:rsidR="00061830" w:rsidRPr="00B01F9E">
        <w:rPr>
          <w:rFonts w:ascii="Arial" w:eastAsia="Calibri" w:hAnsi="Arial" w:cs="Arial"/>
          <w:kern w:val="2"/>
          <w:sz w:val="20"/>
          <w:szCs w:val="20"/>
          <w14:ligatures w14:val="standardContextual"/>
        </w:rPr>
        <w:t>the clinical</w:t>
      </w:r>
      <w:r w:rsidRPr="00B01F9E">
        <w:rPr>
          <w:rFonts w:ascii="Arial" w:eastAsia="Calibri" w:hAnsi="Arial" w:cs="Arial"/>
          <w:kern w:val="2"/>
          <w:sz w:val="20"/>
          <w:szCs w:val="20"/>
          <w14:ligatures w14:val="standardContextual"/>
        </w:rPr>
        <w:t xml:space="preserve"> narratives, the reader will be guided to the website above rather than presented the data elements specific to a cancer report.</w:t>
      </w:r>
    </w:p>
    <w:p w14:paraId="09E082F5" w14:textId="22E2E4AB" w:rsidR="00CC6C11" w:rsidRPr="00B01F9E" w:rsidRDefault="00CC6C11" w:rsidP="00AB43E1">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Similarly, a general Autopsy Protocol with discretized data capture using standard terms was developed by </w:t>
      </w:r>
      <w:r w:rsidR="00B375E1" w:rsidRPr="00B01F9E">
        <w:rPr>
          <w:rFonts w:ascii="Arial" w:eastAsia="Calibri" w:hAnsi="Arial" w:cs="Arial"/>
          <w:kern w:val="2"/>
          <w:sz w:val="20"/>
          <w:szCs w:val="20"/>
          <w14:ligatures w14:val="standardContextual"/>
        </w:rPr>
        <w:t xml:space="preserve">the </w:t>
      </w:r>
      <w:r w:rsidRPr="00B01F9E">
        <w:rPr>
          <w:rFonts w:ascii="Arial" w:eastAsia="Calibri" w:hAnsi="Arial" w:cs="Arial"/>
          <w:kern w:val="2"/>
          <w:sz w:val="20"/>
          <w:szCs w:val="20"/>
          <w14:ligatures w14:val="standardContextual"/>
        </w:rPr>
        <w:t xml:space="preserve">PERT </w:t>
      </w:r>
      <w:r w:rsidR="00387CC1" w:rsidRPr="00B01F9E">
        <w:rPr>
          <w:rFonts w:ascii="Arial" w:eastAsia="Calibri" w:hAnsi="Arial" w:cs="Arial"/>
          <w:kern w:val="2"/>
          <w:sz w:val="20"/>
          <w:szCs w:val="20"/>
          <w14:ligatures w14:val="standardContextual"/>
        </w:rPr>
        <w:t xml:space="preserve">Committee </w:t>
      </w:r>
      <w:r w:rsidRPr="00B01F9E">
        <w:rPr>
          <w:rFonts w:ascii="Arial" w:eastAsia="Calibri" w:hAnsi="Arial" w:cs="Arial"/>
          <w:kern w:val="2"/>
          <w:sz w:val="20"/>
          <w:szCs w:val="20"/>
          <w14:ligatures w14:val="standardContextual"/>
        </w:rPr>
        <w:t xml:space="preserve">in concert with the CAP Autopsy Committee and is available at </w:t>
      </w:r>
      <w:r w:rsidR="00E37391" w:rsidRPr="00B01F9E">
        <w:rPr>
          <w:rFonts w:ascii="Arial" w:eastAsia="Calibri" w:hAnsi="Arial" w:cs="Arial"/>
          <w:kern w:val="2"/>
          <w:sz w:val="20"/>
          <w:szCs w:val="20"/>
          <w14:ligatures w14:val="standardContextual"/>
        </w:rPr>
        <w:t xml:space="preserve">this link: </w:t>
      </w:r>
      <w:hyperlink r:id="rId85" w:history="1">
        <w:r w:rsidR="00E37391" w:rsidRPr="00B01F9E">
          <w:rPr>
            <w:rStyle w:val="Hyperlink"/>
            <w:rFonts w:ascii="Arial" w:eastAsia="Calibri" w:hAnsi="Arial" w:cs="Arial"/>
            <w:kern w:val="2"/>
            <w:sz w:val="20"/>
            <w:szCs w:val="20"/>
            <w14:ligatures w14:val="standardContextual"/>
          </w:rPr>
          <w:t>CAP Autopsy Protocol</w:t>
        </w:r>
      </w:hyperlink>
      <w:r w:rsidR="00E37391" w:rsidRPr="00B01F9E">
        <w:rPr>
          <w:rFonts w:ascii="Arial" w:eastAsia="Calibri" w:hAnsi="Arial" w:cs="Arial"/>
          <w:kern w:val="2"/>
          <w:sz w:val="20"/>
          <w:szCs w:val="20"/>
          <w14:ligatures w14:val="standardContextual"/>
        </w:rPr>
        <w:t xml:space="preserve">. </w:t>
      </w:r>
    </w:p>
    <w:p w14:paraId="050CA4B5" w14:textId="38B3EAEC" w:rsidR="00CC6C11" w:rsidRPr="00B01F9E" w:rsidRDefault="00CC6C11" w:rsidP="00AB43E1">
      <w:pPr>
        <w:spacing w:after="12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There is not a mature medical renal biopsy synoptic report, although there are published recommendations from the medical renal community on the items that should be reported. These recommendations were used to populate Table </w:t>
      </w:r>
      <w:r w:rsidR="00FF6AE3" w:rsidRPr="00B01F9E">
        <w:rPr>
          <w:rFonts w:ascii="Arial" w:eastAsia="Calibri" w:hAnsi="Arial" w:cs="Arial"/>
          <w:kern w:val="2"/>
          <w:sz w:val="20"/>
          <w:szCs w:val="20"/>
          <w14:ligatures w14:val="standardContextual"/>
        </w:rPr>
        <w:t>20</w:t>
      </w:r>
      <w:r w:rsidRPr="00B01F9E">
        <w:rPr>
          <w:rFonts w:ascii="Arial" w:eastAsia="Calibri" w:hAnsi="Arial" w:cs="Arial"/>
          <w:kern w:val="2"/>
          <w:sz w:val="20"/>
          <w:szCs w:val="20"/>
          <w14:ligatures w14:val="standardContextual"/>
        </w:rPr>
        <w:t>.</w:t>
      </w:r>
    </w:p>
    <w:p w14:paraId="69929CE6" w14:textId="4E914510" w:rsidR="00EC43A7" w:rsidRPr="00B01F9E" w:rsidRDefault="009F1F82" w:rsidP="00CE4600">
      <w:pPr>
        <w:pStyle w:val="Heading3"/>
        <w:spacing w:before="0" w:after="120"/>
        <w:rPr>
          <w:rFonts w:ascii="Arial" w:hAnsi="Arial" w:cs="Arial"/>
          <w:b/>
          <w:i/>
          <w:color w:val="009BBF"/>
          <w:sz w:val="20"/>
          <w:szCs w:val="20"/>
        </w:rPr>
      </w:pPr>
      <w:bookmarkStart w:id="378" w:name="_Toc177137015"/>
      <w:r w:rsidRPr="00B01F9E">
        <w:rPr>
          <w:rFonts w:ascii="Arial" w:hAnsi="Arial" w:cs="Arial"/>
          <w:b/>
          <w:i/>
          <w:color w:val="009BBF"/>
          <w:sz w:val="20"/>
          <w:szCs w:val="20"/>
        </w:rPr>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.1 Clinical Narrative 1: Serum Albumin Test</w:t>
      </w:r>
      <w:bookmarkEnd w:id="378"/>
      <w:r w:rsidR="00EC43A7" w:rsidRPr="00B01F9E">
        <w:rPr>
          <w:rFonts w:ascii="Arial" w:hAnsi="Arial" w:cs="Arial"/>
          <w:b/>
          <w:i/>
          <w:color w:val="009BBF"/>
          <w:sz w:val="20"/>
          <w:szCs w:val="20"/>
        </w:rPr>
        <w:t xml:space="preserve"> </w:t>
      </w:r>
    </w:p>
    <w:p w14:paraId="389A21CF" w14:textId="77777777" w:rsidR="00EC43A7" w:rsidRPr="00B01F9E" w:rsidRDefault="00EC43A7" w:rsidP="00CE4600">
      <w:pPr>
        <w:spacing w:after="120"/>
        <w:rPr>
          <w:rFonts w:ascii="Arial" w:hAnsi="Arial" w:cs="Arial"/>
          <w:sz w:val="20"/>
          <w:szCs w:val="20"/>
        </w:rPr>
      </w:pPr>
      <w:r w:rsidRPr="00B01F9E">
        <w:rPr>
          <w:rStyle w:val="normaltextrun"/>
          <w:rFonts w:ascii="Arial" w:hAnsi="Arial" w:cs="Arial"/>
          <w:color w:val="000000"/>
          <w:sz w:val="20"/>
          <w:szCs w:val="20"/>
          <w:shd w:val="clear" w:color="auto" w:fill="FFFFFF"/>
        </w:rPr>
        <w:t xml:space="preserve">A nephrologist orders a serum albumin test for a 49-year-old female with nephrotic syndrome to determine whether to place the patient on prophylactic anticoagulant therapy according to the </w:t>
      </w:r>
      <w:proofErr w:type="gramStart"/>
      <w:r w:rsidRPr="00B01F9E">
        <w:rPr>
          <w:rStyle w:val="normaltextrun"/>
          <w:rFonts w:ascii="Arial" w:hAnsi="Arial" w:cs="Arial"/>
          <w:color w:val="000000"/>
          <w:sz w:val="20"/>
          <w:szCs w:val="20"/>
          <w:shd w:val="clear" w:color="auto" w:fill="FFFFFF"/>
        </w:rPr>
        <w:t>Kidney Disease</w:t>
      </w:r>
      <w:proofErr w:type="gramEnd"/>
      <w:r w:rsidRPr="00B01F9E" w:rsidDel="00171794">
        <w:rPr>
          <w:rStyle w:val="normaltextrun"/>
          <w:rFonts w:ascii="Arial" w:hAnsi="Arial" w:cs="Arial"/>
          <w:color w:val="000000"/>
          <w:sz w:val="20"/>
          <w:szCs w:val="20"/>
          <w:shd w:val="clear" w:color="auto" w:fill="FFFFFF"/>
        </w:rPr>
        <w:t xml:space="preserve"> |</w:t>
      </w:r>
      <w:r w:rsidRPr="00B01F9E">
        <w:rPr>
          <w:rStyle w:val="normaltextrun"/>
          <w:rFonts w:ascii="Arial" w:hAnsi="Arial" w:cs="Arial"/>
          <w:color w:val="000000"/>
          <w:sz w:val="20"/>
          <w:szCs w:val="20"/>
          <w:shd w:val="clear" w:color="auto" w:fill="FFFFFF"/>
        </w:rPr>
        <w:t xml:space="preserve"> Improving Global Outcomes (KDIGO) 2012 Glomerulonephritis guidelines. A phlebotomist collects the blood from the patient into a lithium heparin test tube via venipuncture. This specimen is delivered to the laboratory. The albumin assay is performed on the Abbott </w:t>
      </w:r>
      <w:proofErr w:type="spellStart"/>
      <w:r w:rsidRPr="00B01F9E">
        <w:rPr>
          <w:rStyle w:val="normaltextrun"/>
          <w:rFonts w:ascii="Arial" w:hAnsi="Arial" w:cs="Arial"/>
          <w:color w:val="000000"/>
          <w:sz w:val="20"/>
          <w:szCs w:val="20"/>
          <w:shd w:val="clear" w:color="auto" w:fill="FFFFFF"/>
        </w:rPr>
        <w:t>Alinity</w:t>
      </w:r>
      <w:proofErr w:type="spellEnd"/>
      <w:r w:rsidRPr="00B01F9E">
        <w:rPr>
          <w:rStyle w:val="normaltextrun"/>
          <w:rFonts w:ascii="Arial" w:hAnsi="Arial" w:cs="Arial"/>
          <w:color w:val="000000"/>
          <w:sz w:val="20"/>
          <w:szCs w:val="20"/>
          <w:shd w:val="clear" w:color="auto" w:fill="FFFFFF"/>
        </w:rPr>
        <w:t xml:space="preserve"> c</w:t>
      </w:r>
      <w:r w:rsidRPr="00B01F9E">
        <w:rPr>
          <w:rFonts w:ascii="Arial" w:hAnsi="Arial" w:cs="Arial"/>
          <w:sz w:val="20"/>
          <w:szCs w:val="20"/>
        </w:rPr>
        <w:t>™</w:t>
      </w:r>
      <w:r w:rsidRPr="00B01F9E">
        <w:rPr>
          <w:rStyle w:val="normaltextrun"/>
          <w:rFonts w:ascii="Arial" w:hAnsi="Arial" w:cs="Arial"/>
          <w:color w:val="000000"/>
          <w:sz w:val="20"/>
          <w:szCs w:val="20"/>
          <w:shd w:val="clear" w:color="auto" w:fill="FFFFFF"/>
        </w:rPr>
        <w:t xml:space="preserve"> instrument with the Albumin BCP Reagent Kit</w:t>
      </w:r>
      <w:r w:rsidRPr="00B01F9E">
        <w:rPr>
          <w:rFonts w:ascii="Arial" w:hAnsi="Arial" w:cs="Arial"/>
          <w:sz w:val="20"/>
          <w:szCs w:val="20"/>
        </w:rPr>
        <w:t>™</w:t>
      </w:r>
      <w:r w:rsidRPr="00B01F9E">
        <w:rPr>
          <w:rStyle w:val="normaltextrun"/>
          <w:rFonts w:ascii="Arial" w:hAnsi="Arial" w:cs="Arial"/>
          <w:color w:val="000000"/>
          <w:sz w:val="20"/>
          <w:szCs w:val="20"/>
          <w:shd w:val="clear" w:color="auto" w:fill="FFFFFF"/>
        </w:rPr>
        <w:t>, which uses the bromocresol purple (BCP) dye binding method. The result is a quantitative value expressed using g/dL as the unit of measure and with a normal reference range of 3.6-5.1 g/dL, as determined by the performing laboratory for their patient population.</w:t>
      </w:r>
      <w:r w:rsidRPr="00B01F9E">
        <w:rPr>
          <w:rStyle w:val="eop"/>
          <w:rFonts w:ascii="Arial" w:hAnsi="Arial" w:cs="Arial"/>
          <w:color w:val="000000"/>
          <w:sz w:val="20"/>
          <w:szCs w:val="20"/>
          <w:shd w:val="clear" w:color="auto" w:fill="FFFFFF"/>
        </w:rPr>
        <w:t> </w:t>
      </w:r>
    </w:p>
    <w:p w14:paraId="2F327A9D" w14:textId="1F76F7EB" w:rsidR="00EC43A7" w:rsidRPr="00B01F9E" w:rsidRDefault="009F1F82" w:rsidP="00CE4600">
      <w:pPr>
        <w:pStyle w:val="Heading3"/>
        <w:spacing w:before="0" w:after="120"/>
        <w:rPr>
          <w:rFonts w:ascii="Arial" w:hAnsi="Arial" w:cs="Arial"/>
          <w:b/>
          <w:i/>
          <w:color w:val="009BBF"/>
          <w:sz w:val="20"/>
          <w:szCs w:val="20"/>
        </w:rPr>
      </w:pPr>
      <w:bookmarkStart w:id="379" w:name="_Toc177137016"/>
      <w:r w:rsidRPr="00B01F9E">
        <w:rPr>
          <w:rFonts w:ascii="Arial" w:hAnsi="Arial" w:cs="Arial"/>
          <w:b/>
          <w:i/>
          <w:color w:val="009BBF"/>
          <w:sz w:val="20"/>
          <w:szCs w:val="20"/>
        </w:rPr>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.2 Clinical Narrative 2: Renal Biopsy</w:t>
      </w:r>
      <w:bookmarkEnd w:id="379"/>
      <w:r w:rsidR="00EC43A7" w:rsidRPr="00B01F9E">
        <w:rPr>
          <w:rFonts w:ascii="Arial" w:hAnsi="Arial" w:cs="Arial"/>
          <w:b/>
          <w:i/>
          <w:color w:val="009BBF"/>
          <w:sz w:val="20"/>
          <w:szCs w:val="20"/>
        </w:rPr>
        <w:t xml:space="preserve"> </w:t>
      </w:r>
    </w:p>
    <w:p w14:paraId="3E969A39" w14:textId="4761593D" w:rsidR="00EC43A7" w:rsidRPr="00B01F9E" w:rsidRDefault="00EC43A7" w:rsidP="00955B5A">
      <w:pPr>
        <w:spacing w:after="120"/>
        <w:rPr>
          <w:rStyle w:val="normaltextrun"/>
          <w:rFonts w:ascii="Arial" w:hAnsi="Arial" w:cs="Arial"/>
          <w:sz w:val="20"/>
          <w:szCs w:val="20"/>
        </w:rPr>
      </w:pPr>
      <w:r w:rsidRPr="00B01F9E">
        <w:rPr>
          <w:rStyle w:val="normaltextrun"/>
          <w:rFonts w:ascii="Arial" w:hAnsi="Arial" w:cs="Arial"/>
          <w:sz w:val="20"/>
          <w:szCs w:val="20"/>
        </w:rPr>
        <w:t>This use case is an example of a medical kidney biopsy for worsening chronic kidney disease (CKD) in a patient with a history of hepatitis and diabetes.</w:t>
      </w:r>
      <w:r w:rsidRPr="00B01F9E">
        <w:rPr>
          <w:rStyle w:val="eop"/>
          <w:rFonts w:ascii="Arial" w:hAnsi="Arial" w:cs="Arial"/>
          <w:sz w:val="20"/>
          <w:szCs w:val="20"/>
        </w:rPr>
        <w:t> </w:t>
      </w:r>
    </w:p>
    <w:p w14:paraId="32A75799" w14:textId="0E405566" w:rsidR="00EC43A7" w:rsidRPr="00B01F9E" w:rsidRDefault="00EC43A7" w:rsidP="00955B5A">
      <w:pPr>
        <w:spacing w:after="120"/>
        <w:rPr>
          <w:rStyle w:val="eop"/>
          <w:rFonts w:ascii="Arial" w:hAnsi="Arial" w:cs="Arial"/>
          <w:sz w:val="20"/>
          <w:szCs w:val="20"/>
        </w:rPr>
      </w:pPr>
      <w:r w:rsidRPr="00B01F9E">
        <w:rPr>
          <w:rStyle w:val="normaltextrun"/>
          <w:rFonts w:ascii="Arial" w:hAnsi="Arial" w:cs="Arial"/>
          <w:sz w:val="20"/>
          <w:szCs w:val="20"/>
        </w:rPr>
        <w:t>A 59-year-old male patient with a history of hepatitis C virus infection (HCV) and diabetes mellitus Type 2 (Type 2 DM) presents for a regular checkup with a nephrologist. It is noted that the patient’s glomerular filtration rate (GFR), measured longitudinally, has worsened dramatically over the last six months. The nephrologist records in their progress notes that they are requesting a comprehensive renal biopsy and refers the patient to their staff to arrange the specimen collection. Hematology and coagulation laboratory report values available from the patient’s recent laboratory tests are reviewed to ensure that there is no evidence of a bleeding diathesis. The nephrologist’s staff then submit an order for an ultrasound guided needle core biopsy of the kidney from a nearby outpatient imaging center to be submitted to a specified regional laboratory with expertise in processing renal biopsies. The nephrologist’s office uses an online electronic ordering system to request a renal biopsy kit from the regional laboratory to be sent to the imaging center for use to collect the patient’s specimen(s).</w:t>
      </w:r>
      <w:r w:rsidRPr="00B01F9E">
        <w:rPr>
          <w:rStyle w:val="eop"/>
          <w:rFonts w:ascii="Arial" w:hAnsi="Arial" w:cs="Arial"/>
          <w:sz w:val="20"/>
          <w:szCs w:val="20"/>
        </w:rPr>
        <w:t> </w:t>
      </w:r>
    </w:p>
    <w:p w14:paraId="58D848B8" w14:textId="5518CFE4" w:rsidR="00EC43A7" w:rsidRPr="00B01F9E" w:rsidRDefault="00EC43A7" w:rsidP="00955B5A">
      <w:pPr>
        <w:spacing w:after="120"/>
        <w:rPr>
          <w:rStyle w:val="normaltextrun"/>
          <w:rFonts w:ascii="Arial" w:hAnsi="Arial" w:cs="Arial"/>
          <w:sz w:val="20"/>
          <w:szCs w:val="20"/>
        </w:rPr>
      </w:pPr>
      <w:r w:rsidRPr="00B01F9E">
        <w:rPr>
          <w:rStyle w:val="normaltextrun"/>
          <w:rFonts w:ascii="Arial" w:hAnsi="Arial" w:cs="Arial"/>
          <w:sz w:val="20"/>
          <w:szCs w:val="20"/>
        </w:rPr>
        <w:t xml:space="preserve">The regional laboratory sends the kit with instructions. The imaging laboratory confirms the time and place of the appointment with the patient, having received the kit. This kit asks for three biopsy cores to be submitted. These three cores are separately placed in 10% buffered formalin (for light microscopy [LM] and immunohistochemistry [IHC]), Zeus fixative (for immunofluorescence [IF]), and glutaraldehyde (for electron microscopy [EM]). There may also be a request for snap frozen tissue for use with IF. The samples are sent together with paperwork corroborating an online order for a comprehensive renal biopsy interpretation and with a description of the patient’s co-morbidities and current lab values to include the trending GFR and the lack of a coagulopathy. The specimen samples are sent as a refrigerated package due to the warm summer temperatures being experienced. Otherwise, they could be sent at room </w:t>
      </w:r>
      <w:r w:rsidRPr="00B01F9E">
        <w:rPr>
          <w:rStyle w:val="normaltextrun"/>
          <w:rFonts w:ascii="Arial" w:hAnsi="Arial" w:cs="Arial"/>
          <w:sz w:val="20"/>
          <w:szCs w:val="20"/>
        </w:rPr>
        <w:lastRenderedPageBreak/>
        <w:t>temperature. The test request lists the nephrologist as the ordering physician with a copy of the report to be sent to the radiologist who performed the biopsy.</w:t>
      </w:r>
      <w:r w:rsidRPr="00B01F9E">
        <w:rPr>
          <w:rStyle w:val="eop"/>
          <w:rFonts w:ascii="Arial" w:hAnsi="Arial" w:cs="Arial"/>
          <w:sz w:val="20"/>
          <w:szCs w:val="20"/>
        </w:rPr>
        <w:t> </w:t>
      </w:r>
    </w:p>
    <w:p w14:paraId="2BCABC0A" w14:textId="77777777" w:rsidR="00EC43A7" w:rsidRPr="00B01F9E" w:rsidRDefault="00EC43A7" w:rsidP="00955B5A">
      <w:pPr>
        <w:spacing w:after="120"/>
        <w:rPr>
          <w:rStyle w:val="normaltextrun"/>
          <w:rFonts w:ascii="Arial" w:hAnsi="Arial" w:cs="Arial"/>
          <w:sz w:val="20"/>
          <w:szCs w:val="20"/>
        </w:rPr>
      </w:pPr>
      <w:r w:rsidRPr="00B01F9E">
        <w:rPr>
          <w:rStyle w:val="normaltextrun"/>
          <w:rFonts w:ascii="Arial" w:hAnsi="Arial" w:cs="Arial"/>
          <w:sz w:val="20"/>
          <w:szCs w:val="20"/>
        </w:rPr>
        <w:t>Upon arrival at the regional laboratory, the core biopsy that was fixed in formalin is processed to a hematoxylin and eosin stain (H&amp;E), with the option to include silver, trichrome, periodic acid-Schiff (PAS), or other special stains (SS) for LM review. They are examined by a medical renal pathologist to assess for quality based on the number of glomeruli for review and reported with enumeration of glomeruli and histopathological evaluation of the status of the glomeruli in terms of sclerosis, mesangial expansion, and any other relevant histopathology.</w:t>
      </w:r>
    </w:p>
    <w:p w14:paraId="229FAF2D" w14:textId="33EC539E" w:rsidR="00EC43A7" w:rsidRPr="00B01F9E" w:rsidRDefault="00EC43A7" w:rsidP="00955B5A">
      <w:pPr>
        <w:spacing w:after="120"/>
        <w:rPr>
          <w:rStyle w:val="normaltextrun"/>
          <w:rFonts w:ascii="Arial" w:hAnsi="Arial" w:cs="Arial"/>
          <w:sz w:val="20"/>
          <w:szCs w:val="20"/>
        </w:rPr>
      </w:pPr>
      <w:r w:rsidRPr="00B01F9E">
        <w:rPr>
          <w:rStyle w:val="normaltextrun"/>
          <w:rFonts w:ascii="Arial" w:hAnsi="Arial" w:cs="Arial"/>
          <w:sz w:val="20"/>
          <w:szCs w:val="20"/>
        </w:rPr>
        <w:t xml:space="preserve">If abnormal, additional testing by IF or possibly </w:t>
      </w:r>
      <w:proofErr w:type="spellStart"/>
      <w:r w:rsidRPr="00B01F9E">
        <w:rPr>
          <w:rStyle w:val="normaltextrun"/>
          <w:rFonts w:ascii="Arial" w:hAnsi="Arial" w:cs="Arial"/>
          <w:sz w:val="20"/>
          <w:szCs w:val="20"/>
        </w:rPr>
        <w:t>immunoperoxidase</w:t>
      </w:r>
      <w:proofErr w:type="spellEnd"/>
      <w:r w:rsidRPr="00B01F9E">
        <w:rPr>
          <w:rStyle w:val="normaltextrun"/>
          <w:rFonts w:ascii="Arial" w:hAnsi="Arial" w:cs="Arial"/>
          <w:sz w:val="20"/>
          <w:szCs w:val="20"/>
        </w:rPr>
        <w:t xml:space="preserve"> (IP) staining with specification of antibodies of interest, and by EM is requested by the renal pathologist who performed the LM. Antibodies of interest for IP and/or IF include IgG, IgA, IgM, C3, fibrinogen, albumin, kappa, and lambda. These reflex requests are secondary to the judgment of the medical renal pathologist performing the LM, and are submitted to the IP, IF, and/or EM laboratories as needed. The appropriate laboratories perform the technical operations to create the appropriately stained material and images. Interpretation is performed by a pathologist. The medical renal pathologist might interpret </w:t>
      </w:r>
      <w:proofErr w:type="gramStart"/>
      <w:r w:rsidRPr="00B01F9E">
        <w:rPr>
          <w:rStyle w:val="normaltextrun"/>
          <w:rFonts w:ascii="Arial" w:hAnsi="Arial" w:cs="Arial"/>
          <w:sz w:val="20"/>
          <w:szCs w:val="20"/>
        </w:rPr>
        <w:t>all of</w:t>
      </w:r>
      <w:proofErr w:type="gramEnd"/>
      <w:r w:rsidRPr="00B01F9E">
        <w:rPr>
          <w:rStyle w:val="normaltextrun"/>
          <w:rFonts w:ascii="Arial" w:hAnsi="Arial" w:cs="Arial"/>
          <w:sz w:val="20"/>
          <w:szCs w:val="20"/>
        </w:rPr>
        <w:t xml:space="preserve"> the reflex testing, or it might be interpreted by another pathologist or professional (e.g., the EM report) with the report given to the medical renal pathologist for integration with other results.</w:t>
      </w:r>
      <w:r w:rsidRPr="00B01F9E">
        <w:rPr>
          <w:rStyle w:val="eop"/>
          <w:rFonts w:ascii="Arial" w:hAnsi="Arial" w:cs="Arial"/>
          <w:sz w:val="20"/>
          <w:szCs w:val="20"/>
        </w:rPr>
        <w:t> </w:t>
      </w:r>
    </w:p>
    <w:p w14:paraId="6310124F" w14:textId="11D1A824"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The medical renal pathologist collects the information reported for the modalities used to generate an integrated report of the results. Technical charges are based on how many stains were performed and the techniques applied to create them (H&amp;E, SS, IP vs IF, EM) while the professional charges are based on the review of each stain and the integrated report. </w:t>
      </w:r>
    </w:p>
    <w:p w14:paraId="7A9B4D0B" w14:textId="5F1A2A6A"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The following items are recommended in published healthcare literature for complete reporting (Table </w:t>
      </w:r>
      <w:r w:rsidR="00FF6AE3" w:rsidRPr="00B01F9E">
        <w:rPr>
          <w:rStyle w:val="normaltextrun"/>
          <w:rFonts w:ascii="Arial" w:hAnsi="Arial" w:cs="Arial"/>
          <w:sz w:val="20"/>
          <w:szCs w:val="20"/>
        </w:rPr>
        <w:t>20</w:t>
      </w:r>
      <w:r w:rsidRPr="00B01F9E">
        <w:rPr>
          <w:rStyle w:val="normaltextrun"/>
          <w:rFonts w:ascii="Arial" w:hAnsi="Arial" w:cs="Arial"/>
          <w:sz w:val="20"/>
          <w:szCs w:val="20"/>
        </w:rPr>
        <w:t xml:space="preserve">). </w:t>
      </w:r>
    </w:p>
    <w:p w14:paraId="42E31C84" w14:textId="77777777" w:rsidR="00A8659F" w:rsidRPr="00B01F9E" w:rsidRDefault="00A8659F">
      <w:pPr>
        <w:rPr>
          <w:rFonts w:ascii="Arial" w:eastAsia="Times New Roman" w:hAnsi="Arial" w:cs="Arial"/>
          <w:b/>
          <w:color w:val="009BBF"/>
          <w:sz w:val="20"/>
          <w:szCs w:val="20"/>
        </w:rPr>
      </w:pPr>
      <w:r w:rsidRPr="00B01F9E">
        <w:rPr>
          <w:rFonts w:ascii="Arial" w:hAnsi="Arial" w:cs="Arial"/>
          <w:b/>
          <w:color w:val="009BBF"/>
          <w:sz w:val="20"/>
          <w:szCs w:val="20"/>
        </w:rPr>
        <w:br w:type="page"/>
      </w:r>
    </w:p>
    <w:p w14:paraId="32E791DD" w14:textId="47668402" w:rsidR="00EC43A7" w:rsidRPr="00B01F9E" w:rsidRDefault="00EC43A7" w:rsidP="00CE4600">
      <w:pPr>
        <w:pStyle w:val="paragraph"/>
        <w:spacing w:before="0" w:beforeAutospacing="0" w:after="0" w:afterAutospacing="0"/>
        <w:textAlignment w:val="baseline"/>
        <w:rPr>
          <w:rStyle w:val="eop"/>
          <w:rFonts w:ascii="Arial" w:hAnsi="Arial" w:cs="Arial"/>
          <w:b/>
          <w:color w:val="009BBF"/>
          <w:sz w:val="20"/>
          <w:szCs w:val="20"/>
        </w:rPr>
      </w:pPr>
      <w:r w:rsidRPr="00B01F9E">
        <w:rPr>
          <w:rFonts w:ascii="Arial" w:hAnsi="Arial" w:cs="Arial"/>
          <w:b/>
          <w:color w:val="009BBF"/>
          <w:sz w:val="20"/>
          <w:szCs w:val="20"/>
        </w:rPr>
        <w:lastRenderedPageBreak/>
        <w:t xml:space="preserve">Table </w:t>
      </w:r>
      <w:r w:rsidR="00FF6AE3" w:rsidRPr="00B01F9E">
        <w:rPr>
          <w:rFonts w:ascii="Arial" w:hAnsi="Arial" w:cs="Arial"/>
          <w:b/>
          <w:color w:val="009BBF"/>
          <w:sz w:val="20"/>
          <w:szCs w:val="20"/>
        </w:rPr>
        <w:t>20</w:t>
      </w:r>
      <w:r w:rsidRPr="00B01F9E">
        <w:rPr>
          <w:rFonts w:ascii="Arial" w:hAnsi="Arial" w:cs="Arial"/>
          <w:b/>
          <w:color w:val="009BBF"/>
          <w:sz w:val="20"/>
          <w:szCs w:val="20"/>
        </w:rPr>
        <w:t xml:space="preserve">: Essential </w:t>
      </w:r>
      <w:r w:rsidR="00550004" w:rsidRPr="00B01F9E">
        <w:rPr>
          <w:rFonts w:ascii="Arial" w:hAnsi="Arial" w:cs="Arial"/>
          <w:b/>
          <w:color w:val="009BBF"/>
          <w:sz w:val="20"/>
          <w:szCs w:val="20"/>
        </w:rPr>
        <w:t>P</w:t>
      </w:r>
      <w:r w:rsidRPr="00B01F9E">
        <w:rPr>
          <w:rFonts w:ascii="Arial" w:hAnsi="Arial" w:cs="Arial"/>
          <w:b/>
          <w:color w:val="009BBF"/>
          <w:sz w:val="20"/>
          <w:szCs w:val="20"/>
        </w:rPr>
        <w:t xml:space="preserve">athologic </w:t>
      </w:r>
      <w:r w:rsidR="00550004" w:rsidRPr="00B01F9E">
        <w:rPr>
          <w:rFonts w:ascii="Arial" w:hAnsi="Arial" w:cs="Arial"/>
          <w:b/>
          <w:color w:val="009BBF"/>
          <w:sz w:val="20"/>
          <w:szCs w:val="20"/>
        </w:rPr>
        <w:t>P</w:t>
      </w:r>
      <w:r w:rsidRPr="00B01F9E">
        <w:rPr>
          <w:rFonts w:ascii="Arial" w:hAnsi="Arial" w:cs="Arial"/>
          <w:b/>
          <w:color w:val="009BBF"/>
          <w:sz w:val="20"/>
          <w:szCs w:val="20"/>
        </w:rPr>
        <w:t xml:space="preserve">arameters for </w:t>
      </w:r>
      <w:r w:rsidR="00550004" w:rsidRPr="00B01F9E">
        <w:rPr>
          <w:rFonts w:ascii="Arial" w:hAnsi="Arial" w:cs="Arial"/>
          <w:b/>
          <w:color w:val="009BBF"/>
          <w:sz w:val="20"/>
          <w:szCs w:val="20"/>
        </w:rPr>
        <w:t>R</w:t>
      </w:r>
      <w:r w:rsidRPr="00B01F9E">
        <w:rPr>
          <w:rFonts w:ascii="Arial" w:hAnsi="Arial" w:cs="Arial"/>
          <w:b/>
          <w:color w:val="009BBF"/>
          <w:sz w:val="20"/>
          <w:szCs w:val="20"/>
        </w:rPr>
        <w:t>eporting</w:t>
      </w:r>
      <w:r w:rsidR="006B49C1" w:rsidRPr="00B01F9E">
        <w:rPr>
          <w:rFonts w:ascii="Arial" w:hAnsi="Arial" w:cs="Arial"/>
          <w:b/>
          <w:color w:val="009BBF"/>
          <w:sz w:val="20"/>
          <w:szCs w:val="20"/>
          <w:vertAlign w:val="superscript"/>
        </w:rPr>
        <w:t>9</w:t>
      </w:r>
    </w:p>
    <w:tbl>
      <w:tblPr>
        <w:tblStyle w:val="TableGrid"/>
        <w:tblW w:w="9562" w:type="dxa"/>
        <w:tblLook w:val="04A0" w:firstRow="1" w:lastRow="0" w:firstColumn="1" w:lastColumn="0" w:noHBand="0" w:noVBand="1"/>
      </w:tblPr>
      <w:tblGrid>
        <w:gridCol w:w="2073"/>
        <w:gridCol w:w="7489"/>
      </w:tblGrid>
      <w:tr w:rsidR="00EC43A7" w:rsidRPr="00B01F9E" w14:paraId="60DD7A44" w14:textId="77777777" w:rsidTr="00DB373C">
        <w:tc>
          <w:tcPr>
            <w:tcW w:w="2073" w:type="dxa"/>
            <w:shd w:val="clear" w:color="auto" w:fill="C3C6C8" w:themeFill="background1"/>
          </w:tcPr>
          <w:p w14:paraId="51C6113F" w14:textId="77777777" w:rsidR="00EC43A7" w:rsidRPr="00B01F9E" w:rsidRDefault="00EC43A7" w:rsidP="00DB373C">
            <w:pPr>
              <w:pStyle w:val="paragraph"/>
              <w:spacing w:before="0" w:beforeAutospacing="0" w:after="0" w:afterAutospacing="0"/>
              <w:textAlignment w:val="baseline"/>
              <w:rPr>
                <w:rFonts w:ascii="Arial" w:hAnsi="Arial" w:cs="Arial"/>
                <w:b/>
                <w:bCs/>
                <w:sz w:val="20"/>
                <w:szCs w:val="20"/>
              </w:rPr>
            </w:pPr>
            <w:r w:rsidRPr="00B01F9E">
              <w:rPr>
                <w:rFonts w:ascii="Arial" w:hAnsi="Arial" w:cs="Arial"/>
                <w:b/>
                <w:bCs/>
                <w:sz w:val="20"/>
                <w:szCs w:val="20"/>
              </w:rPr>
              <w:t>Parameter</w:t>
            </w:r>
          </w:p>
        </w:tc>
        <w:tc>
          <w:tcPr>
            <w:tcW w:w="7489" w:type="dxa"/>
            <w:shd w:val="clear" w:color="auto" w:fill="C3C6C8" w:themeFill="background1"/>
          </w:tcPr>
          <w:p w14:paraId="36908224" w14:textId="77777777" w:rsidR="00EC43A7" w:rsidRPr="00B01F9E" w:rsidRDefault="00EC43A7" w:rsidP="00DB373C">
            <w:pPr>
              <w:pStyle w:val="paragraph"/>
              <w:spacing w:before="0" w:beforeAutospacing="0" w:after="0" w:afterAutospacing="0"/>
              <w:textAlignment w:val="baseline"/>
              <w:rPr>
                <w:rFonts w:ascii="Arial" w:hAnsi="Arial" w:cs="Arial"/>
                <w:b/>
                <w:bCs/>
                <w:sz w:val="20"/>
                <w:szCs w:val="20"/>
              </w:rPr>
            </w:pPr>
            <w:r w:rsidRPr="00B01F9E">
              <w:rPr>
                <w:rFonts w:ascii="Arial" w:hAnsi="Arial" w:cs="Arial"/>
                <w:b/>
                <w:bCs/>
                <w:sz w:val="20"/>
                <w:szCs w:val="20"/>
              </w:rPr>
              <w:t xml:space="preserve">Elements </w:t>
            </w:r>
          </w:p>
        </w:tc>
      </w:tr>
      <w:tr w:rsidR="00EC43A7" w:rsidRPr="00B01F9E" w14:paraId="2A06D3D7" w14:textId="77777777" w:rsidTr="00DB373C">
        <w:tc>
          <w:tcPr>
            <w:tcW w:w="2073" w:type="dxa"/>
          </w:tcPr>
          <w:p w14:paraId="2BA85EB7"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color w:val="000000"/>
                <w:sz w:val="20"/>
                <w:szCs w:val="20"/>
                <w:shd w:val="clear" w:color="auto" w:fill="FFFFFF"/>
              </w:rPr>
              <w:t xml:space="preserve">Clinical history/data </w:t>
            </w:r>
          </w:p>
        </w:tc>
        <w:tc>
          <w:tcPr>
            <w:tcW w:w="7489" w:type="dxa"/>
          </w:tcPr>
          <w:p w14:paraId="75466E6A" w14:textId="77777777" w:rsidR="00EC43A7" w:rsidRPr="00B01F9E" w:rsidRDefault="00EC43A7" w:rsidP="00DB373C">
            <w:pPr>
              <w:pStyle w:val="paragraph"/>
              <w:numPr>
                <w:ilvl w:val="0"/>
                <w:numId w:val="68"/>
              </w:numPr>
              <w:spacing w:before="0" w:beforeAutospacing="0" w:after="0" w:afterAutospacing="0"/>
              <w:textAlignment w:val="baseline"/>
              <w:rPr>
                <w:rFonts w:ascii="Arial" w:hAnsi="Arial" w:cs="Arial"/>
                <w:sz w:val="20"/>
                <w:szCs w:val="20"/>
              </w:rPr>
            </w:pPr>
            <w:proofErr w:type="gramStart"/>
            <w:r w:rsidRPr="00B01F9E">
              <w:rPr>
                <w:rStyle w:val="normaltextrun"/>
                <w:rFonts w:ascii="Arial" w:hAnsi="Arial" w:cs="Arial"/>
                <w:color w:val="000000"/>
                <w:sz w:val="20"/>
                <w:szCs w:val="20"/>
                <w:shd w:val="clear" w:color="auto" w:fill="FFFFFF"/>
              </w:rPr>
              <w:t>Brief summary</w:t>
            </w:r>
            <w:proofErr w:type="gramEnd"/>
            <w:r w:rsidRPr="00B01F9E">
              <w:rPr>
                <w:rStyle w:val="normaltextrun"/>
                <w:rFonts w:ascii="Arial" w:hAnsi="Arial" w:cs="Arial"/>
                <w:color w:val="000000"/>
                <w:sz w:val="20"/>
                <w:szCs w:val="20"/>
                <w:shd w:val="clear" w:color="auto" w:fill="FFFFFF"/>
              </w:rPr>
              <w:t xml:space="preserve"> of history provided by clinician or obtained from another authoritative source </w:t>
            </w:r>
          </w:p>
        </w:tc>
      </w:tr>
      <w:tr w:rsidR="00EC43A7" w:rsidRPr="00B01F9E" w14:paraId="79D6EF50" w14:textId="77777777" w:rsidTr="00DB373C">
        <w:tc>
          <w:tcPr>
            <w:tcW w:w="2073" w:type="dxa"/>
          </w:tcPr>
          <w:p w14:paraId="62F9B858"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color w:val="000000"/>
                <w:sz w:val="20"/>
                <w:szCs w:val="20"/>
                <w:shd w:val="clear" w:color="auto" w:fill="FFFFFF"/>
              </w:rPr>
              <w:t xml:space="preserve">Gross description </w:t>
            </w:r>
          </w:p>
        </w:tc>
        <w:tc>
          <w:tcPr>
            <w:tcW w:w="7489" w:type="dxa"/>
          </w:tcPr>
          <w:p w14:paraId="2121EE9F" w14:textId="77777777" w:rsidR="00EC43A7" w:rsidRPr="00B01F9E" w:rsidRDefault="00EC43A7" w:rsidP="00DB373C">
            <w:pPr>
              <w:pStyle w:val="paragraph"/>
              <w:numPr>
                <w:ilvl w:val="0"/>
                <w:numId w:val="63"/>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No. of tissue core(s) for LM core length(s) &amp; fixative</w:t>
            </w:r>
            <w:r w:rsidRPr="00B01F9E">
              <w:rPr>
                <w:rStyle w:val="eop"/>
                <w:rFonts w:ascii="Arial" w:hAnsi="Arial" w:cs="Arial"/>
                <w:sz w:val="20"/>
                <w:szCs w:val="20"/>
              </w:rPr>
              <w:t> </w:t>
            </w:r>
          </w:p>
          <w:p w14:paraId="2DCC1DC2" w14:textId="77777777" w:rsidR="00EC43A7" w:rsidRPr="00B01F9E" w:rsidRDefault="00EC43A7" w:rsidP="00DB373C">
            <w:pPr>
              <w:pStyle w:val="paragraph"/>
              <w:numPr>
                <w:ilvl w:val="0"/>
                <w:numId w:val="63"/>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No. of tissue core(s) for IF/IHC/</w:t>
            </w:r>
            <w:proofErr w:type="spellStart"/>
            <w:r w:rsidRPr="00B01F9E">
              <w:rPr>
                <w:rStyle w:val="normaltextrun"/>
                <w:rFonts w:ascii="Arial" w:hAnsi="Arial" w:cs="Arial"/>
                <w:sz w:val="20"/>
                <w:szCs w:val="20"/>
              </w:rPr>
              <w:t>immuno</w:t>
            </w:r>
            <w:proofErr w:type="spellEnd"/>
            <w:r w:rsidRPr="00B01F9E">
              <w:rPr>
                <w:rStyle w:val="normaltextrun"/>
                <w:rFonts w:ascii="Arial" w:hAnsi="Arial" w:cs="Arial"/>
                <w:sz w:val="20"/>
                <w:szCs w:val="20"/>
              </w:rPr>
              <w:t xml:space="preserve"> - microscopy, core length(s) &amp; fixative</w:t>
            </w:r>
            <w:r w:rsidRPr="00B01F9E">
              <w:rPr>
                <w:rStyle w:val="eop"/>
                <w:rFonts w:ascii="Arial" w:hAnsi="Arial" w:cs="Arial"/>
                <w:sz w:val="20"/>
                <w:szCs w:val="20"/>
              </w:rPr>
              <w:t> </w:t>
            </w:r>
          </w:p>
          <w:p w14:paraId="0A9E66B5" w14:textId="77777777" w:rsidR="00EC43A7" w:rsidRPr="00B01F9E" w:rsidRDefault="00EC43A7" w:rsidP="00DB373C">
            <w:pPr>
              <w:pStyle w:val="paragraph"/>
              <w:numPr>
                <w:ilvl w:val="0"/>
                <w:numId w:val="63"/>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No. of tissue core(s) for EM, core length(s) &amp; fixative</w:t>
            </w:r>
            <w:r w:rsidRPr="00B01F9E">
              <w:rPr>
                <w:rStyle w:val="eop"/>
                <w:rFonts w:ascii="Arial" w:hAnsi="Arial" w:cs="Arial"/>
                <w:sz w:val="20"/>
                <w:szCs w:val="20"/>
              </w:rPr>
              <w:t> </w:t>
            </w:r>
          </w:p>
        </w:tc>
      </w:tr>
      <w:tr w:rsidR="00EC43A7" w:rsidRPr="00B01F9E" w14:paraId="11FA95C0" w14:textId="77777777" w:rsidTr="00DB373C">
        <w:tc>
          <w:tcPr>
            <w:tcW w:w="2073" w:type="dxa"/>
          </w:tcPr>
          <w:p w14:paraId="45A7CDCB"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color w:val="000000"/>
                <w:sz w:val="20"/>
                <w:szCs w:val="20"/>
                <w:shd w:val="clear" w:color="auto" w:fill="FFFFFF"/>
              </w:rPr>
              <w:t>Microscopic description</w:t>
            </w:r>
            <w:r w:rsidRPr="00B01F9E">
              <w:rPr>
                <w:rStyle w:val="eop"/>
                <w:rFonts w:ascii="Arial" w:hAnsi="Arial" w:cs="Arial"/>
                <w:color w:val="000000"/>
                <w:sz w:val="20"/>
                <w:szCs w:val="20"/>
                <w:shd w:val="clear" w:color="auto" w:fill="FFFFFF"/>
              </w:rPr>
              <w:t> </w:t>
            </w:r>
          </w:p>
        </w:tc>
        <w:tc>
          <w:tcPr>
            <w:tcW w:w="7489" w:type="dxa"/>
          </w:tcPr>
          <w:p w14:paraId="518EB6CB" w14:textId="77777777" w:rsidR="00EC43A7" w:rsidRPr="00B01F9E" w:rsidRDefault="00EC43A7" w:rsidP="00DB373C">
            <w:pPr>
              <w:pStyle w:val="paragraph"/>
              <w:numPr>
                <w:ilvl w:val="0"/>
                <w:numId w:val="65"/>
              </w:numPr>
              <w:spacing w:before="0" w:beforeAutospacing="0" w:after="0" w:afterAutospacing="0"/>
              <w:textAlignment w:val="baseline"/>
              <w:rPr>
                <w:rStyle w:val="normaltextrun"/>
                <w:rFonts w:ascii="Arial" w:hAnsi="Arial" w:cs="Arial"/>
                <w:color w:val="000000"/>
                <w:sz w:val="20"/>
                <w:szCs w:val="20"/>
                <w:shd w:val="clear" w:color="auto" w:fill="FFFFFF"/>
              </w:rPr>
            </w:pPr>
            <w:r w:rsidRPr="00B01F9E">
              <w:rPr>
                <w:rStyle w:val="normaltextrun"/>
                <w:rFonts w:ascii="Arial" w:hAnsi="Arial" w:cs="Arial"/>
                <w:color w:val="000000"/>
                <w:sz w:val="20"/>
                <w:szCs w:val="20"/>
                <w:shd w:val="clear" w:color="auto" w:fill="FFFFFF"/>
              </w:rPr>
              <w:t>Light microscopy </w:t>
            </w:r>
          </w:p>
          <w:p w14:paraId="6B075F9D" w14:textId="77777777" w:rsidR="00EC43A7" w:rsidRPr="00B01F9E" w:rsidRDefault="00EC43A7" w:rsidP="00DB373C">
            <w:pPr>
              <w:pStyle w:val="paragraph"/>
              <w:numPr>
                <w:ilvl w:val="0"/>
                <w:numId w:val="104"/>
              </w:numPr>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Histochemical SS (e.g., PAS, Jones methenamine silver, Masson trichrome, Congo red) with kit information for preparation if applicable</w:t>
            </w:r>
            <w:r w:rsidRPr="00B01F9E">
              <w:rPr>
                <w:rStyle w:val="eop"/>
                <w:rFonts w:ascii="Arial" w:hAnsi="Arial" w:cs="Arial"/>
                <w:sz w:val="20"/>
                <w:szCs w:val="20"/>
              </w:rPr>
              <w:t> </w:t>
            </w:r>
          </w:p>
          <w:p w14:paraId="14EBEA05" w14:textId="77777777" w:rsidR="00EC43A7" w:rsidRPr="00B01F9E" w:rsidRDefault="00EC43A7" w:rsidP="00DB373C">
            <w:pPr>
              <w:pStyle w:val="paragraph"/>
              <w:numPr>
                <w:ilvl w:val="0"/>
                <w:numId w:val="104"/>
              </w:numPr>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 xml:space="preserve">Presence of cortex/medulla/capsule/calyceal mucosa </w:t>
            </w:r>
          </w:p>
          <w:p w14:paraId="397D8F85" w14:textId="77777777" w:rsidR="00EC43A7" w:rsidRPr="00B01F9E" w:rsidRDefault="00EC43A7" w:rsidP="00DB373C">
            <w:pPr>
              <w:pStyle w:val="paragraph"/>
              <w:numPr>
                <w:ilvl w:val="0"/>
                <w:numId w:val="64"/>
              </w:numPr>
              <w:spacing w:before="0" w:beforeAutospacing="0" w:after="0" w:afterAutospacing="0"/>
              <w:ind w:left="360"/>
              <w:textAlignment w:val="baseline"/>
              <w:rPr>
                <w:rStyle w:val="normaltextrun"/>
                <w:rFonts w:ascii="Arial" w:hAnsi="Arial" w:cs="Arial"/>
                <w:sz w:val="20"/>
                <w:szCs w:val="20"/>
              </w:rPr>
            </w:pPr>
            <w:r w:rsidRPr="00B01F9E">
              <w:rPr>
                <w:rStyle w:val="normaltextrun"/>
                <w:rFonts w:ascii="Arial" w:hAnsi="Arial" w:cs="Arial"/>
                <w:color w:val="000000"/>
                <w:sz w:val="20"/>
                <w:szCs w:val="20"/>
                <w:bdr w:val="none" w:sz="0" w:space="0" w:color="auto" w:frame="1"/>
              </w:rPr>
              <w:t>Glomeruli </w:t>
            </w:r>
          </w:p>
          <w:p w14:paraId="20F7A2A8"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w:t>
            </w:r>
          </w:p>
          <w:p w14:paraId="5727C97E"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 with global sclerosis (if present) </w:t>
            </w:r>
          </w:p>
          <w:p w14:paraId="2C69C509"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 with segmental sclerosis (if present) </w:t>
            </w:r>
          </w:p>
          <w:p w14:paraId="70B8B113"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 crescents, cellular to </w:t>
            </w:r>
            <w:proofErr w:type="spellStart"/>
            <w:r w:rsidRPr="00B01F9E">
              <w:rPr>
                <w:rStyle w:val="normaltextrun"/>
                <w:rFonts w:ascii="Arial" w:hAnsi="Arial" w:cs="Arial"/>
                <w:sz w:val="20"/>
                <w:szCs w:val="20"/>
              </w:rPr>
              <w:t>fibrocellular</w:t>
            </w:r>
            <w:proofErr w:type="spellEnd"/>
            <w:r w:rsidRPr="00B01F9E">
              <w:rPr>
                <w:rStyle w:val="normaltextrun"/>
                <w:rFonts w:ascii="Arial" w:hAnsi="Arial" w:cs="Arial"/>
                <w:sz w:val="20"/>
                <w:szCs w:val="20"/>
              </w:rPr>
              <w:t xml:space="preserve"> (if present) </w:t>
            </w:r>
          </w:p>
          <w:p w14:paraId="786E18B0"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 with fibrinoid necrosis (if present) </w:t>
            </w:r>
          </w:p>
          <w:p w14:paraId="32B622A2"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Additional abnormalities (e.g., hypercellularity, deposits, thrombosis, double contours, spikes) </w:t>
            </w:r>
          </w:p>
          <w:p w14:paraId="105B5CB9" w14:textId="77777777" w:rsidR="00EC43A7" w:rsidRPr="00B01F9E" w:rsidRDefault="00EC43A7" w:rsidP="00DB373C">
            <w:pPr>
              <w:pStyle w:val="paragraph"/>
              <w:numPr>
                <w:ilvl w:val="0"/>
                <w:numId w:val="64"/>
              </w:numPr>
              <w:spacing w:before="0" w:beforeAutospacing="0" w:after="0" w:afterAutospacing="0"/>
              <w:ind w:left="360"/>
              <w:textAlignment w:val="baseline"/>
              <w:rPr>
                <w:rStyle w:val="eop"/>
                <w:rFonts w:ascii="Arial" w:hAnsi="Arial" w:cs="Arial"/>
                <w:sz w:val="20"/>
                <w:szCs w:val="20"/>
              </w:rPr>
            </w:pPr>
            <w:proofErr w:type="spellStart"/>
            <w:r w:rsidRPr="00B01F9E">
              <w:rPr>
                <w:rStyle w:val="normaltextrun"/>
                <w:rFonts w:ascii="Arial" w:hAnsi="Arial" w:cs="Arial"/>
                <w:color w:val="000000"/>
                <w:sz w:val="20"/>
                <w:szCs w:val="20"/>
                <w:shd w:val="clear" w:color="auto" w:fill="FFFFFF"/>
              </w:rPr>
              <w:t>Tubulointerstitium</w:t>
            </w:r>
            <w:proofErr w:type="spellEnd"/>
            <w:r w:rsidRPr="00B01F9E">
              <w:rPr>
                <w:rStyle w:val="normaltextrun"/>
                <w:rFonts w:ascii="Arial" w:hAnsi="Arial" w:cs="Arial"/>
                <w:color w:val="000000"/>
                <w:sz w:val="20"/>
                <w:szCs w:val="20"/>
                <w:shd w:val="clear" w:color="auto" w:fill="FFFFFF"/>
              </w:rPr>
              <w:t xml:space="preserve"> </w:t>
            </w:r>
          </w:p>
          <w:p w14:paraId="1C00DDB5"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Extent of interstitial fibrosis/tubular atrophy, at least semiquantitative</w:t>
            </w:r>
          </w:p>
          <w:p w14:paraId="68461A94" w14:textId="77777777" w:rsidR="00EC43A7" w:rsidRPr="00B01F9E" w:rsidRDefault="00EC43A7" w:rsidP="00DB373C">
            <w:pPr>
              <w:pStyle w:val="paragraph"/>
              <w:numPr>
                <w:ilvl w:val="0"/>
                <w:numId w:val="104"/>
              </w:numPr>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Interstitial</w:t>
            </w:r>
            <w:r w:rsidRPr="00B01F9E">
              <w:rPr>
                <w:rStyle w:val="normaltextrun"/>
                <w:rFonts w:ascii="Arial" w:hAnsi="Arial" w:cs="Arial"/>
                <w:color w:val="000000"/>
                <w:sz w:val="20"/>
                <w:szCs w:val="20"/>
                <w:shd w:val="clear" w:color="auto" w:fill="FFFFFF"/>
              </w:rPr>
              <w:t xml:space="preserve"> inflammation, tubular injury, crystals </w:t>
            </w:r>
          </w:p>
          <w:p w14:paraId="647697F3" w14:textId="77777777" w:rsidR="00EC43A7" w:rsidRPr="00B01F9E" w:rsidRDefault="00EC43A7" w:rsidP="00DB373C">
            <w:pPr>
              <w:pStyle w:val="paragraph"/>
              <w:numPr>
                <w:ilvl w:val="0"/>
                <w:numId w:val="64"/>
              </w:numPr>
              <w:spacing w:before="0" w:beforeAutospacing="0" w:after="0" w:afterAutospacing="0"/>
              <w:ind w:left="360"/>
              <w:textAlignment w:val="baseline"/>
              <w:rPr>
                <w:rStyle w:val="eop"/>
                <w:rFonts w:ascii="Arial" w:hAnsi="Arial" w:cs="Arial"/>
                <w:sz w:val="20"/>
                <w:szCs w:val="20"/>
              </w:rPr>
            </w:pPr>
            <w:r w:rsidRPr="00B01F9E">
              <w:rPr>
                <w:rStyle w:val="normaltextrun"/>
                <w:rFonts w:ascii="Arial" w:hAnsi="Arial" w:cs="Arial"/>
                <w:color w:val="000000"/>
                <w:sz w:val="20"/>
                <w:szCs w:val="20"/>
                <w:shd w:val="clear" w:color="auto" w:fill="FFFFFF"/>
              </w:rPr>
              <w:t xml:space="preserve">Arteries/arterioles </w:t>
            </w:r>
          </w:p>
          <w:p w14:paraId="34B02C9B"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Intimal fibrosis (absent/present/severity) </w:t>
            </w:r>
          </w:p>
          <w:p w14:paraId="65ABFC4A" w14:textId="77777777" w:rsidR="00EC43A7" w:rsidRPr="00B01F9E" w:rsidRDefault="00EC43A7" w:rsidP="00DB373C">
            <w:pPr>
              <w:pStyle w:val="paragraph"/>
              <w:numPr>
                <w:ilvl w:val="0"/>
                <w:numId w:val="104"/>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Arteriolar hyalinosis (absent/present/severity) </w:t>
            </w:r>
          </w:p>
        </w:tc>
      </w:tr>
      <w:tr w:rsidR="00EC43A7" w:rsidRPr="00B01F9E" w14:paraId="68C3AE13" w14:textId="77777777" w:rsidTr="00DB373C">
        <w:tc>
          <w:tcPr>
            <w:tcW w:w="2073" w:type="dxa"/>
          </w:tcPr>
          <w:p w14:paraId="554FABAF"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color w:val="000000"/>
                <w:sz w:val="20"/>
                <w:szCs w:val="20"/>
                <w:shd w:val="clear" w:color="auto" w:fill="FFFFFF"/>
              </w:rPr>
              <w:t xml:space="preserve">Immunofluorescence (IF) or </w:t>
            </w:r>
            <w:proofErr w:type="spellStart"/>
            <w:r w:rsidRPr="00B01F9E">
              <w:rPr>
                <w:rStyle w:val="normaltextrun"/>
                <w:rFonts w:ascii="Arial" w:hAnsi="Arial" w:cs="Arial"/>
                <w:color w:val="000000"/>
                <w:sz w:val="20"/>
                <w:szCs w:val="20"/>
                <w:shd w:val="clear" w:color="auto" w:fill="FFFFFF"/>
              </w:rPr>
              <w:t>Immunoperoxidase</w:t>
            </w:r>
            <w:proofErr w:type="spellEnd"/>
            <w:r w:rsidRPr="00B01F9E">
              <w:rPr>
                <w:rStyle w:val="normaltextrun"/>
                <w:rFonts w:ascii="Arial" w:hAnsi="Arial" w:cs="Arial"/>
                <w:color w:val="000000"/>
                <w:sz w:val="20"/>
                <w:szCs w:val="20"/>
                <w:shd w:val="clear" w:color="auto" w:fill="FFFFFF"/>
              </w:rPr>
              <w:t xml:space="preserve"> (IP) microscopy </w:t>
            </w:r>
          </w:p>
        </w:tc>
        <w:tc>
          <w:tcPr>
            <w:tcW w:w="7489" w:type="dxa"/>
          </w:tcPr>
          <w:p w14:paraId="6C7A369B" w14:textId="77777777" w:rsidR="00EC43A7" w:rsidRPr="00B01F9E" w:rsidRDefault="00EC43A7" w:rsidP="00DB373C">
            <w:pPr>
              <w:pStyle w:val="paragraph"/>
              <w:numPr>
                <w:ilvl w:val="0"/>
                <w:numId w:val="66"/>
              </w:numPr>
              <w:spacing w:before="0" w:beforeAutospacing="0" w:after="0" w:afterAutospacing="0"/>
              <w:ind w:left="360"/>
              <w:textAlignment w:val="baseline"/>
              <w:rPr>
                <w:rStyle w:val="eop"/>
                <w:rFonts w:ascii="Arial" w:hAnsi="Arial" w:cs="Arial"/>
                <w:sz w:val="20"/>
                <w:szCs w:val="20"/>
              </w:rPr>
            </w:pPr>
            <w:r w:rsidRPr="00B01F9E">
              <w:rPr>
                <w:rStyle w:val="normaltextrun"/>
                <w:rFonts w:ascii="Arial" w:hAnsi="Arial" w:cs="Arial"/>
                <w:color w:val="000000"/>
                <w:sz w:val="20"/>
                <w:szCs w:val="20"/>
                <w:shd w:val="clear" w:color="auto" w:fill="FFFFFF"/>
              </w:rPr>
              <w:t xml:space="preserve">Glomeruli </w:t>
            </w:r>
          </w:p>
          <w:p w14:paraId="278DD6F0"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Method (IF or IP) with kit information for preparation if applicable </w:t>
            </w:r>
          </w:p>
          <w:p w14:paraId="077B8E22"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present </w:t>
            </w:r>
          </w:p>
          <w:p w14:paraId="2A0852C5"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globally sclerosed glomeruli </w:t>
            </w:r>
          </w:p>
          <w:p w14:paraId="1C5C0DAF"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Specify each antibody used and its source clone/commercial identifier </w:t>
            </w:r>
          </w:p>
          <w:p w14:paraId="1285BC4F"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Staining intensity, location/pattern of staining for each antibody, and specify intensity scale (0-3+ or 0-4+) </w:t>
            </w:r>
          </w:p>
          <w:p w14:paraId="2F95CBFC"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Relative intensity of kappa/lambda staining of tubular casts </w:t>
            </w:r>
          </w:p>
          <w:p w14:paraId="20BF5F9C" w14:textId="77777777" w:rsidR="00EC43A7" w:rsidRPr="00B01F9E" w:rsidRDefault="00EC43A7" w:rsidP="00DB373C">
            <w:pPr>
              <w:pStyle w:val="paragraph"/>
              <w:numPr>
                <w:ilvl w:val="0"/>
                <w:numId w:val="104"/>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State when IF performed on paraffin sections that were fixed in Zeus vs. frozen sections cut in OCT</w:t>
            </w:r>
            <w:r w:rsidRPr="00B01F9E">
              <w:rPr>
                <w:rStyle w:val="eop"/>
                <w:rFonts w:ascii="Arial" w:hAnsi="Arial" w:cs="Arial"/>
                <w:sz w:val="20"/>
                <w:szCs w:val="20"/>
              </w:rPr>
              <w:t> </w:t>
            </w:r>
          </w:p>
        </w:tc>
      </w:tr>
      <w:tr w:rsidR="00EC43A7" w:rsidRPr="00B01F9E" w14:paraId="2608A04E" w14:textId="77777777" w:rsidTr="00DB373C">
        <w:tc>
          <w:tcPr>
            <w:tcW w:w="2073" w:type="dxa"/>
          </w:tcPr>
          <w:p w14:paraId="35F9F6E7"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color w:val="000000"/>
                <w:sz w:val="20"/>
                <w:szCs w:val="20"/>
                <w:shd w:val="clear" w:color="auto" w:fill="FFFFFF"/>
              </w:rPr>
            </w:pPr>
            <w:r w:rsidRPr="00B01F9E">
              <w:rPr>
                <w:rStyle w:val="normaltextrun"/>
                <w:rFonts w:ascii="Arial" w:hAnsi="Arial" w:cs="Arial"/>
                <w:color w:val="000000"/>
                <w:sz w:val="20"/>
                <w:szCs w:val="20"/>
                <w:shd w:val="clear" w:color="auto" w:fill="FFFFFF"/>
              </w:rPr>
              <w:t xml:space="preserve">Electron microscopy </w:t>
            </w:r>
          </w:p>
        </w:tc>
        <w:tc>
          <w:tcPr>
            <w:tcW w:w="7489" w:type="dxa"/>
          </w:tcPr>
          <w:p w14:paraId="5181DA40"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State when EM performed on tissue processed from paraffin sections versus plastic </w:t>
            </w:r>
          </w:p>
          <w:p w14:paraId="7D9EBD63"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State whether a sample or all the submitted tissue examined by toluidine or methylene blue stain </w:t>
            </w:r>
          </w:p>
          <w:p w14:paraId="4DD46DA2"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Glomeruli </w:t>
            </w:r>
            <w:r w:rsidRPr="00B01F9E">
              <w:rPr>
                <w:rStyle w:val="normaltextrun"/>
                <w:rFonts w:ascii="Arial" w:hAnsi="Arial" w:cs="Arial"/>
                <w:i/>
                <w:iCs/>
                <w:sz w:val="20"/>
                <w:szCs w:val="20"/>
              </w:rPr>
              <w:t>(note that because of the use of much smaller sections, percentages are not requested as they are not necessarily representative of the kidney state)</w:t>
            </w:r>
            <w:r w:rsidRPr="00B01F9E">
              <w:rPr>
                <w:rStyle w:val="eop"/>
                <w:rFonts w:ascii="Arial" w:hAnsi="Arial" w:cs="Arial"/>
                <w:i/>
                <w:iCs/>
                <w:sz w:val="20"/>
                <w:szCs w:val="20"/>
              </w:rPr>
              <w:t> </w:t>
            </w:r>
          </w:p>
          <w:p w14:paraId="697EC4A1"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No. of glomeruli present in toluidine blue thick sections </w:t>
            </w:r>
          </w:p>
          <w:p w14:paraId="3F4A3A17"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globally or segmentally sclerosed glomeruli </w:t>
            </w:r>
          </w:p>
          <w:p w14:paraId="1DA369E3"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with crescents or necrosis or proliferation </w:t>
            </w:r>
          </w:p>
          <w:p w14:paraId="2121E1AA"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No. of glomeruli evaluated by EM </w:t>
            </w:r>
          </w:p>
          <w:p w14:paraId="2BDAF314"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lastRenderedPageBreak/>
              <w:t xml:space="preserve">Absence or extent of podocyte foot process effacement </w:t>
            </w:r>
          </w:p>
          <w:p w14:paraId="09AC0236"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Absence or presence and location of electron dense deposits </w:t>
            </w:r>
          </w:p>
          <w:p w14:paraId="26DD9115"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GBM thickness (normal, thin, thick) and appearance (e.g., layered). If abnormal, state reference range of GBM thickness for age and sex </w:t>
            </w:r>
          </w:p>
          <w:p w14:paraId="1D13A6B3"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Additional abnormalities (e.g., infiltrates, deposit substructure, fibrillary deposits, cellular interposition, </w:t>
            </w:r>
            <w:proofErr w:type="spellStart"/>
            <w:r w:rsidRPr="00B01F9E">
              <w:rPr>
                <w:rStyle w:val="normaltextrun"/>
                <w:rFonts w:ascii="Arial" w:hAnsi="Arial" w:cs="Arial"/>
                <w:sz w:val="20"/>
                <w:szCs w:val="20"/>
              </w:rPr>
              <w:t>tubuloreticular</w:t>
            </w:r>
            <w:proofErr w:type="spellEnd"/>
            <w:r w:rsidRPr="00B01F9E">
              <w:rPr>
                <w:rStyle w:val="normaltextrun"/>
                <w:rFonts w:ascii="Arial" w:hAnsi="Arial" w:cs="Arial"/>
                <w:sz w:val="20"/>
                <w:szCs w:val="20"/>
              </w:rPr>
              <w:t xml:space="preserve"> inclusions, fibrin </w:t>
            </w:r>
            <w:proofErr w:type="spellStart"/>
            <w:r w:rsidRPr="00B01F9E">
              <w:rPr>
                <w:rStyle w:val="normaltextrun"/>
                <w:rFonts w:ascii="Arial" w:hAnsi="Arial" w:cs="Arial"/>
                <w:sz w:val="20"/>
                <w:szCs w:val="20"/>
              </w:rPr>
              <w:t>tactoids</w:t>
            </w:r>
            <w:proofErr w:type="spellEnd"/>
            <w:r w:rsidRPr="00B01F9E">
              <w:rPr>
                <w:rStyle w:val="normaltextrun"/>
                <w:rFonts w:ascii="Arial" w:hAnsi="Arial" w:cs="Arial"/>
                <w:sz w:val="20"/>
                <w:szCs w:val="20"/>
              </w:rPr>
              <w:t xml:space="preserve">) </w:t>
            </w:r>
          </w:p>
          <w:p w14:paraId="15EEF33A" w14:textId="77777777" w:rsidR="00EC43A7" w:rsidRPr="00B01F9E" w:rsidRDefault="00EC43A7" w:rsidP="00DB373C">
            <w:pPr>
              <w:pStyle w:val="paragraph"/>
              <w:numPr>
                <w:ilvl w:val="0"/>
                <w:numId w:val="67"/>
              </w:numPr>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 xml:space="preserve">Indicate if </w:t>
            </w:r>
            <w:proofErr w:type="spellStart"/>
            <w:r w:rsidRPr="00B01F9E">
              <w:rPr>
                <w:rStyle w:val="normaltextrun"/>
                <w:rFonts w:ascii="Arial" w:hAnsi="Arial" w:cs="Arial"/>
                <w:sz w:val="20"/>
                <w:szCs w:val="20"/>
              </w:rPr>
              <w:t>tubulointerstitium</w:t>
            </w:r>
            <w:proofErr w:type="spellEnd"/>
            <w:r w:rsidRPr="00B01F9E">
              <w:rPr>
                <w:rStyle w:val="normaltextrun"/>
                <w:rFonts w:ascii="Arial" w:hAnsi="Arial" w:cs="Arial"/>
                <w:sz w:val="20"/>
                <w:szCs w:val="20"/>
              </w:rPr>
              <w:t xml:space="preserve"> was evaluated </w:t>
            </w:r>
          </w:p>
          <w:p w14:paraId="0AF5B584"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Specify if tubulointerstitial deposits present </w:t>
            </w:r>
          </w:p>
          <w:p w14:paraId="0F413A56"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Indicate peritubular capillary basement membrane was evaluated (for transplant biopsies), </w:t>
            </w:r>
          </w:p>
          <w:p w14:paraId="54679D41" w14:textId="77777777" w:rsidR="00EC43A7" w:rsidRPr="00B01F9E" w:rsidRDefault="00EC43A7" w:rsidP="00DB373C">
            <w:pPr>
              <w:pStyle w:val="paragraph"/>
              <w:numPr>
                <w:ilvl w:val="0"/>
                <w:numId w:val="104"/>
              </w:numPr>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Specify if multilayering present (focal vs diffuse) </w:t>
            </w:r>
          </w:p>
        </w:tc>
      </w:tr>
    </w:tbl>
    <w:p w14:paraId="761598FB" w14:textId="30CDDCB7" w:rsidR="00EC43A7" w:rsidRPr="00B01F9E" w:rsidRDefault="00EC43A7" w:rsidP="00955B5A">
      <w:pPr>
        <w:spacing w:before="120" w:after="120"/>
        <w:rPr>
          <w:rStyle w:val="eop"/>
          <w:rFonts w:ascii="Arial" w:hAnsi="Arial" w:cs="Arial"/>
          <w:color w:val="000000"/>
          <w:sz w:val="20"/>
          <w:szCs w:val="20"/>
          <w:shd w:val="clear" w:color="auto" w:fill="FFFFFF"/>
        </w:rPr>
      </w:pPr>
      <w:r w:rsidRPr="00B01F9E">
        <w:rPr>
          <w:rStyle w:val="normaltextrun"/>
          <w:rFonts w:ascii="Arial" w:hAnsi="Arial" w:cs="Arial"/>
          <w:sz w:val="20"/>
          <w:szCs w:val="20"/>
        </w:rPr>
        <w:lastRenderedPageBreak/>
        <w:t xml:space="preserve">Final integrated reports are generated within </w:t>
      </w:r>
      <w:r w:rsidR="00C4374A" w:rsidRPr="00B01F9E">
        <w:rPr>
          <w:rStyle w:val="normaltextrun"/>
          <w:rFonts w:ascii="Arial" w:hAnsi="Arial" w:cs="Arial"/>
          <w:sz w:val="20"/>
          <w:szCs w:val="20"/>
        </w:rPr>
        <w:t>four</w:t>
      </w:r>
      <w:r w:rsidRPr="00B01F9E">
        <w:rPr>
          <w:rStyle w:val="normaltextrun"/>
          <w:rFonts w:ascii="Arial" w:hAnsi="Arial" w:cs="Arial"/>
          <w:sz w:val="20"/>
          <w:szCs w:val="20"/>
        </w:rPr>
        <w:t>-</w:t>
      </w:r>
      <w:r w:rsidR="00C4374A" w:rsidRPr="00B01F9E">
        <w:rPr>
          <w:rStyle w:val="normaltextrun"/>
          <w:rFonts w:ascii="Arial" w:hAnsi="Arial" w:cs="Arial"/>
          <w:sz w:val="20"/>
          <w:szCs w:val="20"/>
        </w:rPr>
        <w:t>five</w:t>
      </w:r>
      <w:r w:rsidRPr="00B01F9E">
        <w:rPr>
          <w:rStyle w:val="normaltextrun"/>
          <w:rFonts w:ascii="Arial" w:hAnsi="Arial" w:cs="Arial"/>
          <w:sz w:val="20"/>
          <w:szCs w:val="20"/>
        </w:rPr>
        <w:t xml:space="preserve"> days of the receipt of the biopsy by the regional specialty laboratory</w:t>
      </w:r>
      <w:r w:rsidRPr="00B01F9E">
        <w:rPr>
          <w:rStyle w:val="normaltextrun"/>
          <w:rFonts w:ascii="Arial" w:hAnsi="Arial" w:cs="Arial"/>
          <w:color w:val="000000"/>
          <w:sz w:val="20"/>
          <w:szCs w:val="20"/>
          <w:shd w:val="clear" w:color="auto" w:fill="FFFFFF"/>
        </w:rPr>
        <w:t xml:space="preserve"> and sent to the ordering nephrologist with a copy to the radiologist who performed the biopsy.</w:t>
      </w:r>
      <w:r w:rsidRPr="00B01F9E">
        <w:rPr>
          <w:rStyle w:val="eop"/>
          <w:rFonts w:ascii="Arial" w:hAnsi="Arial" w:cs="Arial"/>
          <w:color w:val="000000"/>
          <w:sz w:val="20"/>
          <w:szCs w:val="20"/>
          <w:shd w:val="clear" w:color="auto" w:fill="FFFFFF"/>
        </w:rPr>
        <w:t> </w:t>
      </w:r>
    </w:p>
    <w:p w14:paraId="2CE78788" w14:textId="093BBE69" w:rsidR="00CC6C11" w:rsidRPr="00B01F9E" w:rsidRDefault="00EC43A7" w:rsidP="00955B5A">
      <w:pPr>
        <w:spacing w:after="120"/>
        <w:rPr>
          <w:rFonts w:ascii="Arial" w:hAnsi="Arial" w:cs="Arial"/>
          <w:sz w:val="20"/>
          <w:szCs w:val="20"/>
        </w:rPr>
      </w:pPr>
      <w:r w:rsidRPr="00B01F9E">
        <w:rPr>
          <w:rStyle w:val="eop"/>
          <w:rFonts w:ascii="Arial" w:hAnsi="Arial" w:cs="Arial"/>
          <w:color w:val="000000"/>
          <w:sz w:val="20"/>
          <w:szCs w:val="20"/>
          <w:shd w:val="clear" w:color="auto" w:fill="FFFFFF"/>
        </w:rPr>
        <w:t xml:space="preserve">To develop this renal </w:t>
      </w:r>
      <w:proofErr w:type="gramStart"/>
      <w:r w:rsidRPr="00B01F9E">
        <w:rPr>
          <w:rStyle w:val="eop"/>
          <w:rFonts w:ascii="Arial" w:hAnsi="Arial" w:cs="Arial"/>
          <w:color w:val="000000"/>
          <w:sz w:val="20"/>
          <w:szCs w:val="20"/>
          <w:shd w:val="clear" w:color="auto" w:fill="FFFFFF"/>
        </w:rPr>
        <w:t>biopsy</w:t>
      </w:r>
      <w:proofErr w:type="gramEnd"/>
      <w:r w:rsidRPr="00B01F9E">
        <w:rPr>
          <w:rStyle w:val="eop"/>
          <w:rFonts w:ascii="Arial" w:hAnsi="Arial" w:cs="Arial"/>
          <w:color w:val="000000"/>
          <w:sz w:val="20"/>
          <w:szCs w:val="20"/>
          <w:shd w:val="clear" w:color="auto" w:fill="FFFFFF"/>
        </w:rPr>
        <w:t xml:space="preserve"> use case, practice guidelines for renal biopsy procedures</w:t>
      </w:r>
      <w:r w:rsidR="00A51EAA" w:rsidRPr="00B01F9E">
        <w:rPr>
          <w:rStyle w:val="eop"/>
          <w:rFonts w:ascii="Arial" w:hAnsi="Arial" w:cs="Arial"/>
          <w:color w:val="000000"/>
          <w:sz w:val="20"/>
          <w:szCs w:val="20"/>
          <w:shd w:val="clear" w:color="auto" w:fill="FFFFFF"/>
        </w:rPr>
        <w:t>,</w:t>
      </w:r>
      <w:r w:rsidR="00FF215B" w:rsidRPr="00B01F9E">
        <w:rPr>
          <w:rStyle w:val="eop"/>
          <w:rFonts w:ascii="Arial" w:hAnsi="Arial" w:cs="Arial"/>
          <w:color w:val="000000"/>
          <w:sz w:val="20"/>
          <w:szCs w:val="20"/>
          <w:shd w:val="clear" w:color="auto" w:fill="FFFFFF"/>
          <w:vertAlign w:val="superscript"/>
        </w:rPr>
        <w:t>10</w:t>
      </w:r>
      <w:r w:rsidRPr="00B01F9E">
        <w:rPr>
          <w:rStyle w:val="eop"/>
          <w:rFonts w:ascii="Arial" w:hAnsi="Arial" w:cs="Arial"/>
          <w:color w:val="000000"/>
          <w:sz w:val="20"/>
          <w:szCs w:val="20"/>
          <w:shd w:val="clear" w:color="auto" w:fill="FFFFFF"/>
        </w:rPr>
        <w:t xml:space="preserve"> a comprehensive kidney biopsy workup provided by ARUP Laboratories</w:t>
      </w:r>
      <w:r w:rsidR="00A51EAA" w:rsidRPr="00B01F9E">
        <w:rPr>
          <w:rStyle w:val="eop"/>
          <w:rFonts w:ascii="Arial" w:hAnsi="Arial" w:cs="Arial"/>
          <w:color w:val="000000"/>
          <w:sz w:val="20"/>
          <w:szCs w:val="20"/>
          <w:shd w:val="clear" w:color="auto" w:fill="FFFFFF"/>
        </w:rPr>
        <w:t>,</w:t>
      </w:r>
      <w:r w:rsidR="00FF215B" w:rsidRPr="00B01F9E">
        <w:rPr>
          <w:rStyle w:val="eop"/>
          <w:rFonts w:ascii="Arial" w:hAnsi="Arial" w:cs="Arial"/>
          <w:color w:val="000000"/>
          <w:sz w:val="20"/>
          <w:szCs w:val="20"/>
          <w:shd w:val="clear" w:color="auto" w:fill="FFFFFF"/>
          <w:vertAlign w:val="superscript"/>
        </w:rPr>
        <w:t>11</w:t>
      </w:r>
      <w:r w:rsidRPr="00B01F9E">
        <w:rPr>
          <w:rStyle w:val="eop"/>
          <w:rFonts w:ascii="Arial" w:hAnsi="Arial" w:cs="Arial"/>
          <w:color w:val="000000"/>
          <w:sz w:val="20"/>
          <w:szCs w:val="20"/>
          <w:shd w:val="clear" w:color="auto" w:fill="FFFFFF"/>
        </w:rPr>
        <w:t xml:space="preserve"> and recent advancements in automated identification of glomeruli using machine learning techniques were referenced</w:t>
      </w:r>
      <w:r w:rsidR="00A51EAA" w:rsidRPr="00B01F9E">
        <w:rPr>
          <w:rStyle w:val="eop"/>
          <w:rFonts w:ascii="Arial" w:hAnsi="Arial" w:cs="Arial"/>
          <w:color w:val="000000"/>
          <w:sz w:val="20"/>
          <w:szCs w:val="20"/>
          <w:shd w:val="clear" w:color="auto" w:fill="FFFFFF"/>
        </w:rPr>
        <w:t>.</w:t>
      </w:r>
      <w:r w:rsidR="00FF215B" w:rsidRPr="00B01F9E">
        <w:rPr>
          <w:rStyle w:val="eop"/>
          <w:rFonts w:ascii="Arial" w:hAnsi="Arial" w:cs="Arial"/>
          <w:color w:val="000000"/>
          <w:sz w:val="20"/>
          <w:szCs w:val="20"/>
          <w:shd w:val="clear" w:color="auto" w:fill="FFFFFF"/>
          <w:vertAlign w:val="superscript"/>
        </w:rPr>
        <w:t>12</w:t>
      </w:r>
      <w:r w:rsidRPr="00B01F9E">
        <w:rPr>
          <w:rStyle w:val="eop"/>
          <w:rFonts w:ascii="Arial" w:hAnsi="Arial" w:cs="Arial"/>
          <w:color w:val="000000"/>
          <w:sz w:val="20"/>
          <w:szCs w:val="20"/>
          <w:shd w:val="clear" w:color="auto" w:fill="FFFFFF"/>
        </w:rPr>
        <w:t xml:space="preserve"> </w:t>
      </w:r>
    </w:p>
    <w:p w14:paraId="7AB65D75" w14:textId="6C11109C" w:rsidR="00EC43A7" w:rsidRPr="00B01F9E" w:rsidRDefault="009F1F82" w:rsidP="00CE4600">
      <w:pPr>
        <w:pStyle w:val="Heading3"/>
        <w:spacing w:before="0" w:after="120"/>
        <w:rPr>
          <w:rFonts w:ascii="Arial" w:hAnsi="Arial" w:cs="Arial"/>
          <w:b/>
          <w:i/>
          <w:color w:val="009BBF"/>
          <w:sz w:val="20"/>
          <w:szCs w:val="20"/>
        </w:rPr>
      </w:pPr>
      <w:bookmarkStart w:id="380" w:name="_Toc177137017"/>
      <w:r w:rsidRPr="00B01F9E">
        <w:rPr>
          <w:rFonts w:ascii="Arial" w:hAnsi="Arial" w:cs="Arial"/>
          <w:b/>
          <w:i/>
          <w:color w:val="009BBF"/>
          <w:sz w:val="20"/>
          <w:szCs w:val="20"/>
        </w:rPr>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.3 Clinical Narrative 3: Complete Blood Count</w:t>
      </w:r>
      <w:bookmarkEnd w:id="380"/>
      <w:r w:rsidR="00EC43A7" w:rsidRPr="00B01F9E">
        <w:rPr>
          <w:rFonts w:ascii="Arial" w:hAnsi="Arial" w:cs="Arial"/>
          <w:b/>
          <w:i/>
          <w:color w:val="009BBF"/>
          <w:sz w:val="20"/>
          <w:szCs w:val="20"/>
        </w:rPr>
        <w:t xml:space="preserve"> </w:t>
      </w:r>
    </w:p>
    <w:p w14:paraId="412C4AAA" w14:textId="77777777"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A complete blood count (CBC) is requested by the clinician for a 15-year-old male patient complaining of fatigue and dark urine. The specimen is to be collected from a patient as soon as possible, one time, using venipuncture technique into a lavender top test tube with </w:t>
      </w:r>
      <w:r w:rsidRPr="00B01F9E">
        <w:rPr>
          <w:rFonts w:ascii="Arial" w:hAnsi="Arial" w:cs="Arial"/>
          <w:sz w:val="20"/>
          <w:szCs w:val="20"/>
        </w:rPr>
        <w:t>ethylenediaminetetraacetic acid</w:t>
      </w:r>
      <w:r w:rsidRPr="00B01F9E">
        <w:rPr>
          <w:rStyle w:val="normaltextrun"/>
          <w:rFonts w:ascii="Arial" w:hAnsi="Arial" w:cs="Arial"/>
          <w:sz w:val="20"/>
          <w:szCs w:val="20"/>
        </w:rPr>
        <w:t xml:space="preserve"> (EDTA) by a phlebotomist and delivered by the phlebotomist to the laboratory.   </w:t>
      </w:r>
      <w:r w:rsidRPr="00B01F9E">
        <w:rPr>
          <w:rStyle w:val="tabchar"/>
          <w:rFonts w:ascii="Arial" w:hAnsi="Arial" w:cs="Arial"/>
          <w:sz w:val="20"/>
          <w:szCs w:val="20"/>
        </w:rPr>
        <w:tab/>
      </w:r>
      <w:r w:rsidRPr="00B01F9E">
        <w:rPr>
          <w:rStyle w:val="eop"/>
          <w:rFonts w:ascii="Arial" w:hAnsi="Arial" w:cs="Arial"/>
          <w:sz w:val="20"/>
          <w:szCs w:val="20"/>
        </w:rPr>
        <w:t> </w:t>
      </w:r>
    </w:p>
    <w:p w14:paraId="494748CB" w14:textId="0920CC27" w:rsidR="00EC43A7" w:rsidRPr="00B01F9E" w:rsidRDefault="00EC43A7" w:rsidP="00955B5A">
      <w:pPr>
        <w:spacing w:after="120"/>
        <w:rPr>
          <w:rStyle w:val="eop"/>
          <w:rFonts w:ascii="Arial" w:hAnsi="Arial" w:cs="Arial"/>
          <w:sz w:val="20"/>
          <w:szCs w:val="20"/>
        </w:rPr>
      </w:pPr>
      <w:r w:rsidRPr="00B01F9E">
        <w:rPr>
          <w:rStyle w:val="normaltextrun"/>
          <w:rFonts w:ascii="Arial" w:hAnsi="Arial" w:cs="Arial"/>
          <w:sz w:val="20"/>
          <w:szCs w:val="20"/>
        </w:rPr>
        <w:t>The CBC is performed on the Sysmex CBC Analyzer</w:t>
      </w:r>
      <w:r w:rsidRPr="00B01F9E">
        <w:rPr>
          <w:rFonts w:ascii="Arial" w:hAnsi="Arial" w:cs="Arial"/>
          <w:sz w:val="20"/>
          <w:szCs w:val="20"/>
        </w:rPr>
        <w:t>™</w:t>
      </w:r>
      <w:r w:rsidRPr="00B01F9E">
        <w:rPr>
          <w:rStyle w:val="normaltextrun"/>
          <w:rFonts w:ascii="Arial" w:hAnsi="Arial" w:cs="Arial"/>
          <w:sz w:val="20"/>
          <w:szCs w:val="20"/>
        </w:rPr>
        <w:t xml:space="preserve"> which produces </w:t>
      </w:r>
      <w:r w:rsidR="00CC6C11" w:rsidRPr="00B01F9E">
        <w:rPr>
          <w:rFonts w:ascii="Arial" w:hAnsi="Arial" w:cs="Arial"/>
          <w:sz w:val="20"/>
          <w:szCs w:val="20"/>
        </w:rPr>
        <w:t>a hemogram result</w:t>
      </w:r>
      <w:r w:rsidRPr="00B01F9E">
        <w:rPr>
          <w:rStyle w:val="normaltextrun"/>
          <w:rFonts w:ascii="Arial" w:hAnsi="Arial" w:cs="Arial"/>
          <w:sz w:val="20"/>
          <w:szCs w:val="20"/>
        </w:rPr>
        <w:t xml:space="preserve"> containing the white blood count (WBC), red blood count (RBC), hemoglobin (HGB), hematocrit (HCT), mean corpuscular volume (MCV), mean corpuscular hemoglobin (MCH), mean corpuscular hemoglobin concentration (MCHC), platelet count (PLT</w:t>
      </w:r>
      <w:r w:rsidR="00CC6C11" w:rsidRPr="00B01F9E">
        <w:rPr>
          <w:rFonts w:ascii="Arial" w:hAnsi="Arial" w:cs="Arial"/>
          <w:sz w:val="20"/>
          <w:szCs w:val="20"/>
        </w:rPr>
        <w:t>, RDW with</w:t>
      </w:r>
      <w:r w:rsidRPr="00B01F9E">
        <w:rPr>
          <w:rStyle w:val="normaltextrun"/>
          <w:rFonts w:ascii="Arial" w:hAnsi="Arial" w:cs="Arial"/>
          <w:sz w:val="20"/>
          <w:szCs w:val="20"/>
        </w:rPr>
        <w:t>), red cell distribution width (RDW) with an automated differential containing the percent neutrophil, lymphocyte, monocyte, eosinophil, and basophils, as well as the absolute count of neutrophils, lymphocytes, monocytes,</w:t>
      </w:r>
      <w:r w:rsidR="00CC6C11" w:rsidRPr="00B01F9E">
        <w:rPr>
          <w:rFonts w:ascii="Arial" w:hAnsi="Arial" w:cs="Arial"/>
          <w:sz w:val="20"/>
          <w:szCs w:val="20"/>
        </w:rPr>
        <w:t> eosinophils</w:t>
      </w:r>
      <w:r w:rsidRPr="00B01F9E">
        <w:rPr>
          <w:rStyle w:val="normaltextrun"/>
          <w:rFonts w:ascii="Arial" w:hAnsi="Arial" w:cs="Arial"/>
          <w:sz w:val="20"/>
          <w:szCs w:val="20"/>
        </w:rPr>
        <w:t>,</w:t>
      </w:r>
      <w:r w:rsidR="00CC6C11" w:rsidRPr="00B01F9E">
        <w:rPr>
          <w:rFonts w:ascii="Arial" w:hAnsi="Arial" w:cs="Arial"/>
          <w:sz w:val="20"/>
          <w:szCs w:val="20"/>
        </w:rPr>
        <w:t> and</w:t>
      </w:r>
      <w:r w:rsidRPr="00B01F9E">
        <w:rPr>
          <w:rStyle w:val="normaltextrun"/>
          <w:rFonts w:ascii="Arial" w:hAnsi="Arial" w:cs="Arial"/>
          <w:sz w:val="20"/>
          <w:szCs w:val="20"/>
        </w:rPr>
        <w:t xml:space="preserve"> basophils. The RBC and platelet counts are derived using the direct current (DC) sheath flow detection method. The HGB is derived using the cyanide-free sodium lauryl sulphate method and Sysmex </w:t>
      </w:r>
      <w:proofErr w:type="spellStart"/>
      <w:r w:rsidRPr="00B01F9E">
        <w:rPr>
          <w:rStyle w:val="normaltextrun"/>
          <w:rFonts w:ascii="Arial" w:hAnsi="Arial" w:cs="Arial"/>
          <w:sz w:val="20"/>
          <w:szCs w:val="20"/>
        </w:rPr>
        <w:t>Sulfolyzer</w:t>
      </w:r>
      <w:proofErr w:type="spellEnd"/>
      <w:r w:rsidRPr="00B01F9E">
        <w:rPr>
          <w:rFonts w:ascii="Arial" w:hAnsi="Arial" w:cs="Arial"/>
          <w:sz w:val="20"/>
          <w:szCs w:val="20"/>
        </w:rPr>
        <w:t>™</w:t>
      </w:r>
      <w:r w:rsidRPr="00B01F9E">
        <w:rPr>
          <w:rStyle w:val="normaltextrun"/>
          <w:rFonts w:ascii="Arial" w:hAnsi="Arial" w:cs="Arial"/>
          <w:sz w:val="20"/>
          <w:szCs w:val="20"/>
        </w:rPr>
        <w:t xml:space="preserve"> reagent kit. HCT and MCV are direct measurements on the Sysmex. The MCV is an average of all RBC size measurements collected in the impedance counter. The HCT is the sum of all the RBC size measurements and reported in proportion to the total volume of the analysis sample. Red cell distribution width is reported on the Sysmex as both standard deviation from the mean red cell size (RDW-SD) and as coefficient of variation from the mean (RDW-CV). The red blood cell indices – MCH and MCHC – are calculated values. The WBC and automated differential are derived using fluorescence flow cytometric analysis and the Sysmex </w:t>
      </w:r>
      <w:proofErr w:type="spellStart"/>
      <w:r w:rsidRPr="00B01F9E">
        <w:rPr>
          <w:rStyle w:val="normaltextrun"/>
          <w:rFonts w:ascii="Arial" w:hAnsi="Arial" w:cs="Arial"/>
          <w:sz w:val="20"/>
          <w:szCs w:val="20"/>
        </w:rPr>
        <w:t>Fluorocell</w:t>
      </w:r>
      <w:proofErr w:type="spellEnd"/>
      <w:r w:rsidRPr="00B01F9E">
        <w:rPr>
          <w:rStyle w:val="normaltextrun"/>
          <w:rFonts w:ascii="Arial" w:hAnsi="Arial" w:cs="Arial"/>
          <w:sz w:val="20"/>
          <w:szCs w:val="20"/>
        </w:rPr>
        <w:t xml:space="preserve"> WNR</w:t>
      </w:r>
      <w:r w:rsidRPr="00B01F9E">
        <w:rPr>
          <w:rFonts w:ascii="Arial" w:hAnsi="Arial" w:cs="Arial"/>
          <w:sz w:val="20"/>
          <w:szCs w:val="20"/>
        </w:rPr>
        <w:t>™</w:t>
      </w:r>
      <w:r w:rsidRPr="00B01F9E">
        <w:rPr>
          <w:rStyle w:val="normaltextrun"/>
          <w:rFonts w:ascii="Arial" w:hAnsi="Arial" w:cs="Arial"/>
          <w:sz w:val="20"/>
          <w:szCs w:val="20"/>
        </w:rPr>
        <w:t xml:space="preserve"> reagent. The results are reported as numerical results with reference ranges determined by the performing laboratory for their local patient population. For this patient, the results were:</w:t>
      </w:r>
      <w:r w:rsidRPr="00B01F9E">
        <w:rPr>
          <w:rStyle w:val="eop"/>
          <w:rFonts w:ascii="Arial" w:hAnsi="Arial" w:cs="Arial"/>
          <w:sz w:val="20"/>
          <w:szCs w:val="20"/>
        </w:rPr>
        <w:t> </w:t>
      </w:r>
    </w:p>
    <w:p w14:paraId="5F1736E1" w14:textId="77777777" w:rsidR="00A8659F" w:rsidRPr="00B01F9E" w:rsidRDefault="00A8659F">
      <w:pPr>
        <w:rPr>
          <w:rFonts w:ascii="Arial" w:eastAsia="Times New Roman" w:hAnsi="Arial" w:cs="Arial"/>
          <w:b/>
          <w:color w:val="009BBF"/>
          <w:sz w:val="20"/>
          <w:szCs w:val="20"/>
        </w:rPr>
      </w:pPr>
      <w:r w:rsidRPr="00B01F9E">
        <w:rPr>
          <w:rFonts w:ascii="Arial" w:hAnsi="Arial" w:cs="Arial"/>
          <w:b/>
          <w:color w:val="009BBF"/>
          <w:sz w:val="20"/>
          <w:szCs w:val="20"/>
        </w:rPr>
        <w:br w:type="page"/>
      </w:r>
    </w:p>
    <w:p w14:paraId="4EC06C29" w14:textId="1DC9BAFD" w:rsidR="00EC43A7" w:rsidRPr="00B01F9E" w:rsidRDefault="00EC43A7" w:rsidP="00CE4600">
      <w:pPr>
        <w:pStyle w:val="paragraph"/>
        <w:spacing w:before="0" w:beforeAutospacing="0" w:after="0" w:afterAutospacing="0"/>
        <w:textAlignment w:val="baseline"/>
        <w:rPr>
          <w:rStyle w:val="eop"/>
          <w:rFonts w:ascii="Arial" w:hAnsi="Arial" w:cs="Arial"/>
          <w:color w:val="009BBF"/>
          <w:sz w:val="20"/>
          <w:szCs w:val="20"/>
        </w:rPr>
      </w:pPr>
      <w:r w:rsidRPr="00B01F9E">
        <w:rPr>
          <w:rFonts w:ascii="Arial" w:hAnsi="Arial" w:cs="Arial"/>
          <w:b/>
          <w:color w:val="009BBF"/>
          <w:sz w:val="20"/>
          <w:szCs w:val="20"/>
        </w:rPr>
        <w:lastRenderedPageBreak/>
        <w:t xml:space="preserve">Table </w:t>
      </w:r>
      <w:r w:rsidR="00EC108D" w:rsidRPr="00B01F9E">
        <w:rPr>
          <w:rFonts w:ascii="Arial" w:hAnsi="Arial" w:cs="Arial"/>
          <w:b/>
          <w:color w:val="009BBF"/>
          <w:sz w:val="20"/>
          <w:szCs w:val="20"/>
        </w:rPr>
        <w:t>2</w:t>
      </w:r>
      <w:r w:rsidR="00FF6AE3" w:rsidRPr="00B01F9E">
        <w:rPr>
          <w:rFonts w:ascii="Arial" w:hAnsi="Arial" w:cs="Arial"/>
          <w:b/>
          <w:color w:val="009BBF"/>
          <w:sz w:val="20"/>
          <w:szCs w:val="20"/>
        </w:rPr>
        <w:t>1</w:t>
      </w:r>
      <w:r w:rsidRPr="00B01F9E">
        <w:rPr>
          <w:rFonts w:ascii="Arial" w:hAnsi="Arial" w:cs="Arial"/>
          <w:b/>
          <w:color w:val="009BBF"/>
          <w:sz w:val="20"/>
          <w:szCs w:val="20"/>
        </w:rPr>
        <w:t>: Complete Blood Count Results</w:t>
      </w:r>
    </w:p>
    <w:tbl>
      <w:tblPr>
        <w:tblStyle w:val="TableGrid"/>
        <w:tblW w:w="0" w:type="auto"/>
        <w:tblLook w:val="04A0" w:firstRow="1" w:lastRow="0" w:firstColumn="1" w:lastColumn="0" w:noHBand="0" w:noVBand="1"/>
      </w:tblPr>
      <w:tblGrid>
        <w:gridCol w:w="1705"/>
        <w:gridCol w:w="2070"/>
        <w:gridCol w:w="2610"/>
      </w:tblGrid>
      <w:tr w:rsidR="00EC43A7" w:rsidRPr="00B01F9E" w14:paraId="67552425" w14:textId="77777777" w:rsidTr="00DB373C">
        <w:tc>
          <w:tcPr>
            <w:tcW w:w="1705" w:type="dxa"/>
            <w:shd w:val="clear" w:color="auto" w:fill="C3C6C8" w:themeFill="background1"/>
          </w:tcPr>
          <w:p w14:paraId="4702479F" w14:textId="77777777" w:rsidR="00EC43A7" w:rsidRPr="00B01F9E" w:rsidRDefault="00EC43A7" w:rsidP="00DB373C">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Component</w:t>
            </w:r>
          </w:p>
        </w:tc>
        <w:tc>
          <w:tcPr>
            <w:tcW w:w="2070" w:type="dxa"/>
            <w:shd w:val="clear" w:color="auto" w:fill="C3C6C8" w:themeFill="background1"/>
          </w:tcPr>
          <w:p w14:paraId="3D8279BA" w14:textId="77777777" w:rsidR="00EC43A7" w:rsidRPr="00B01F9E" w:rsidRDefault="00EC43A7" w:rsidP="00DB373C">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Result</w:t>
            </w:r>
          </w:p>
        </w:tc>
        <w:tc>
          <w:tcPr>
            <w:tcW w:w="2610" w:type="dxa"/>
            <w:shd w:val="clear" w:color="auto" w:fill="C3C6C8" w:themeFill="background1"/>
          </w:tcPr>
          <w:p w14:paraId="51849BAD" w14:textId="77777777" w:rsidR="00EC43A7" w:rsidRPr="00B01F9E" w:rsidRDefault="00EC43A7" w:rsidP="00DB373C">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 xml:space="preserve">Reference Range </w:t>
            </w:r>
          </w:p>
        </w:tc>
      </w:tr>
      <w:tr w:rsidR="00EC43A7" w:rsidRPr="00B01F9E" w14:paraId="45C7319A" w14:textId="77777777" w:rsidTr="00DB373C">
        <w:tc>
          <w:tcPr>
            <w:tcW w:w="1705" w:type="dxa"/>
          </w:tcPr>
          <w:p w14:paraId="485899A6"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WBC</w:t>
            </w:r>
          </w:p>
        </w:tc>
        <w:tc>
          <w:tcPr>
            <w:tcW w:w="2070" w:type="dxa"/>
          </w:tcPr>
          <w:p w14:paraId="0A0B58F7"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3.5 k/mm3</w:t>
            </w:r>
            <w:r w:rsidRPr="00B01F9E">
              <w:rPr>
                <w:rStyle w:val="eop"/>
                <w:rFonts w:ascii="Arial" w:hAnsi="Arial" w:cs="Arial"/>
                <w:sz w:val="20"/>
                <w:szCs w:val="20"/>
              </w:rPr>
              <w:t> </w:t>
            </w:r>
          </w:p>
        </w:tc>
        <w:tc>
          <w:tcPr>
            <w:tcW w:w="2610" w:type="dxa"/>
          </w:tcPr>
          <w:p w14:paraId="70609F2B"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4.5-11.0</w:t>
            </w:r>
          </w:p>
        </w:tc>
      </w:tr>
      <w:tr w:rsidR="00EC43A7" w:rsidRPr="00B01F9E" w14:paraId="6D132717" w14:textId="77777777" w:rsidTr="00DB373C">
        <w:tc>
          <w:tcPr>
            <w:tcW w:w="1705" w:type="dxa"/>
          </w:tcPr>
          <w:p w14:paraId="05C6B9E4"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RBC</w:t>
            </w:r>
          </w:p>
        </w:tc>
        <w:tc>
          <w:tcPr>
            <w:tcW w:w="2070" w:type="dxa"/>
          </w:tcPr>
          <w:p w14:paraId="33D6043F"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2.67 M/mm3</w:t>
            </w:r>
            <w:r w:rsidRPr="00B01F9E">
              <w:rPr>
                <w:rStyle w:val="eop"/>
                <w:rFonts w:ascii="Arial" w:hAnsi="Arial" w:cs="Arial"/>
                <w:sz w:val="20"/>
                <w:szCs w:val="20"/>
              </w:rPr>
              <w:t> </w:t>
            </w:r>
          </w:p>
        </w:tc>
        <w:tc>
          <w:tcPr>
            <w:tcW w:w="2610" w:type="dxa"/>
          </w:tcPr>
          <w:p w14:paraId="346DA301"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4.5-5.9</w:t>
            </w:r>
          </w:p>
        </w:tc>
      </w:tr>
      <w:tr w:rsidR="00EC43A7" w:rsidRPr="00B01F9E" w14:paraId="25EBD5B6" w14:textId="77777777" w:rsidTr="00DB373C">
        <w:tc>
          <w:tcPr>
            <w:tcW w:w="1705" w:type="dxa"/>
          </w:tcPr>
          <w:p w14:paraId="12CF935F"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HGB</w:t>
            </w:r>
          </w:p>
        </w:tc>
        <w:tc>
          <w:tcPr>
            <w:tcW w:w="2070" w:type="dxa"/>
          </w:tcPr>
          <w:p w14:paraId="40555A49"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7.7 g/dl</w:t>
            </w:r>
            <w:r w:rsidRPr="00B01F9E">
              <w:rPr>
                <w:rStyle w:val="eop"/>
                <w:rFonts w:ascii="Arial" w:hAnsi="Arial" w:cs="Arial"/>
                <w:sz w:val="20"/>
                <w:szCs w:val="20"/>
              </w:rPr>
              <w:t> </w:t>
            </w:r>
          </w:p>
        </w:tc>
        <w:tc>
          <w:tcPr>
            <w:tcW w:w="2610" w:type="dxa"/>
          </w:tcPr>
          <w:p w14:paraId="257573E5"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13.2-17.0</w:t>
            </w:r>
          </w:p>
        </w:tc>
      </w:tr>
      <w:tr w:rsidR="00EC43A7" w:rsidRPr="00B01F9E" w14:paraId="3FD81DC0" w14:textId="77777777" w:rsidTr="00DB373C">
        <w:tc>
          <w:tcPr>
            <w:tcW w:w="1705" w:type="dxa"/>
          </w:tcPr>
          <w:p w14:paraId="63725F76"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HCT</w:t>
            </w:r>
          </w:p>
        </w:tc>
        <w:tc>
          <w:tcPr>
            <w:tcW w:w="2070" w:type="dxa"/>
          </w:tcPr>
          <w:p w14:paraId="35C5227C"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23.4%</w:t>
            </w:r>
            <w:r w:rsidRPr="00B01F9E">
              <w:rPr>
                <w:rStyle w:val="eop"/>
                <w:rFonts w:ascii="Arial" w:hAnsi="Arial" w:cs="Arial"/>
                <w:sz w:val="20"/>
                <w:szCs w:val="20"/>
              </w:rPr>
              <w:t> </w:t>
            </w:r>
          </w:p>
        </w:tc>
        <w:tc>
          <w:tcPr>
            <w:tcW w:w="2610" w:type="dxa"/>
          </w:tcPr>
          <w:p w14:paraId="66C8C91C"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40.0-51.0</w:t>
            </w:r>
          </w:p>
        </w:tc>
      </w:tr>
      <w:tr w:rsidR="00EC43A7" w:rsidRPr="00B01F9E" w14:paraId="7F416C06" w14:textId="77777777" w:rsidTr="00DB373C">
        <w:tc>
          <w:tcPr>
            <w:tcW w:w="1705" w:type="dxa"/>
          </w:tcPr>
          <w:p w14:paraId="60FA1BC6"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MCV</w:t>
            </w:r>
          </w:p>
        </w:tc>
        <w:tc>
          <w:tcPr>
            <w:tcW w:w="2070" w:type="dxa"/>
          </w:tcPr>
          <w:p w14:paraId="760870A4"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87.6 </w:t>
            </w:r>
            <w:proofErr w:type="spellStart"/>
            <w:r w:rsidRPr="00B01F9E">
              <w:rPr>
                <w:rStyle w:val="normaltextrun"/>
                <w:rFonts w:ascii="Arial" w:hAnsi="Arial" w:cs="Arial"/>
                <w:sz w:val="20"/>
                <w:szCs w:val="20"/>
              </w:rPr>
              <w:t>fL</w:t>
            </w:r>
            <w:proofErr w:type="spellEnd"/>
            <w:r w:rsidRPr="00B01F9E">
              <w:rPr>
                <w:rStyle w:val="eop"/>
                <w:rFonts w:ascii="Arial" w:hAnsi="Arial" w:cs="Arial"/>
                <w:sz w:val="20"/>
                <w:szCs w:val="20"/>
              </w:rPr>
              <w:t> </w:t>
            </w:r>
          </w:p>
        </w:tc>
        <w:tc>
          <w:tcPr>
            <w:tcW w:w="2610" w:type="dxa"/>
          </w:tcPr>
          <w:p w14:paraId="3CD62B21"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76.0-92.5</w:t>
            </w:r>
          </w:p>
        </w:tc>
      </w:tr>
      <w:tr w:rsidR="00EC43A7" w:rsidRPr="00B01F9E" w14:paraId="41D21B76" w14:textId="77777777" w:rsidTr="00DB373C">
        <w:tc>
          <w:tcPr>
            <w:tcW w:w="1705" w:type="dxa"/>
          </w:tcPr>
          <w:p w14:paraId="0BDA169F"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MCH</w:t>
            </w:r>
          </w:p>
        </w:tc>
        <w:tc>
          <w:tcPr>
            <w:tcW w:w="2070" w:type="dxa"/>
          </w:tcPr>
          <w:p w14:paraId="48A28FBA"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28.8 </w:t>
            </w:r>
            <w:proofErr w:type="spellStart"/>
            <w:r w:rsidRPr="00B01F9E">
              <w:rPr>
                <w:rStyle w:val="normaltextrun"/>
                <w:rFonts w:ascii="Arial" w:hAnsi="Arial" w:cs="Arial"/>
                <w:sz w:val="20"/>
                <w:szCs w:val="20"/>
              </w:rPr>
              <w:t>pg</w:t>
            </w:r>
            <w:proofErr w:type="spellEnd"/>
            <w:r w:rsidRPr="00B01F9E">
              <w:rPr>
                <w:rStyle w:val="eop"/>
                <w:rFonts w:ascii="Arial" w:hAnsi="Arial" w:cs="Arial"/>
                <w:sz w:val="20"/>
                <w:szCs w:val="20"/>
              </w:rPr>
              <w:t> </w:t>
            </w:r>
          </w:p>
        </w:tc>
        <w:tc>
          <w:tcPr>
            <w:tcW w:w="2610" w:type="dxa"/>
          </w:tcPr>
          <w:p w14:paraId="1F70B4BB"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26.0-34.0</w:t>
            </w:r>
          </w:p>
        </w:tc>
      </w:tr>
      <w:tr w:rsidR="00EC43A7" w:rsidRPr="00B01F9E" w14:paraId="73FDB0F9" w14:textId="77777777" w:rsidTr="00DB373C">
        <w:tc>
          <w:tcPr>
            <w:tcW w:w="1705" w:type="dxa"/>
          </w:tcPr>
          <w:p w14:paraId="34745A2E"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MCHC</w:t>
            </w:r>
          </w:p>
        </w:tc>
        <w:tc>
          <w:tcPr>
            <w:tcW w:w="2070" w:type="dxa"/>
          </w:tcPr>
          <w:p w14:paraId="6EB46828"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32.9 g/dL</w:t>
            </w:r>
            <w:r w:rsidRPr="00B01F9E">
              <w:rPr>
                <w:rStyle w:val="eop"/>
                <w:rFonts w:ascii="Arial" w:hAnsi="Arial" w:cs="Arial"/>
                <w:sz w:val="20"/>
                <w:szCs w:val="20"/>
              </w:rPr>
              <w:t> </w:t>
            </w:r>
          </w:p>
        </w:tc>
        <w:tc>
          <w:tcPr>
            <w:tcW w:w="2610" w:type="dxa"/>
          </w:tcPr>
          <w:p w14:paraId="1A0CB162"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33.0-37.0</w:t>
            </w:r>
          </w:p>
        </w:tc>
      </w:tr>
      <w:tr w:rsidR="00EC43A7" w:rsidRPr="00B01F9E" w14:paraId="7CE0073B" w14:textId="77777777" w:rsidTr="00DB373C">
        <w:tc>
          <w:tcPr>
            <w:tcW w:w="1705" w:type="dxa"/>
          </w:tcPr>
          <w:p w14:paraId="667B3F62"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RDW</w:t>
            </w:r>
          </w:p>
        </w:tc>
        <w:tc>
          <w:tcPr>
            <w:tcW w:w="2070" w:type="dxa"/>
          </w:tcPr>
          <w:p w14:paraId="213B876B"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13.6%</w:t>
            </w:r>
            <w:r w:rsidRPr="00B01F9E">
              <w:rPr>
                <w:rStyle w:val="eop"/>
                <w:rFonts w:ascii="Arial" w:hAnsi="Arial" w:cs="Arial"/>
                <w:sz w:val="20"/>
                <w:szCs w:val="20"/>
              </w:rPr>
              <w:t> </w:t>
            </w:r>
          </w:p>
        </w:tc>
        <w:tc>
          <w:tcPr>
            <w:tcW w:w="2610" w:type="dxa"/>
          </w:tcPr>
          <w:p w14:paraId="03C6CE2B"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11.5-15.0</w:t>
            </w:r>
          </w:p>
        </w:tc>
      </w:tr>
      <w:tr w:rsidR="00EC43A7" w:rsidRPr="00B01F9E" w14:paraId="2A9FA6E3" w14:textId="77777777" w:rsidTr="00DB373C">
        <w:tc>
          <w:tcPr>
            <w:tcW w:w="1705" w:type="dxa"/>
          </w:tcPr>
          <w:p w14:paraId="39826ACE"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PLT</w:t>
            </w:r>
          </w:p>
        </w:tc>
        <w:tc>
          <w:tcPr>
            <w:tcW w:w="2070" w:type="dxa"/>
          </w:tcPr>
          <w:p w14:paraId="5B482ACA"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350 k/mm3</w:t>
            </w:r>
            <w:r w:rsidRPr="00B01F9E">
              <w:rPr>
                <w:rStyle w:val="eop"/>
                <w:rFonts w:ascii="Arial" w:hAnsi="Arial" w:cs="Arial"/>
                <w:sz w:val="20"/>
                <w:szCs w:val="20"/>
              </w:rPr>
              <w:t> </w:t>
            </w:r>
          </w:p>
        </w:tc>
        <w:tc>
          <w:tcPr>
            <w:tcW w:w="2610" w:type="dxa"/>
          </w:tcPr>
          <w:p w14:paraId="7A9E6BEF"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150-450</w:t>
            </w:r>
          </w:p>
        </w:tc>
      </w:tr>
      <w:tr w:rsidR="00EC43A7" w:rsidRPr="00B01F9E" w14:paraId="338B8299" w14:textId="77777777" w:rsidTr="00DB373C">
        <w:tc>
          <w:tcPr>
            <w:tcW w:w="1705" w:type="dxa"/>
          </w:tcPr>
          <w:p w14:paraId="49D21E11"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MPV</w:t>
            </w:r>
          </w:p>
        </w:tc>
        <w:tc>
          <w:tcPr>
            <w:tcW w:w="2070" w:type="dxa"/>
          </w:tcPr>
          <w:p w14:paraId="1CD85695"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 xml:space="preserve">10.0 </w:t>
            </w:r>
            <w:proofErr w:type="spellStart"/>
            <w:r w:rsidRPr="00B01F9E">
              <w:rPr>
                <w:rStyle w:val="normaltextrun"/>
                <w:rFonts w:ascii="Arial" w:hAnsi="Arial" w:cs="Arial"/>
                <w:sz w:val="20"/>
                <w:szCs w:val="20"/>
              </w:rPr>
              <w:t>fL</w:t>
            </w:r>
            <w:proofErr w:type="spellEnd"/>
            <w:r w:rsidRPr="00B01F9E">
              <w:rPr>
                <w:rStyle w:val="eop"/>
                <w:rFonts w:ascii="Arial" w:hAnsi="Arial" w:cs="Arial"/>
                <w:sz w:val="20"/>
                <w:szCs w:val="20"/>
              </w:rPr>
              <w:t> </w:t>
            </w:r>
          </w:p>
        </w:tc>
        <w:tc>
          <w:tcPr>
            <w:tcW w:w="2610" w:type="dxa"/>
          </w:tcPr>
          <w:p w14:paraId="327E54E4" w14:textId="77777777" w:rsidR="00EC43A7" w:rsidRPr="00B01F9E" w:rsidRDefault="00EC43A7" w:rsidP="00DB373C">
            <w:pPr>
              <w:pStyle w:val="paragraph"/>
              <w:spacing w:before="0" w:beforeAutospacing="0" w:after="0" w:afterAutospacing="0"/>
              <w:textAlignment w:val="baseline"/>
              <w:rPr>
                <w:rFonts w:ascii="Arial" w:hAnsi="Arial" w:cs="Arial"/>
                <w:sz w:val="20"/>
                <w:szCs w:val="20"/>
              </w:rPr>
            </w:pPr>
            <w:r w:rsidRPr="00B01F9E">
              <w:rPr>
                <w:rFonts w:ascii="Arial" w:hAnsi="Arial" w:cs="Arial"/>
                <w:sz w:val="20"/>
                <w:szCs w:val="20"/>
              </w:rPr>
              <w:t>9.6-11.8</w:t>
            </w:r>
          </w:p>
        </w:tc>
      </w:tr>
    </w:tbl>
    <w:p w14:paraId="3C9698FE" w14:textId="2987F784" w:rsidR="00EC43A7" w:rsidRPr="00B01F9E" w:rsidRDefault="00EC43A7" w:rsidP="00CE4600">
      <w:pPr>
        <w:pStyle w:val="paragraph"/>
        <w:spacing w:before="120" w:beforeAutospacing="0" w:after="0" w:afterAutospacing="0"/>
        <w:textAlignment w:val="baseline"/>
        <w:rPr>
          <w:rFonts w:ascii="Arial" w:hAnsi="Arial" w:cs="Arial"/>
          <w:color w:val="009BBF"/>
          <w:sz w:val="20"/>
          <w:szCs w:val="20"/>
        </w:rPr>
      </w:pPr>
      <w:r w:rsidRPr="00B01F9E">
        <w:rPr>
          <w:rFonts w:ascii="Arial" w:hAnsi="Arial" w:cs="Arial"/>
          <w:b/>
          <w:color w:val="009BBF"/>
          <w:sz w:val="20"/>
          <w:szCs w:val="20"/>
        </w:rPr>
        <w:t xml:space="preserve">Table </w:t>
      </w:r>
      <w:r w:rsidR="00D11F78" w:rsidRPr="00B01F9E">
        <w:rPr>
          <w:rFonts w:ascii="Arial" w:hAnsi="Arial" w:cs="Arial"/>
          <w:b/>
          <w:color w:val="009BBF"/>
          <w:sz w:val="20"/>
          <w:szCs w:val="20"/>
        </w:rPr>
        <w:t>2</w:t>
      </w:r>
      <w:r w:rsidR="00FF6AE3" w:rsidRPr="00B01F9E">
        <w:rPr>
          <w:rFonts w:ascii="Arial" w:hAnsi="Arial" w:cs="Arial"/>
          <w:b/>
          <w:color w:val="009BBF"/>
          <w:sz w:val="20"/>
          <w:szCs w:val="20"/>
        </w:rPr>
        <w:t>2</w:t>
      </w:r>
      <w:r w:rsidRPr="00B01F9E">
        <w:rPr>
          <w:rFonts w:ascii="Arial" w:hAnsi="Arial" w:cs="Arial"/>
          <w:b/>
          <w:color w:val="009BBF"/>
          <w:sz w:val="20"/>
          <w:szCs w:val="20"/>
        </w:rPr>
        <w:t>: Peripheral Blood Differential Count</w:t>
      </w:r>
    </w:p>
    <w:tbl>
      <w:tblPr>
        <w:tblStyle w:val="TableGrid"/>
        <w:tblW w:w="0" w:type="auto"/>
        <w:tblLook w:val="04A0" w:firstRow="1" w:lastRow="0" w:firstColumn="1" w:lastColumn="0" w:noHBand="0" w:noVBand="1"/>
      </w:tblPr>
      <w:tblGrid>
        <w:gridCol w:w="1705"/>
        <w:gridCol w:w="2070"/>
        <w:gridCol w:w="2610"/>
      </w:tblGrid>
      <w:tr w:rsidR="00EC43A7" w:rsidRPr="00B01F9E" w14:paraId="66CA442C" w14:textId="77777777" w:rsidTr="00DB373C">
        <w:tc>
          <w:tcPr>
            <w:tcW w:w="1705" w:type="dxa"/>
            <w:shd w:val="clear" w:color="auto" w:fill="C3C6C8" w:themeFill="background1"/>
          </w:tcPr>
          <w:p w14:paraId="78781E83"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Component</w:t>
            </w:r>
          </w:p>
        </w:tc>
        <w:tc>
          <w:tcPr>
            <w:tcW w:w="2070" w:type="dxa"/>
            <w:shd w:val="clear" w:color="auto" w:fill="C3C6C8" w:themeFill="background1"/>
          </w:tcPr>
          <w:p w14:paraId="33378A6A"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 xml:space="preserve">Result </w:t>
            </w:r>
          </w:p>
        </w:tc>
        <w:tc>
          <w:tcPr>
            <w:tcW w:w="2610" w:type="dxa"/>
            <w:shd w:val="clear" w:color="auto" w:fill="C3C6C8" w:themeFill="background1"/>
          </w:tcPr>
          <w:p w14:paraId="74C5E40A"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Reference Range</w:t>
            </w:r>
          </w:p>
        </w:tc>
      </w:tr>
      <w:tr w:rsidR="00EC43A7" w:rsidRPr="00B01F9E" w14:paraId="064C6670" w14:textId="77777777" w:rsidTr="00DB373C">
        <w:tc>
          <w:tcPr>
            <w:tcW w:w="1705" w:type="dxa"/>
          </w:tcPr>
          <w:p w14:paraId="78A64597"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Band Forms and Segmented Neutrophils</w:t>
            </w:r>
            <w:r w:rsidRPr="00B01F9E">
              <w:rPr>
                <w:rStyle w:val="eop"/>
                <w:rFonts w:ascii="Arial" w:hAnsi="Arial" w:cs="Arial"/>
                <w:sz w:val="20"/>
                <w:szCs w:val="20"/>
              </w:rPr>
              <w:t> </w:t>
            </w:r>
          </w:p>
        </w:tc>
        <w:tc>
          <w:tcPr>
            <w:tcW w:w="2070" w:type="dxa"/>
          </w:tcPr>
          <w:p w14:paraId="1DC8AA7E"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61.7 %</w:t>
            </w:r>
          </w:p>
        </w:tc>
        <w:tc>
          <w:tcPr>
            <w:tcW w:w="2610" w:type="dxa"/>
          </w:tcPr>
          <w:p w14:paraId="36416855"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36.0-66.0</w:t>
            </w:r>
          </w:p>
        </w:tc>
      </w:tr>
      <w:tr w:rsidR="00EC43A7" w:rsidRPr="00B01F9E" w14:paraId="1C8051ED" w14:textId="77777777" w:rsidTr="00DB373C">
        <w:tc>
          <w:tcPr>
            <w:tcW w:w="1705" w:type="dxa"/>
          </w:tcPr>
          <w:p w14:paraId="3C029D32"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Lymphocytes</w:t>
            </w:r>
          </w:p>
        </w:tc>
        <w:tc>
          <w:tcPr>
            <w:tcW w:w="2070" w:type="dxa"/>
          </w:tcPr>
          <w:p w14:paraId="4B555E15"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30.3%</w:t>
            </w:r>
          </w:p>
        </w:tc>
        <w:tc>
          <w:tcPr>
            <w:tcW w:w="2610" w:type="dxa"/>
          </w:tcPr>
          <w:p w14:paraId="25071A15"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24.0-44.0</w:t>
            </w:r>
          </w:p>
        </w:tc>
      </w:tr>
      <w:tr w:rsidR="00EC43A7" w:rsidRPr="00B01F9E" w14:paraId="57562252" w14:textId="77777777" w:rsidTr="00DB373C">
        <w:tc>
          <w:tcPr>
            <w:tcW w:w="1705" w:type="dxa"/>
          </w:tcPr>
          <w:p w14:paraId="01D3B0B7"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Monocytes</w:t>
            </w:r>
          </w:p>
        </w:tc>
        <w:tc>
          <w:tcPr>
            <w:tcW w:w="2070" w:type="dxa"/>
          </w:tcPr>
          <w:p w14:paraId="312F1820"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8.0%</w:t>
            </w:r>
          </w:p>
        </w:tc>
        <w:tc>
          <w:tcPr>
            <w:tcW w:w="2610" w:type="dxa"/>
          </w:tcPr>
          <w:p w14:paraId="76BD4D94"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0.0-10.0</w:t>
            </w:r>
          </w:p>
        </w:tc>
      </w:tr>
    </w:tbl>
    <w:p w14:paraId="1E6F91DC" w14:textId="48C0AAAB" w:rsidR="00EC43A7" w:rsidRPr="00B01F9E" w:rsidRDefault="00EC43A7" w:rsidP="00955B5A">
      <w:pPr>
        <w:spacing w:before="120" w:after="120"/>
        <w:rPr>
          <w:rFonts w:ascii="Arial" w:hAnsi="Arial" w:cs="Arial"/>
          <w:sz w:val="20"/>
          <w:szCs w:val="20"/>
        </w:rPr>
      </w:pPr>
      <w:r w:rsidRPr="00B01F9E">
        <w:rPr>
          <w:rStyle w:val="normaltextrun"/>
          <w:rFonts w:ascii="Arial" w:hAnsi="Arial" w:cs="Arial"/>
          <w:sz w:val="20"/>
          <w:szCs w:val="20"/>
        </w:rPr>
        <w:t xml:space="preserve">The result is reviewed by the medical laboratory scientist (MLS) and if there </w:t>
      </w:r>
      <w:r w:rsidR="00CC6C11" w:rsidRPr="00B01F9E">
        <w:rPr>
          <w:rFonts w:ascii="Arial" w:hAnsi="Arial" w:cs="Arial"/>
          <w:sz w:val="20"/>
          <w:szCs w:val="20"/>
        </w:rPr>
        <w:t>is no</w:t>
      </w:r>
      <w:r w:rsidRPr="00B01F9E">
        <w:rPr>
          <w:rStyle w:val="normaltextrun"/>
          <w:rFonts w:ascii="Arial" w:hAnsi="Arial" w:cs="Arial"/>
          <w:sz w:val="20"/>
          <w:szCs w:val="20"/>
        </w:rPr>
        <w:t xml:space="preserve"> indication of abnormality, it </w:t>
      </w:r>
      <w:r w:rsidR="00CC6C11" w:rsidRPr="00B01F9E">
        <w:rPr>
          <w:rFonts w:ascii="Arial" w:hAnsi="Arial" w:cs="Arial"/>
          <w:sz w:val="20"/>
          <w:szCs w:val="20"/>
        </w:rPr>
        <w:t>is verified in</w:t>
      </w:r>
      <w:r w:rsidRPr="00B01F9E">
        <w:rPr>
          <w:rStyle w:val="normaltextrun"/>
          <w:rFonts w:ascii="Arial" w:hAnsi="Arial" w:cs="Arial"/>
          <w:sz w:val="20"/>
          <w:szCs w:val="20"/>
        </w:rPr>
        <w:t xml:space="preserve"> the LIS. If there is any indication of suspicious cells, abnormal results, or error messages from the analyzer,</w:t>
      </w:r>
      <w:r w:rsidR="00CC6C11" w:rsidRPr="00B01F9E">
        <w:rPr>
          <w:rFonts w:ascii="Arial" w:hAnsi="Arial" w:cs="Arial"/>
          <w:sz w:val="20"/>
          <w:szCs w:val="20"/>
        </w:rPr>
        <w:t> the</w:t>
      </w:r>
      <w:r w:rsidRPr="00B01F9E">
        <w:rPr>
          <w:rStyle w:val="normaltextrun"/>
          <w:rFonts w:ascii="Arial" w:hAnsi="Arial" w:cs="Arial"/>
          <w:sz w:val="20"/>
          <w:szCs w:val="20"/>
        </w:rPr>
        <w:t xml:space="preserve"> whole blood specimen is then applied to a slide and stained with Wright stain for preparation to perform a manual differential.</w:t>
      </w:r>
      <w:r w:rsidR="00CC6C11" w:rsidRPr="00B01F9E">
        <w:rPr>
          <w:rFonts w:ascii="Arial" w:hAnsi="Arial" w:cs="Arial"/>
          <w:sz w:val="20"/>
          <w:szCs w:val="20"/>
        </w:rPr>
        <w:t> The</w:t>
      </w:r>
      <w:r w:rsidRPr="00B01F9E">
        <w:rPr>
          <w:rStyle w:val="normaltextrun"/>
          <w:rFonts w:ascii="Arial" w:hAnsi="Arial" w:cs="Arial"/>
          <w:sz w:val="20"/>
          <w:szCs w:val="20"/>
        </w:rPr>
        <w:t xml:space="preserve"> MLS performs the manual differential either using light microscopy or with an automated digital hematology analyzer such as </w:t>
      </w:r>
      <w:proofErr w:type="spellStart"/>
      <w:r w:rsidRPr="00B01F9E">
        <w:rPr>
          <w:rStyle w:val="normaltextrun"/>
          <w:rFonts w:ascii="Arial" w:hAnsi="Arial" w:cs="Arial"/>
          <w:sz w:val="20"/>
          <w:szCs w:val="20"/>
        </w:rPr>
        <w:t>CellaVision</w:t>
      </w:r>
      <w:proofErr w:type="spellEnd"/>
      <w:r w:rsidRPr="00B01F9E">
        <w:rPr>
          <w:rFonts w:ascii="Arial" w:hAnsi="Arial" w:cs="Arial"/>
          <w:sz w:val="20"/>
          <w:szCs w:val="20"/>
        </w:rPr>
        <w:t>™</w:t>
      </w:r>
      <w:r w:rsidRPr="00B01F9E">
        <w:rPr>
          <w:rStyle w:val="normaltextrun"/>
          <w:rFonts w:ascii="Arial" w:hAnsi="Arial" w:cs="Arial"/>
          <w:sz w:val="20"/>
          <w:szCs w:val="20"/>
        </w:rPr>
        <w:t xml:space="preserve">. </w:t>
      </w:r>
      <w:proofErr w:type="spellStart"/>
      <w:r w:rsidRPr="00B01F9E">
        <w:rPr>
          <w:rStyle w:val="normaltextrun"/>
          <w:rFonts w:ascii="Arial" w:hAnsi="Arial" w:cs="Arial"/>
          <w:sz w:val="20"/>
          <w:szCs w:val="20"/>
        </w:rPr>
        <w:t>CellaVision</w:t>
      </w:r>
      <w:proofErr w:type="spellEnd"/>
      <w:r w:rsidRPr="00B01F9E">
        <w:rPr>
          <w:rStyle w:val="normaltextrun"/>
          <w:rFonts w:ascii="Arial" w:hAnsi="Arial" w:cs="Arial"/>
          <w:sz w:val="20"/>
          <w:szCs w:val="20"/>
        </w:rPr>
        <w:t xml:space="preserve"> uses light microscopy and a digital camera to capture individual images of white blood cells and uses artificial intelligence software to classify the cells under the appropriate cell type to populate a differential count. The results must be verified by an MLS who is able to reclassify cells as needed to correct any errors by the software program in classifying the cells. The MLS then determines which results (the automated or manual differential count) </w:t>
      </w:r>
      <w:r w:rsidR="00CC6C11" w:rsidRPr="00B01F9E">
        <w:rPr>
          <w:rFonts w:ascii="Arial" w:hAnsi="Arial" w:cs="Arial"/>
          <w:sz w:val="20"/>
          <w:szCs w:val="20"/>
        </w:rPr>
        <w:t>to be entered into the LIS.  </w:t>
      </w:r>
    </w:p>
    <w:p w14:paraId="393B783E" w14:textId="7B47279F"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Blast cells or other indications of extreme abnormality that present on the blood smear </w:t>
      </w:r>
      <w:r w:rsidR="00CC6C11" w:rsidRPr="00B01F9E">
        <w:rPr>
          <w:rFonts w:ascii="Arial" w:hAnsi="Arial" w:cs="Arial"/>
          <w:sz w:val="20"/>
          <w:szCs w:val="20"/>
        </w:rPr>
        <w:t>may require</w:t>
      </w:r>
      <w:r w:rsidRPr="00B01F9E">
        <w:rPr>
          <w:rStyle w:val="normaltextrun"/>
          <w:rFonts w:ascii="Arial" w:hAnsi="Arial" w:cs="Arial"/>
          <w:sz w:val="20"/>
          <w:szCs w:val="20"/>
        </w:rPr>
        <w:t xml:space="preserve"> review </w:t>
      </w:r>
      <w:r w:rsidR="00CC6C11" w:rsidRPr="00B01F9E">
        <w:rPr>
          <w:rFonts w:ascii="Arial" w:hAnsi="Arial" w:cs="Arial"/>
          <w:sz w:val="20"/>
          <w:szCs w:val="20"/>
        </w:rPr>
        <w:t>and interpretation by</w:t>
      </w:r>
      <w:r w:rsidRPr="00B01F9E">
        <w:rPr>
          <w:rStyle w:val="normaltextrun"/>
          <w:rFonts w:ascii="Arial" w:hAnsi="Arial" w:cs="Arial"/>
          <w:sz w:val="20"/>
          <w:szCs w:val="20"/>
        </w:rPr>
        <w:t xml:space="preserve"> a pathologist.</w:t>
      </w:r>
      <w:r w:rsidR="00CC6C11" w:rsidRPr="00B01F9E">
        <w:rPr>
          <w:rFonts w:ascii="Arial" w:hAnsi="Arial" w:cs="Arial"/>
          <w:sz w:val="20"/>
          <w:szCs w:val="20"/>
        </w:rPr>
        <w:t> The</w:t>
      </w:r>
      <w:r w:rsidRPr="00B01F9E">
        <w:rPr>
          <w:rStyle w:val="normaltextrun"/>
          <w:rFonts w:ascii="Arial" w:hAnsi="Arial" w:cs="Arial"/>
          <w:sz w:val="20"/>
          <w:szCs w:val="20"/>
        </w:rPr>
        <w:t xml:space="preserve"> pathologist enters their interpretation of the peripheral blood smear slide as a </w:t>
      </w:r>
      <w:r w:rsidR="00CC6C11" w:rsidRPr="00B01F9E">
        <w:rPr>
          <w:rFonts w:ascii="Arial" w:hAnsi="Arial" w:cs="Arial"/>
          <w:sz w:val="20"/>
          <w:szCs w:val="20"/>
        </w:rPr>
        <w:t>Result Comment.    </w:t>
      </w:r>
      <w:r w:rsidRPr="00B01F9E">
        <w:rPr>
          <w:rStyle w:val="normaltextrun"/>
          <w:rFonts w:ascii="Arial" w:hAnsi="Arial" w:cs="Arial"/>
          <w:sz w:val="20"/>
          <w:szCs w:val="20"/>
        </w:rPr>
        <w:t xml:space="preserve">    </w:t>
      </w:r>
      <w:r w:rsidRPr="00B01F9E">
        <w:rPr>
          <w:rStyle w:val="tabchar"/>
          <w:rFonts w:ascii="Arial" w:hAnsi="Arial" w:cs="Arial"/>
          <w:sz w:val="20"/>
          <w:szCs w:val="20"/>
        </w:rPr>
        <w:tab/>
      </w:r>
      <w:r w:rsidRPr="00B01F9E">
        <w:rPr>
          <w:rStyle w:val="eop"/>
          <w:rFonts w:ascii="Arial" w:hAnsi="Arial" w:cs="Arial"/>
          <w:sz w:val="20"/>
          <w:szCs w:val="20"/>
        </w:rPr>
        <w:t> </w:t>
      </w:r>
    </w:p>
    <w:p w14:paraId="3980BBC4" w14:textId="6B037B46"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The clinician receives the result of the CBC and is concerned by the patient’s moderate anemia and the finding of degmacytes (bite cells) on the peripheral smear and orders tests for haptoglobin, direct antiglobulin test (DAT), Glucose-6-Phosphate Dehydrogenase (G6PD) Enzyme Activity, and hemoglobin electrophoresis.</w:t>
      </w:r>
      <w:r w:rsidRPr="00B01F9E">
        <w:rPr>
          <w:rStyle w:val="eop"/>
          <w:rFonts w:ascii="Arial" w:hAnsi="Arial" w:cs="Arial"/>
          <w:sz w:val="20"/>
          <w:szCs w:val="20"/>
        </w:rPr>
        <w:t> </w:t>
      </w:r>
    </w:p>
    <w:p w14:paraId="35C0E643" w14:textId="77777777"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A new blood sample collected in a lithium heparin test tube must be drawn by the phlebotomist to perform the haptoglobin assay. Haptoglobin is performed on the Abbott </w:t>
      </w:r>
      <w:proofErr w:type="spellStart"/>
      <w:r w:rsidRPr="00B01F9E">
        <w:rPr>
          <w:rStyle w:val="normaltextrun"/>
          <w:rFonts w:ascii="Arial" w:hAnsi="Arial" w:cs="Arial"/>
          <w:sz w:val="20"/>
          <w:szCs w:val="20"/>
        </w:rPr>
        <w:t>Alinity</w:t>
      </w:r>
      <w:proofErr w:type="spellEnd"/>
      <w:r w:rsidRPr="00B01F9E">
        <w:rPr>
          <w:rStyle w:val="normaltextrun"/>
          <w:rFonts w:ascii="Arial" w:hAnsi="Arial" w:cs="Arial"/>
          <w:sz w:val="20"/>
          <w:szCs w:val="20"/>
        </w:rPr>
        <w:t xml:space="preserve"> </w:t>
      </w:r>
      <w:proofErr w:type="spellStart"/>
      <w:r w:rsidRPr="00B01F9E">
        <w:rPr>
          <w:rStyle w:val="normaltextrun"/>
          <w:rFonts w:ascii="Arial" w:hAnsi="Arial" w:cs="Arial"/>
          <w:sz w:val="20"/>
          <w:szCs w:val="20"/>
        </w:rPr>
        <w:t>c</w:t>
      </w:r>
      <w:r w:rsidRPr="00B01F9E">
        <w:rPr>
          <w:rStyle w:val="normaltextrun"/>
          <w:rFonts w:ascii="Arial" w:hAnsi="Arial" w:cs="Arial"/>
          <w:sz w:val="20"/>
          <w:szCs w:val="20"/>
          <w:vertAlign w:val="superscript"/>
        </w:rPr>
        <w:t>TM</w:t>
      </w:r>
      <w:proofErr w:type="spellEnd"/>
      <w:r w:rsidRPr="00B01F9E">
        <w:rPr>
          <w:rStyle w:val="normaltextrun"/>
          <w:rFonts w:ascii="Arial" w:hAnsi="Arial" w:cs="Arial"/>
          <w:sz w:val="20"/>
          <w:szCs w:val="20"/>
        </w:rPr>
        <w:t xml:space="preserve"> instrument using immunoturbidimetry method and the Abbott Haptoglobin Assay</w:t>
      </w:r>
      <w:r w:rsidRPr="00B01F9E">
        <w:rPr>
          <w:rFonts w:ascii="Arial" w:hAnsi="Arial" w:cs="Arial"/>
          <w:sz w:val="20"/>
          <w:szCs w:val="20"/>
        </w:rPr>
        <w:t>™</w:t>
      </w:r>
      <w:r w:rsidRPr="00B01F9E">
        <w:rPr>
          <w:rStyle w:val="normaltextrun"/>
          <w:rFonts w:ascii="Arial" w:hAnsi="Arial" w:cs="Arial"/>
          <w:sz w:val="20"/>
          <w:szCs w:val="20"/>
        </w:rPr>
        <w:t xml:space="preserve"> reagent kit. The result is reported as a numerical value with mg/dL unit of measure and age specific reference range determined by the performing laboratory for their patient population. In this case, the haptoglobin was reduced at 6 mg/dL, indicating hemolysis.</w:t>
      </w:r>
      <w:r w:rsidRPr="00B01F9E">
        <w:rPr>
          <w:rStyle w:val="eop"/>
          <w:rFonts w:ascii="Arial" w:hAnsi="Arial" w:cs="Arial"/>
          <w:sz w:val="20"/>
          <w:szCs w:val="20"/>
        </w:rPr>
        <w:t> </w:t>
      </w:r>
    </w:p>
    <w:p w14:paraId="444E5D6C" w14:textId="77777777"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lastRenderedPageBreak/>
        <w:t>The DAT was able to be performed on the original whole blood in EDTA sample. The DAT was performed using hemagglutination method on the Ortho Vision</w:t>
      </w:r>
      <w:r w:rsidRPr="00B01F9E">
        <w:rPr>
          <w:rFonts w:ascii="Arial" w:hAnsi="Arial" w:cs="Arial"/>
          <w:sz w:val="20"/>
          <w:szCs w:val="20"/>
        </w:rPr>
        <w:t>™</w:t>
      </w:r>
      <w:r w:rsidRPr="00B01F9E">
        <w:rPr>
          <w:rStyle w:val="normaltextrun"/>
          <w:rFonts w:ascii="Arial" w:hAnsi="Arial" w:cs="Arial"/>
          <w:sz w:val="20"/>
          <w:szCs w:val="20"/>
        </w:rPr>
        <w:t xml:space="preserve"> instrument with </w:t>
      </w:r>
      <w:proofErr w:type="spellStart"/>
      <w:r w:rsidRPr="00B01F9E">
        <w:rPr>
          <w:rStyle w:val="normaltextrun"/>
          <w:rFonts w:ascii="Arial" w:hAnsi="Arial" w:cs="Arial"/>
          <w:sz w:val="20"/>
          <w:szCs w:val="20"/>
        </w:rPr>
        <w:t>Polyspecific</w:t>
      </w:r>
      <w:proofErr w:type="spellEnd"/>
      <w:r w:rsidRPr="00B01F9E">
        <w:rPr>
          <w:rStyle w:val="normaltextrun"/>
          <w:rFonts w:ascii="Arial" w:hAnsi="Arial" w:cs="Arial"/>
          <w:sz w:val="20"/>
          <w:szCs w:val="20"/>
        </w:rPr>
        <w:t xml:space="preserve"> Gel Card. The DAT is used to determine if there are IgG and Complement C3d on the patient’s red blood cells that may be inducing hemolysis. This is a qualitative </w:t>
      </w:r>
      <w:proofErr w:type="gramStart"/>
      <w:r w:rsidRPr="00B01F9E">
        <w:rPr>
          <w:rStyle w:val="normaltextrun"/>
          <w:rFonts w:ascii="Arial" w:hAnsi="Arial" w:cs="Arial"/>
          <w:sz w:val="20"/>
          <w:szCs w:val="20"/>
        </w:rPr>
        <w:t>test</w:t>
      </w:r>
      <w:proofErr w:type="gramEnd"/>
      <w:r w:rsidRPr="00B01F9E">
        <w:rPr>
          <w:rStyle w:val="normaltextrun"/>
          <w:rFonts w:ascii="Arial" w:hAnsi="Arial" w:cs="Arial"/>
          <w:sz w:val="20"/>
          <w:szCs w:val="20"/>
        </w:rPr>
        <w:t xml:space="preserve"> and the results are reported as ordinal results with a reference range of negative. In this case, the DAT was positive.</w:t>
      </w:r>
      <w:r w:rsidRPr="00B01F9E">
        <w:rPr>
          <w:rStyle w:val="eop"/>
          <w:rFonts w:ascii="Arial" w:hAnsi="Arial" w:cs="Arial"/>
          <w:sz w:val="20"/>
          <w:szCs w:val="20"/>
        </w:rPr>
        <w:t> </w:t>
      </w:r>
    </w:p>
    <w:p w14:paraId="0B1E0FCC" w14:textId="7F9D2C2E"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The G6PD Enzyme Activity Test also required a new blood sample to be collected from the patient in a yellow top test tube with acid citrate dextrose (ACD) solution B. The G6PD Enzyme Activity Test is performed using kinetic spectrophotometry on the UV-1800 Shimadzu</w:t>
      </w:r>
      <w:r w:rsidRPr="00B01F9E">
        <w:rPr>
          <w:rFonts w:ascii="Arial" w:hAnsi="Arial" w:cs="Arial"/>
          <w:sz w:val="20"/>
          <w:szCs w:val="20"/>
        </w:rPr>
        <w:t>™</w:t>
      </w:r>
      <w:r w:rsidRPr="00B01F9E">
        <w:rPr>
          <w:rStyle w:val="normaltextrun"/>
          <w:rFonts w:ascii="Arial" w:hAnsi="Arial" w:cs="Arial"/>
          <w:sz w:val="20"/>
          <w:szCs w:val="20"/>
        </w:rPr>
        <w:t xml:space="preserve"> (Shimadzu Scientific Instruments) instrument with the Quantitative G6PD kit</w:t>
      </w:r>
      <w:r w:rsidRPr="00B01F9E">
        <w:rPr>
          <w:rFonts w:ascii="Arial" w:hAnsi="Arial" w:cs="Arial"/>
          <w:sz w:val="20"/>
          <w:szCs w:val="20"/>
        </w:rPr>
        <w:t>™</w:t>
      </w:r>
      <w:r w:rsidRPr="00B01F9E">
        <w:rPr>
          <w:rStyle w:val="normaltextrun"/>
          <w:rFonts w:ascii="Arial" w:hAnsi="Arial" w:cs="Arial"/>
          <w:sz w:val="20"/>
          <w:szCs w:val="20"/>
        </w:rPr>
        <w:t xml:space="preserve"> (Trinity Biotech). The G6PD Enzyme Activity Test is used to identify patients who may have glucose-6-phosphate dehydrogenase deficiency as cause of hemolysis. Patients should not be tested during hemolytic episodes as "false-negative" results may occur because the most severely deficient red cells have already been removed from the circulation via hemolysis. The patients should be tested approximately six months after a hemolytic episode for the results to be valid. The results are reported as numerical values with units/trillion RBCs unit of measure and age specific reference range. </w:t>
      </w:r>
    </w:p>
    <w:p w14:paraId="07F17A4C" w14:textId="2D1629D7" w:rsidR="00B90822" w:rsidRPr="00B01F9E" w:rsidRDefault="00EC43A7" w:rsidP="00955B5A">
      <w:pPr>
        <w:spacing w:after="120"/>
        <w:rPr>
          <w:rStyle w:val="eop"/>
          <w:rFonts w:ascii="Arial" w:hAnsi="Arial" w:cs="Arial"/>
          <w:sz w:val="20"/>
          <w:szCs w:val="20"/>
        </w:rPr>
      </w:pPr>
      <w:r w:rsidRPr="00B01F9E">
        <w:rPr>
          <w:rStyle w:val="normaltextrun"/>
          <w:rFonts w:ascii="Arial" w:hAnsi="Arial" w:cs="Arial"/>
          <w:sz w:val="20"/>
          <w:szCs w:val="20"/>
        </w:rPr>
        <w:t xml:space="preserve">Hemoglobin electrophoresis was also able to be performed on the original whole blood in EDTA sample. Hemoglobin electrophoresis is performed using capillary electrophoresis on the Sebia </w:t>
      </w:r>
      <w:proofErr w:type="spellStart"/>
      <w:r w:rsidRPr="00B01F9E">
        <w:rPr>
          <w:rStyle w:val="normaltextrun"/>
          <w:rFonts w:ascii="Arial" w:hAnsi="Arial" w:cs="Arial"/>
          <w:sz w:val="20"/>
          <w:szCs w:val="20"/>
        </w:rPr>
        <w:t>Capillarys</w:t>
      </w:r>
      <w:proofErr w:type="spellEnd"/>
      <w:r w:rsidRPr="00B01F9E">
        <w:rPr>
          <w:rStyle w:val="normaltextrun"/>
          <w:rFonts w:ascii="Arial" w:hAnsi="Arial" w:cs="Arial"/>
          <w:sz w:val="20"/>
          <w:szCs w:val="20"/>
        </w:rPr>
        <w:t xml:space="preserve"> 3 Octa</w:t>
      </w:r>
      <w:r w:rsidRPr="00B01F9E">
        <w:rPr>
          <w:rFonts w:ascii="Arial" w:hAnsi="Arial" w:cs="Arial"/>
          <w:sz w:val="20"/>
          <w:szCs w:val="20"/>
        </w:rPr>
        <w:t>™</w:t>
      </w:r>
      <w:r w:rsidRPr="00B01F9E">
        <w:rPr>
          <w:rStyle w:val="normaltextrun"/>
          <w:rFonts w:ascii="Arial" w:hAnsi="Arial" w:cs="Arial"/>
          <w:sz w:val="20"/>
          <w:szCs w:val="20"/>
        </w:rPr>
        <w:t xml:space="preserve"> instrument and CAPI 3 HEMOGLOBIN(E)</w:t>
      </w:r>
      <w:r w:rsidRPr="00B01F9E">
        <w:rPr>
          <w:rFonts w:ascii="Arial" w:hAnsi="Arial" w:cs="Arial"/>
          <w:sz w:val="20"/>
          <w:szCs w:val="20"/>
        </w:rPr>
        <w:t>™</w:t>
      </w:r>
      <w:r w:rsidRPr="00B01F9E">
        <w:rPr>
          <w:rStyle w:val="normaltextrun"/>
          <w:rFonts w:ascii="Arial" w:hAnsi="Arial" w:cs="Arial"/>
          <w:sz w:val="20"/>
          <w:szCs w:val="20"/>
        </w:rPr>
        <w:t xml:space="preserve"> reagent. Capillary electrophoresis separates molecules such as hemoglobin due to their electrophoretic mobilities. Direct detection provides accurate relative quantification of individual hemoglobin fractions: A, F, A2, S, C, D, and E. Because different hemoglobin variants can have </w:t>
      </w:r>
      <w:proofErr w:type="gramStart"/>
      <w:r w:rsidRPr="00B01F9E">
        <w:rPr>
          <w:rStyle w:val="normaltextrun"/>
          <w:rFonts w:ascii="Arial" w:hAnsi="Arial" w:cs="Arial"/>
          <w:sz w:val="20"/>
          <w:szCs w:val="20"/>
        </w:rPr>
        <w:t>overlapping</w:t>
      </w:r>
      <w:proofErr w:type="gramEnd"/>
      <w:r w:rsidRPr="00B01F9E">
        <w:rPr>
          <w:rStyle w:val="normaltextrun"/>
          <w:rFonts w:ascii="Arial" w:hAnsi="Arial" w:cs="Arial"/>
          <w:sz w:val="20"/>
          <w:szCs w:val="20"/>
        </w:rPr>
        <w:t xml:space="preserve"> electrophoretic mobility, the CAP requires the use of a complementary method such as Isoelectric Focusing (IEF) for confirmation of results. The premise of IEF is that a molecule will migrate so long as it is charged. Should it become neutral, it will stop migrating in the electric field. Hemoglobin variants will migrate along the IEF gel until they reach the gradient where they become neutral and stop in that position. The </w:t>
      </w:r>
      <w:proofErr w:type="spellStart"/>
      <w:r w:rsidRPr="00B01F9E">
        <w:rPr>
          <w:rStyle w:val="normaltextrun"/>
          <w:rFonts w:ascii="Arial" w:hAnsi="Arial" w:cs="Arial"/>
          <w:sz w:val="20"/>
          <w:szCs w:val="20"/>
        </w:rPr>
        <w:t>hemoglobins</w:t>
      </w:r>
      <w:proofErr w:type="spellEnd"/>
      <w:r w:rsidRPr="00B01F9E">
        <w:rPr>
          <w:rStyle w:val="normaltextrun"/>
          <w:rFonts w:ascii="Arial" w:hAnsi="Arial" w:cs="Arial"/>
          <w:sz w:val="20"/>
          <w:szCs w:val="20"/>
        </w:rPr>
        <w:t xml:space="preserve"> are reported in percent (%) units along with an electrophoresis scan by the instrument. The results are reported as numerical values for the </w:t>
      </w:r>
      <w:proofErr w:type="spellStart"/>
      <w:r w:rsidRPr="00B01F9E">
        <w:rPr>
          <w:rStyle w:val="normaltextrun"/>
          <w:rFonts w:ascii="Arial" w:hAnsi="Arial" w:cs="Arial"/>
          <w:sz w:val="20"/>
          <w:szCs w:val="20"/>
        </w:rPr>
        <w:t>hemoglobins</w:t>
      </w:r>
      <w:proofErr w:type="spellEnd"/>
      <w:r w:rsidRPr="00B01F9E">
        <w:rPr>
          <w:rStyle w:val="normaltextrun"/>
          <w:rFonts w:ascii="Arial" w:hAnsi="Arial" w:cs="Arial"/>
          <w:sz w:val="20"/>
          <w:szCs w:val="20"/>
        </w:rPr>
        <w:t xml:space="preserve"> present along with nominal results for specific variants or interpretations. The reference range is age specific with variation in the literature and between laboratories depending on methodology. Such as:</w:t>
      </w:r>
      <w:r w:rsidRPr="00B01F9E">
        <w:rPr>
          <w:rStyle w:val="eop"/>
          <w:rFonts w:ascii="Arial" w:hAnsi="Arial" w:cs="Arial"/>
          <w:sz w:val="20"/>
          <w:szCs w:val="20"/>
        </w:rPr>
        <w:t> </w:t>
      </w:r>
    </w:p>
    <w:p w14:paraId="335D8489" w14:textId="76E6C704" w:rsidR="00EC43A7" w:rsidRPr="00B01F9E" w:rsidRDefault="00EC43A7" w:rsidP="00CE4600">
      <w:pPr>
        <w:pStyle w:val="paragraph"/>
        <w:spacing w:before="0" w:beforeAutospacing="0" w:after="0" w:afterAutospacing="0"/>
        <w:textAlignment w:val="baseline"/>
        <w:rPr>
          <w:rStyle w:val="eop"/>
          <w:rFonts w:ascii="Arial" w:hAnsi="Arial" w:cs="Arial"/>
          <w:color w:val="009BBF"/>
          <w:sz w:val="20"/>
          <w:szCs w:val="20"/>
        </w:rPr>
      </w:pPr>
      <w:r w:rsidRPr="00B01F9E">
        <w:rPr>
          <w:rFonts w:ascii="Arial" w:hAnsi="Arial" w:cs="Arial"/>
          <w:b/>
          <w:color w:val="009BBF"/>
          <w:sz w:val="20"/>
          <w:szCs w:val="20"/>
        </w:rPr>
        <w:t xml:space="preserve">Table </w:t>
      </w:r>
      <w:r w:rsidR="007430D5" w:rsidRPr="00B01F9E">
        <w:rPr>
          <w:rFonts w:ascii="Arial" w:hAnsi="Arial" w:cs="Arial"/>
          <w:b/>
          <w:color w:val="009BBF"/>
          <w:sz w:val="20"/>
          <w:szCs w:val="20"/>
        </w:rPr>
        <w:t>2</w:t>
      </w:r>
      <w:r w:rsidR="00FF6AE3" w:rsidRPr="00B01F9E">
        <w:rPr>
          <w:rFonts w:ascii="Arial" w:hAnsi="Arial" w:cs="Arial"/>
          <w:b/>
          <w:color w:val="009BBF"/>
          <w:sz w:val="20"/>
          <w:szCs w:val="20"/>
        </w:rPr>
        <w:t>3</w:t>
      </w:r>
      <w:r w:rsidRPr="00B01F9E">
        <w:rPr>
          <w:rFonts w:ascii="Arial" w:hAnsi="Arial" w:cs="Arial"/>
          <w:b/>
          <w:color w:val="009BBF"/>
          <w:sz w:val="20"/>
          <w:szCs w:val="20"/>
        </w:rPr>
        <w:t xml:space="preserve">: Hemoglobinopathy Evaluation Results Example 1 </w:t>
      </w:r>
    </w:p>
    <w:tbl>
      <w:tblPr>
        <w:tblStyle w:val="TableGrid"/>
        <w:tblW w:w="0" w:type="auto"/>
        <w:tblLook w:val="04A0" w:firstRow="1" w:lastRow="0" w:firstColumn="1" w:lastColumn="0" w:noHBand="0" w:noVBand="1"/>
      </w:tblPr>
      <w:tblGrid>
        <w:gridCol w:w="1705"/>
        <w:gridCol w:w="2070"/>
        <w:gridCol w:w="2610"/>
      </w:tblGrid>
      <w:tr w:rsidR="00EC43A7" w:rsidRPr="00B01F9E" w14:paraId="23CF9E2D" w14:textId="77777777" w:rsidTr="00DB373C">
        <w:tc>
          <w:tcPr>
            <w:tcW w:w="1705" w:type="dxa"/>
            <w:shd w:val="clear" w:color="auto" w:fill="C3C6C8" w:themeFill="background1"/>
          </w:tcPr>
          <w:p w14:paraId="25B23947"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Component</w:t>
            </w:r>
          </w:p>
        </w:tc>
        <w:tc>
          <w:tcPr>
            <w:tcW w:w="2070" w:type="dxa"/>
            <w:shd w:val="clear" w:color="auto" w:fill="C3C6C8" w:themeFill="background1"/>
          </w:tcPr>
          <w:p w14:paraId="414C2841"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 xml:space="preserve">Result </w:t>
            </w:r>
          </w:p>
        </w:tc>
        <w:tc>
          <w:tcPr>
            <w:tcW w:w="2610" w:type="dxa"/>
            <w:shd w:val="clear" w:color="auto" w:fill="C3C6C8" w:themeFill="background1"/>
          </w:tcPr>
          <w:p w14:paraId="21B12470"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Reference Range</w:t>
            </w:r>
          </w:p>
        </w:tc>
      </w:tr>
      <w:tr w:rsidR="00EC43A7" w:rsidRPr="00B01F9E" w14:paraId="418738FD" w14:textId="77777777" w:rsidTr="00DB373C">
        <w:tc>
          <w:tcPr>
            <w:tcW w:w="1705" w:type="dxa"/>
          </w:tcPr>
          <w:p w14:paraId="6EF3F4BE"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Hb A</w:t>
            </w:r>
          </w:p>
        </w:tc>
        <w:tc>
          <w:tcPr>
            <w:tcW w:w="2070" w:type="dxa"/>
          </w:tcPr>
          <w:p w14:paraId="20011968"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97.5%</w:t>
            </w:r>
          </w:p>
        </w:tc>
        <w:tc>
          <w:tcPr>
            <w:tcW w:w="2610" w:type="dxa"/>
          </w:tcPr>
          <w:p w14:paraId="65387256"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Normal: &gt;95%</w:t>
            </w:r>
            <w:r w:rsidRPr="00B01F9E">
              <w:rPr>
                <w:rStyle w:val="eop"/>
                <w:rFonts w:ascii="Arial" w:hAnsi="Arial" w:cs="Arial"/>
                <w:sz w:val="20"/>
                <w:szCs w:val="20"/>
              </w:rPr>
              <w:t> </w:t>
            </w:r>
          </w:p>
        </w:tc>
      </w:tr>
      <w:tr w:rsidR="00EC43A7" w:rsidRPr="00B01F9E" w14:paraId="15ADBB09" w14:textId="77777777" w:rsidTr="00DB373C">
        <w:tc>
          <w:tcPr>
            <w:tcW w:w="1705" w:type="dxa"/>
          </w:tcPr>
          <w:p w14:paraId="7BA22363"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Hb A2</w:t>
            </w:r>
          </w:p>
        </w:tc>
        <w:tc>
          <w:tcPr>
            <w:tcW w:w="2070" w:type="dxa"/>
          </w:tcPr>
          <w:p w14:paraId="1634993C"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2.5%</w:t>
            </w:r>
          </w:p>
        </w:tc>
        <w:tc>
          <w:tcPr>
            <w:tcW w:w="2610" w:type="dxa"/>
          </w:tcPr>
          <w:p w14:paraId="7AE74778"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Normal: 1.5 to 3.7%</w:t>
            </w:r>
            <w:r w:rsidRPr="00B01F9E">
              <w:rPr>
                <w:rStyle w:val="eop"/>
                <w:rFonts w:ascii="Arial" w:hAnsi="Arial" w:cs="Arial"/>
                <w:sz w:val="20"/>
                <w:szCs w:val="20"/>
              </w:rPr>
              <w:t> </w:t>
            </w:r>
          </w:p>
        </w:tc>
      </w:tr>
      <w:tr w:rsidR="00EC43A7" w:rsidRPr="00B01F9E" w14:paraId="54150DF4" w14:textId="77777777" w:rsidTr="00DB373C">
        <w:tc>
          <w:tcPr>
            <w:tcW w:w="6385" w:type="dxa"/>
            <w:gridSpan w:val="3"/>
          </w:tcPr>
          <w:p w14:paraId="44ED063C"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Interpretation: Hemoglobin distribution is appropriate for age.</w:t>
            </w:r>
            <w:r w:rsidRPr="00B01F9E">
              <w:rPr>
                <w:rStyle w:val="eop"/>
                <w:rFonts w:ascii="Arial" w:hAnsi="Arial" w:cs="Arial"/>
                <w:sz w:val="20"/>
                <w:szCs w:val="20"/>
              </w:rPr>
              <w:t> </w:t>
            </w:r>
          </w:p>
        </w:tc>
      </w:tr>
    </w:tbl>
    <w:p w14:paraId="46C52188" w14:textId="40DB9E00" w:rsidR="00EC43A7" w:rsidRPr="00B01F9E" w:rsidRDefault="00EC43A7" w:rsidP="00EC43A7">
      <w:pPr>
        <w:pStyle w:val="paragraph"/>
        <w:spacing w:before="0" w:beforeAutospacing="0" w:after="0" w:afterAutospacing="0"/>
        <w:textAlignment w:val="baseline"/>
        <w:rPr>
          <w:rFonts w:ascii="Arial" w:hAnsi="Arial" w:cs="Arial"/>
          <w:sz w:val="20"/>
          <w:szCs w:val="20"/>
        </w:rPr>
      </w:pPr>
    </w:p>
    <w:p w14:paraId="67B44739" w14:textId="4C5BDD40" w:rsidR="003A3C5C" w:rsidRPr="00B01F9E" w:rsidRDefault="00EC43A7" w:rsidP="00AA6DE6">
      <w:pPr>
        <w:pStyle w:val="paragraph"/>
        <w:spacing w:before="0" w:beforeAutospacing="0" w:after="120" w:afterAutospacing="0"/>
        <w:textAlignment w:val="baseline"/>
        <w:rPr>
          <w:rFonts w:ascii="Arial" w:hAnsi="Arial" w:cs="Arial"/>
          <w:b/>
          <w:sz w:val="20"/>
          <w:szCs w:val="20"/>
        </w:rPr>
      </w:pPr>
      <w:r w:rsidRPr="00B01F9E">
        <w:rPr>
          <w:rFonts w:ascii="Arial" w:hAnsi="Arial" w:cs="Arial"/>
          <w:b/>
          <w:sz w:val="20"/>
          <w:szCs w:val="20"/>
        </w:rPr>
        <w:t>Or</w:t>
      </w:r>
    </w:p>
    <w:p w14:paraId="685FDFBA" w14:textId="31D4B842" w:rsidR="00EC43A7" w:rsidRPr="00B01F9E" w:rsidRDefault="00EC43A7" w:rsidP="00EC43A7">
      <w:pPr>
        <w:pStyle w:val="paragraph"/>
        <w:spacing w:before="0" w:beforeAutospacing="0" w:after="0" w:afterAutospacing="0"/>
        <w:textAlignment w:val="baseline"/>
        <w:rPr>
          <w:rStyle w:val="eop"/>
          <w:rFonts w:ascii="Arial" w:hAnsi="Arial" w:cs="Arial"/>
          <w:color w:val="009BBF"/>
          <w:sz w:val="20"/>
          <w:szCs w:val="20"/>
        </w:rPr>
      </w:pPr>
      <w:r w:rsidRPr="00B01F9E">
        <w:rPr>
          <w:rFonts w:ascii="Arial" w:hAnsi="Arial" w:cs="Arial"/>
          <w:b/>
          <w:color w:val="009BBF"/>
          <w:sz w:val="20"/>
          <w:szCs w:val="20"/>
        </w:rPr>
        <w:t xml:space="preserve">Table </w:t>
      </w:r>
      <w:r w:rsidR="007430D5" w:rsidRPr="00B01F9E">
        <w:rPr>
          <w:rFonts w:ascii="Arial" w:hAnsi="Arial" w:cs="Arial"/>
          <w:b/>
          <w:color w:val="009BBF"/>
          <w:sz w:val="20"/>
          <w:szCs w:val="20"/>
        </w:rPr>
        <w:t>2</w:t>
      </w:r>
      <w:r w:rsidR="00FF6AE3" w:rsidRPr="00B01F9E">
        <w:rPr>
          <w:rFonts w:ascii="Arial" w:hAnsi="Arial" w:cs="Arial"/>
          <w:b/>
          <w:color w:val="009BBF"/>
          <w:sz w:val="20"/>
          <w:szCs w:val="20"/>
        </w:rPr>
        <w:t>4</w:t>
      </w:r>
      <w:r w:rsidRPr="00B01F9E">
        <w:rPr>
          <w:rFonts w:ascii="Arial" w:hAnsi="Arial" w:cs="Arial"/>
          <w:b/>
          <w:color w:val="009BBF"/>
          <w:sz w:val="20"/>
          <w:szCs w:val="20"/>
        </w:rPr>
        <w:t xml:space="preserve">: Hemoglobinopathy Evaluation Results Example 2 </w:t>
      </w:r>
    </w:p>
    <w:tbl>
      <w:tblPr>
        <w:tblStyle w:val="TableGrid"/>
        <w:tblW w:w="0" w:type="auto"/>
        <w:tblLook w:val="04A0" w:firstRow="1" w:lastRow="0" w:firstColumn="1" w:lastColumn="0" w:noHBand="0" w:noVBand="1"/>
      </w:tblPr>
      <w:tblGrid>
        <w:gridCol w:w="1705"/>
        <w:gridCol w:w="2070"/>
        <w:gridCol w:w="2610"/>
      </w:tblGrid>
      <w:tr w:rsidR="00EC43A7" w:rsidRPr="00B01F9E" w14:paraId="4EF77B7F" w14:textId="77777777" w:rsidTr="00DB373C">
        <w:tc>
          <w:tcPr>
            <w:tcW w:w="1705" w:type="dxa"/>
            <w:shd w:val="clear" w:color="auto" w:fill="C3C6C8" w:themeFill="background1"/>
          </w:tcPr>
          <w:p w14:paraId="4116E386"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Component</w:t>
            </w:r>
          </w:p>
        </w:tc>
        <w:tc>
          <w:tcPr>
            <w:tcW w:w="2070" w:type="dxa"/>
            <w:shd w:val="clear" w:color="auto" w:fill="C3C6C8" w:themeFill="background1"/>
          </w:tcPr>
          <w:p w14:paraId="2623564F"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 xml:space="preserve">Result </w:t>
            </w:r>
          </w:p>
        </w:tc>
        <w:tc>
          <w:tcPr>
            <w:tcW w:w="2610" w:type="dxa"/>
            <w:shd w:val="clear" w:color="auto" w:fill="C3C6C8" w:themeFill="background1"/>
          </w:tcPr>
          <w:p w14:paraId="34B2EB3E"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sz w:val="20"/>
                <w:szCs w:val="20"/>
              </w:rPr>
            </w:pPr>
            <w:r w:rsidRPr="00B01F9E">
              <w:rPr>
                <w:rStyle w:val="normaltextrun"/>
                <w:rFonts w:ascii="Arial" w:hAnsi="Arial" w:cs="Arial"/>
                <w:b/>
                <w:sz w:val="20"/>
                <w:szCs w:val="20"/>
              </w:rPr>
              <w:t>Reference Range</w:t>
            </w:r>
          </w:p>
        </w:tc>
      </w:tr>
      <w:tr w:rsidR="00EC43A7" w:rsidRPr="00B01F9E" w14:paraId="4868A2E1" w14:textId="77777777" w:rsidTr="00DB373C">
        <w:tc>
          <w:tcPr>
            <w:tcW w:w="1705" w:type="dxa"/>
          </w:tcPr>
          <w:p w14:paraId="0749860A"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Hb E</w:t>
            </w:r>
          </w:p>
        </w:tc>
        <w:tc>
          <w:tcPr>
            <w:tcW w:w="2070" w:type="dxa"/>
          </w:tcPr>
          <w:p w14:paraId="2AA7EB60"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30.%</w:t>
            </w:r>
          </w:p>
        </w:tc>
        <w:tc>
          <w:tcPr>
            <w:tcW w:w="2610" w:type="dxa"/>
          </w:tcPr>
          <w:p w14:paraId="06FD8F21"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b/>
                <w:bCs/>
                <w:sz w:val="20"/>
                <w:szCs w:val="20"/>
              </w:rPr>
            </w:pPr>
            <w:r w:rsidRPr="00B01F9E">
              <w:rPr>
                <w:rStyle w:val="normaltextrun"/>
                <w:rFonts w:ascii="Arial" w:hAnsi="Arial" w:cs="Arial"/>
                <w:sz w:val="20"/>
                <w:szCs w:val="20"/>
              </w:rPr>
              <w:t>Normal: 0%</w:t>
            </w:r>
            <w:r w:rsidRPr="00B01F9E">
              <w:rPr>
                <w:rStyle w:val="eop"/>
                <w:rFonts w:ascii="Arial" w:hAnsi="Arial" w:cs="Arial"/>
                <w:sz w:val="20"/>
                <w:szCs w:val="20"/>
              </w:rPr>
              <w:t> </w:t>
            </w:r>
          </w:p>
        </w:tc>
      </w:tr>
      <w:tr w:rsidR="00EC43A7" w:rsidRPr="00B01F9E" w14:paraId="5EC59924" w14:textId="77777777" w:rsidTr="00DB373C">
        <w:tc>
          <w:tcPr>
            <w:tcW w:w="1705" w:type="dxa"/>
          </w:tcPr>
          <w:p w14:paraId="713D6CEC"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Hb A</w:t>
            </w:r>
          </w:p>
        </w:tc>
        <w:tc>
          <w:tcPr>
            <w:tcW w:w="2070" w:type="dxa"/>
          </w:tcPr>
          <w:p w14:paraId="5C889C1C"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74.5%</w:t>
            </w:r>
          </w:p>
        </w:tc>
        <w:tc>
          <w:tcPr>
            <w:tcW w:w="2610" w:type="dxa"/>
          </w:tcPr>
          <w:p w14:paraId="7FD9BA1B"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Normal: &gt;95%</w:t>
            </w:r>
            <w:r w:rsidRPr="00B01F9E">
              <w:rPr>
                <w:rStyle w:val="eop"/>
                <w:rFonts w:ascii="Arial" w:hAnsi="Arial" w:cs="Arial"/>
                <w:sz w:val="20"/>
                <w:szCs w:val="20"/>
              </w:rPr>
              <w:t> </w:t>
            </w:r>
          </w:p>
        </w:tc>
      </w:tr>
      <w:tr w:rsidR="00EC43A7" w:rsidRPr="00B01F9E" w14:paraId="63DF7591" w14:textId="77777777" w:rsidTr="00DB373C">
        <w:tc>
          <w:tcPr>
            <w:tcW w:w="1705" w:type="dxa"/>
          </w:tcPr>
          <w:p w14:paraId="5D90D351"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HB A2</w:t>
            </w:r>
          </w:p>
        </w:tc>
        <w:tc>
          <w:tcPr>
            <w:tcW w:w="2070" w:type="dxa"/>
          </w:tcPr>
          <w:p w14:paraId="1807B115"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4.5%</w:t>
            </w:r>
          </w:p>
        </w:tc>
        <w:tc>
          <w:tcPr>
            <w:tcW w:w="2610" w:type="dxa"/>
          </w:tcPr>
          <w:p w14:paraId="7A212042"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Normal: 1.5 to 3.7%</w:t>
            </w:r>
            <w:r w:rsidRPr="00B01F9E">
              <w:rPr>
                <w:rStyle w:val="eop"/>
                <w:rFonts w:ascii="Arial" w:hAnsi="Arial" w:cs="Arial"/>
                <w:sz w:val="20"/>
                <w:szCs w:val="20"/>
              </w:rPr>
              <w:t> </w:t>
            </w:r>
          </w:p>
        </w:tc>
      </w:tr>
      <w:tr w:rsidR="00EC43A7" w:rsidRPr="00B01F9E" w14:paraId="4998A250" w14:textId="77777777" w:rsidTr="00DB373C">
        <w:tc>
          <w:tcPr>
            <w:tcW w:w="6385" w:type="dxa"/>
            <w:gridSpan w:val="3"/>
          </w:tcPr>
          <w:p w14:paraId="0EAE239B"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Interpretation: Hemoglobin E Trait (heterozygous Hb E)</w:t>
            </w:r>
            <w:r w:rsidRPr="00B01F9E">
              <w:rPr>
                <w:rStyle w:val="eop"/>
                <w:rFonts w:ascii="Arial" w:hAnsi="Arial" w:cs="Arial"/>
                <w:sz w:val="20"/>
                <w:szCs w:val="20"/>
              </w:rPr>
              <w:t> </w:t>
            </w:r>
          </w:p>
        </w:tc>
      </w:tr>
    </w:tbl>
    <w:p w14:paraId="77F65460" w14:textId="3528A8B6" w:rsidR="00EC43A7" w:rsidRPr="00B01F9E" w:rsidRDefault="009F1F82" w:rsidP="006E262A">
      <w:pPr>
        <w:pStyle w:val="Heading3"/>
        <w:spacing w:before="120" w:after="120"/>
        <w:rPr>
          <w:rFonts w:ascii="Arial" w:hAnsi="Arial" w:cs="Arial"/>
          <w:b/>
          <w:i/>
          <w:color w:val="009BBF"/>
          <w:sz w:val="20"/>
          <w:szCs w:val="20"/>
        </w:rPr>
      </w:pPr>
      <w:bookmarkStart w:id="381" w:name="_Toc177137018"/>
      <w:r w:rsidRPr="00B01F9E">
        <w:rPr>
          <w:rFonts w:ascii="Arial" w:hAnsi="Arial" w:cs="Arial"/>
          <w:b/>
          <w:i/>
          <w:color w:val="009BBF"/>
          <w:sz w:val="20"/>
          <w:szCs w:val="20"/>
        </w:rPr>
        <w:lastRenderedPageBreak/>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.4 Clinical Narrative 4: Lymph Node Biopsy</w:t>
      </w:r>
      <w:bookmarkEnd w:id="381"/>
      <w:r w:rsidR="00EC43A7" w:rsidRPr="00B01F9E">
        <w:rPr>
          <w:rFonts w:ascii="Arial" w:hAnsi="Arial" w:cs="Arial"/>
          <w:b/>
          <w:i/>
          <w:color w:val="009BBF"/>
          <w:sz w:val="20"/>
          <w:szCs w:val="20"/>
        </w:rPr>
        <w:t xml:space="preserve"> </w:t>
      </w:r>
    </w:p>
    <w:p w14:paraId="7839AD4C" w14:textId="736A96AB" w:rsidR="00EC43A7" w:rsidRPr="00B01F9E" w:rsidRDefault="00EC43A7" w:rsidP="00955B5A">
      <w:pPr>
        <w:spacing w:after="120"/>
        <w:rPr>
          <w:rStyle w:val="eop"/>
          <w:rFonts w:ascii="Arial" w:hAnsi="Arial" w:cs="Arial"/>
          <w:sz w:val="20"/>
          <w:szCs w:val="20"/>
        </w:rPr>
      </w:pPr>
      <w:r w:rsidRPr="00B01F9E">
        <w:rPr>
          <w:rStyle w:val="normaltextrun"/>
          <w:rFonts w:ascii="Arial" w:hAnsi="Arial" w:cs="Arial"/>
          <w:sz w:val="20"/>
          <w:szCs w:val="20"/>
        </w:rPr>
        <w:t>An ultrasound-guided fine needle biopsy of an enlarged right cervical lymph node is performed by an interventional radiologist on a 12-year-old male patient with a six-month history of enlarged lymph nodes on the right side of the neck. Samples are sent to the laboratory for: a) cytology, b) flow cytometry and c) tissue examination.</w:t>
      </w:r>
      <w:r w:rsidRPr="00B01F9E">
        <w:rPr>
          <w:rStyle w:val="eop"/>
          <w:rFonts w:ascii="Arial" w:hAnsi="Arial" w:cs="Arial"/>
          <w:sz w:val="20"/>
          <w:szCs w:val="20"/>
        </w:rPr>
        <w:t> </w:t>
      </w:r>
    </w:p>
    <w:p w14:paraId="57BA24D5" w14:textId="5EC31979"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During the FNA procedure, the interventional radiologist makes several passes with the needle through the lesion as identified by ultrasound. Cells collected by the needle passes are aspirated onto slides. The cytology specimen slides are stained with Wright Giemsa and Papanicolaou stain for light microscopy examination by the cytopathologist. Residual material collected in the syringe is centrifuged onto a slide and made into what is referred to as cell block and stained with the H&amp;E stain. If needed, the cytopathologists order special and immunohistochemical (IHC) stains on the cell block </w:t>
      </w:r>
      <w:proofErr w:type="gramStart"/>
      <w:r w:rsidRPr="00B01F9E">
        <w:rPr>
          <w:rStyle w:val="normaltextrun"/>
          <w:rFonts w:ascii="Arial" w:hAnsi="Arial" w:cs="Arial"/>
          <w:sz w:val="20"/>
          <w:szCs w:val="20"/>
        </w:rPr>
        <w:t>in order to</w:t>
      </w:r>
      <w:proofErr w:type="gramEnd"/>
      <w:r w:rsidRPr="00B01F9E">
        <w:rPr>
          <w:rStyle w:val="normaltextrun"/>
          <w:rFonts w:ascii="Arial" w:hAnsi="Arial" w:cs="Arial"/>
          <w:sz w:val="20"/>
          <w:szCs w:val="20"/>
        </w:rPr>
        <w:t xml:space="preserve"> further evaluate any atypical cells. The cytopathologist evaluates the cells on the slide for atypia and issues in a cytopathology report with narrative results that include a microscopic description of the cells, description of the result of any special or IHC stains and a final diagnosis such as “Atypical Cell </w:t>
      </w:r>
      <w:r w:rsidR="00F838E5" w:rsidRPr="00B01F9E">
        <w:rPr>
          <w:rStyle w:val="normaltextrun"/>
          <w:rFonts w:ascii="Arial" w:hAnsi="Arial" w:cs="Arial"/>
          <w:sz w:val="20"/>
          <w:szCs w:val="20"/>
        </w:rPr>
        <w:t>Population</w:t>
      </w:r>
      <w:r w:rsidRPr="00B01F9E">
        <w:rPr>
          <w:rStyle w:val="normaltextrun"/>
          <w:rFonts w:ascii="Arial" w:hAnsi="Arial" w:cs="Arial"/>
          <w:sz w:val="20"/>
          <w:szCs w:val="20"/>
        </w:rPr>
        <w:t xml:space="preserve"> Present.” </w:t>
      </w:r>
    </w:p>
    <w:p w14:paraId="1B23F2B2" w14:textId="00AC0C92"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The flow cytometry specimen is prepared and examined using laser interrogation of cells suspended in a buffered salt-based solution with multiple fluorescent labeled antibodies. Flow cytometry examination in this case was performed on the 10-color BD </w:t>
      </w:r>
      <w:proofErr w:type="spellStart"/>
      <w:r w:rsidRPr="00B01F9E">
        <w:rPr>
          <w:rStyle w:val="normaltextrun"/>
          <w:rFonts w:ascii="Arial" w:hAnsi="Arial" w:cs="Arial"/>
          <w:sz w:val="20"/>
          <w:szCs w:val="20"/>
        </w:rPr>
        <w:t>FACSCanto</w:t>
      </w:r>
      <w:proofErr w:type="spellEnd"/>
      <w:r w:rsidRPr="00B01F9E">
        <w:rPr>
          <w:rFonts w:ascii="Arial" w:hAnsi="Arial" w:cs="Arial"/>
          <w:sz w:val="20"/>
          <w:szCs w:val="20"/>
        </w:rPr>
        <w:t>™</w:t>
      </w:r>
      <w:r w:rsidRPr="00B01F9E">
        <w:rPr>
          <w:rStyle w:val="normaltextrun"/>
          <w:rFonts w:ascii="Arial" w:hAnsi="Arial" w:cs="Arial"/>
          <w:sz w:val="20"/>
          <w:szCs w:val="20"/>
        </w:rPr>
        <w:t xml:space="preserve"> with multiple markers (CD2, CD3, CD4, CD5, CD7, CD8, CD10, CD19, CD 20, CD22, CD30, CD38, CD45, CD56, CD64, kappa light chain, and lambda light chain) using Research Use Only Reagents from multiple manufacturers that have validated for clinical use per CLIA. The results are provided in a Flow Cytometry Report with narrative results describing the immunophenotype of any atypical cell population present and an interpretation of the findings such as:</w:t>
      </w:r>
      <w:r w:rsidRPr="00B01F9E">
        <w:rPr>
          <w:rStyle w:val="eop"/>
          <w:rFonts w:ascii="Arial" w:hAnsi="Arial" w:cs="Arial"/>
          <w:sz w:val="20"/>
          <w:szCs w:val="20"/>
        </w:rPr>
        <w:t> </w:t>
      </w:r>
    </w:p>
    <w:p w14:paraId="4D225F0B" w14:textId="30635035"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“Immunophenotypic analysis shows an aberrant B-cell population (30% of total events) with monotypic loss of immunoglobulin expression and the following immunophenotype” CD5(-), CD10(+), CD19(+), CD20(+), CD22(+), CD30(-), CD38(partial +), CD45(+)”</w:t>
      </w:r>
      <w:r w:rsidRPr="00B01F9E">
        <w:rPr>
          <w:rStyle w:val="eop"/>
          <w:rFonts w:ascii="Arial" w:hAnsi="Arial" w:cs="Arial"/>
          <w:sz w:val="20"/>
          <w:szCs w:val="20"/>
        </w:rPr>
        <w:t>.</w:t>
      </w:r>
    </w:p>
    <w:p w14:paraId="3AA514AB" w14:textId="139E76CA"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“Monoclonal B-cell population identified (30% of total events). Correlation with clinical and morphologic data is recommended. Flow cytometry is an ancillary testing </w:t>
      </w:r>
      <w:r w:rsidR="00E2653F" w:rsidRPr="00B01F9E">
        <w:rPr>
          <w:rStyle w:val="normaltextrun"/>
          <w:rFonts w:ascii="Arial" w:hAnsi="Arial" w:cs="Arial"/>
          <w:sz w:val="20"/>
          <w:szCs w:val="20"/>
        </w:rPr>
        <w:t xml:space="preserve">and </w:t>
      </w:r>
      <w:r w:rsidRPr="00B01F9E">
        <w:rPr>
          <w:rStyle w:val="normaltextrun"/>
          <w:rFonts w:ascii="Arial" w:hAnsi="Arial" w:cs="Arial"/>
          <w:sz w:val="20"/>
          <w:szCs w:val="20"/>
        </w:rPr>
        <w:t>is not a final diagnosis.”</w:t>
      </w:r>
      <w:r w:rsidRPr="00B01F9E">
        <w:rPr>
          <w:rStyle w:val="eop"/>
          <w:rFonts w:ascii="Arial" w:hAnsi="Arial" w:cs="Arial"/>
          <w:sz w:val="20"/>
          <w:szCs w:val="20"/>
        </w:rPr>
        <w:t> </w:t>
      </w:r>
    </w:p>
    <w:p w14:paraId="6A16BEA2" w14:textId="643DE34B"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Tissue cores were also collected during the FNA and the specimen for tissue examination is fixed in formalin and prepared into paraffin embedded blocks for preparation into slides for light microscopy and immunohistochemistry. The tissue core dimensions are measured with a gross description of the tissue included in the tissue examination report. The tissue sections are placed in labelled cassettes and submitted to the histology processing laboratory for overnight processing. The tissues are then sectioned and stained with H&amp;E stain. The pathologist reviews the material and sees sheets of medium to large sized atypical lymphoid cells with irregular nuclear contours, vesicular chromatin, and prominent nucleoli. The description of the atypical cell infiltrate is included in the microscopic description for the case. The pathologist orders IHC stains to be performed and the histology laboratories cuts additional unstained slides from the tissue block and stains them with the order IHC stains. </w:t>
      </w:r>
    </w:p>
    <w:p w14:paraId="059C36E1" w14:textId="16A1D6FA"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The description of the IHC stains is included in the tissue examination report:</w:t>
      </w:r>
      <w:r w:rsidRPr="00B01F9E">
        <w:rPr>
          <w:rStyle w:val="eop"/>
          <w:rFonts w:ascii="Arial" w:hAnsi="Arial" w:cs="Arial"/>
          <w:sz w:val="20"/>
          <w:szCs w:val="20"/>
        </w:rPr>
        <w:t> </w:t>
      </w:r>
    </w:p>
    <w:p w14:paraId="7D686E9D" w14:textId="6977C3B3" w:rsidR="00FC7B04"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The atypical cells demonstrate the following immunohistochemical/ISH staining profile (block A4):</w:t>
      </w:r>
      <w:r w:rsidRPr="00B01F9E">
        <w:rPr>
          <w:rStyle w:val="eop"/>
          <w:rFonts w:ascii="Arial" w:hAnsi="Arial" w:cs="Arial"/>
          <w:sz w:val="20"/>
          <w:szCs w:val="20"/>
        </w:rPr>
        <w:t> </w:t>
      </w:r>
    </w:p>
    <w:p w14:paraId="0F63AD4A" w14:textId="77777777" w:rsidR="00955B5A" w:rsidRPr="00B01F9E" w:rsidRDefault="00955B5A" w:rsidP="008A3980">
      <w:pPr>
        <w:pStyle w:val="paragraph"/>
        <w:spacing w:before="0" w:beforeAutospacing="0" w:after="0" w:afterAutospacing="0"/>
        <w:textAlignment w:val="baseline"/>
        <w:rPr>
          <w:rFonts w:ascii="Arial" w:hAnsi="Arial" w:cs="Arial"/>
          <w:b/>
          <w:color w:val="009BBF"/>
          <w:sz w:val="20"/>
          <w:szCs w:val="20"/>
        </w:rPr>
      </w:pPr>
    </w:p>
    <w:p w14:paraId="6477F33A" w14:textId="23C31E07" w:rsidR="00EC43A7" w:rsidRPr="00B01F9E" w:rsidRDefault="0039158C" w:rsidP="008A3980">
      <w:pPr>
        <w:pStyle w:val="paragraph"/>
        <w:spacing w:before="0" w:beforeAutospacing="0" w:after="0" w:afterAutospacing="0"/>
        <w:textAlignment w:val="baseline"/>
        <w:rPr>
          <w:rStyle w:val="eop"/>
          <w:rFonts w:ascii="Arial" w:hAnsi="Arial" w:cs="Arial"/>
          <w:color w:val="009BBF"/>
          <w:sz w:val="20"/>
          <w:szCs w:val="20"/>
        </w:rPr>
      </w:pPr>
      <w:r w:rsidRPr="00B01F9E">
        <w:rPr>
          <w:rFonts w:ascii="Arial" w:hAnsi="Arial" w:cs="Arial"/>
          <w:b/>
          <w:color w:val="009BBF"/>
          <w:sz w:val="20"/>
          <w:szCs w:val="20"/>
        </w:rPr>
        <w:lastRenderedPageBreak/>
        <w:t>T</w:t>
      </w:r>
      <w:r w:rsidR="00EC43A7" w:rsidRPr="00B01F9E">
        <w:rPr>
          <w:rFonts w:ascii="Arial" w:hAnsi="Arial" w:cs="Arial"/>
          <w:b/>
          <w:color w:val="009BBF"/>
          <w:sz w:val="20"/>
          <w:szCs w:val="20"/>
        </w:rPr>
        <w:t xml:space="preserve">able </w:t>
      </w:r>
      <w:r w:rsidR="007430D5" w:rsidRPr="00B01F9E">
        <w:rPr>
          <w:rFonts w:ascii="Arial" w:hAnsi="Arial" w:cs="Arial"/>
          <w:b/>
          <w:color w:val="009BBF"/>
          <w:sz w:val="20"/>
          <w:szCs w:val="20"/>
        </w:rPr>
        <w:t>2</w:t>
      </w:r>
      <w:r w:rsidR="00FF6AE3" w:rsidRPr="00B01F9E">
        <w:rPr>
          <w:rFonts w:ascii="Arial" w:hAnsi="Arial" w:cs="Arial"/>
          <w:b/>
          <w:color w:val="009BBF"/>
          <w:sz w:val="20"/>
          <w:szCs w:val="20"/>
        </w:rPr>
        <w:t>5</w:t>
      </w:r>
      <w:r w:rsidR="00EC43A7" w:rsidRPr="00B01F9E">
        <w:rPr>
          <w:rFonts w:ascii="Arial" w:hAnsi="Arial" w:cs="Arial"/>
          <w:b/>
          <w:color w:val="009BBF"/>
          <w:sz w:val="20"/>
          <w:szCs w:val="20"/>
        </w:rPr>
        <w:t>: Immunohistochemistry Interpretation</w:t>
      </w:r>
    </w:p>
    <w:tbl>
      <w:tblPr>
        <w:tblStyle w:val="TableGrid"/>
        <w:tblW w:w="0" w:type="auto"/>
        <w:tblLook w:val="04A0" w:firstRow="1" w:lastRow="0" w:firstColumn="1" w:lastColumn="0" w:noHBand="0" w:noVBand="1"/>
      </w:tblPr>
      <w:tblGrid>
        <w:gridCol w:w="1345"/>
        <w:gridCol w:w="3240"/>
      </w:tblGrid>
      <w:tr w:rsidR="00EC43A7" w:rsidRPr="00B01F9E" w14:paraId="0EEC36AA" w14:textId="77777777" w:rsidTr="00DB373C">
        <w:tc>
          <w:tcPr>
            <w:tcW w:w="1345" w:type="dxa"/>
            <w:shd w:val="clear" w:color="auto" w:fill="C3C6C8" w:themeFill="background1"/>
          </w:tcPr>
          <w:p w14:paraId="68BAF0DA" w14:textId="77777777" w:rsidR="00EC43A7" w:rsidRPr="00B01F9E" w:rsidRDefault="00EC43A7" w:rsidP="00DB373C">
            <w:pPr>
              <w:pStyle w:val="paragraph"/>
              <w:spacing w:before="0" w:beforeAutospacing="0" w:after="0" w:afterAutospacing="0"/>
              <w:textAlignment w:val="baseline"/>
              <w:rPr>
                <w:rStyle w:val="eop"/>
                <w:rFonts w:ascii="Arial" w:hAnsi="Arial" w:cs="Arial"/>
                <w:b/>
                <w:bCs/>
                <w:sz w:val="20"/>
                <w:szCs w:val="20"/>
              </w:rPr>
            </w:pPr>
            <w:r w:rsidRPr="00B01F9E">
              <w:rPr>
                <w:rStyle w:val="eop"/>
                <w:rFonts w:ascii="Arial" w:hAnsi="Arial" w:cs="Arial"/>
                <w:b/>
                <w:bCs/>
                <w:sz w:val="20"/>
                <w:szCs w:val="20"/>
              </w:rPr>
              <w:t>IHC</w:t>
            </w:r>
          </w:p>
        </w:tc>
        <w:tc>
          <w:tcPr>
            <w:tcW w:w="3240" w:type="dxa"/>
            <w:shd w:val="clear" w:color="auto" w:fill="C3C6C8" w:themeFill="background1"/>
          </w:tcPr>
          <w:p w14:paraId="66B6D3E7" w14:textId="77777777" w:rsidR="00EC43A7" w:rsidRPr="00B01F9E" w:rsidRDefault="00EC43A7" w:rsidP="00DB373C">
            <w:pPr>
              <w:pStyle w:val="paragraph"/>
              <w:spacing w:before="0" w:beforeAutospacing="0" w:after="0" w:afterAutospacing="0"/>
              <w:textAlignment w:val="baseline"/>
              <w:rPr>
                <w:rStyle w:val="eop"/>
                <w:rFonts w:ascii="Arial" w:hAnsi="Arial" w:cs="Arial"/>
                <w:b/>
                <w:bCs/>
                <w:sz w:val="20"/>
                <w:szCs w:val="20"/>
              </w:rPr>
            </w:pPr>
            <w:r w:rsidRPr="00B01F9E">
              <w:rPr>
                <w:rStyle w:val="eop"/>
                <w:rFonts w:ascii="Arial" w:hAnsi="Arial" w:cs="Arial"/>
                <w:b/>
                <w:bCs/>
                <w:sz w:val="20"/>
                <w:szCs w:val="20"/>
              </w:rPr>
              <w:t>Interpretation</w:t>
            </w:r>
          </w:p>
        </w:tc>
      </w:tr>
      <w:tr w:rsidR="00EC43A7" w:rsidRPr="00B01F9E" w14:paraId="26CF5613" w14:textId="77777777" w:rsidTr="00DB373C">
        <w:tc>
          <w:tcPr>
            <w:tcW w:w="1345" w:type="dxa"/>
          </w:tcPr>
          <w:p w14:paraId="16F9C0E5"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CD3</w:t>
            </w:r>
          </w:p>
        </w:tc>
        <w:tc>
          <w:tcPr>
            <w:tcW w:w="3240" w:type="dxa"/>
          </w:tcPr>
          <w:p w14:paraId="0669E052"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r w:rsidRPr="00B01F9E">
              <w:rPr>
                <w:rStyle w:val="eop"/>
                <w:rFonts w:ascii="Arial" w:hAnsi="Arial" w:cs="Arial"/>
                <w:sz w:val="20"/>
                <w:szCs w:val="20"/>
              </w:rPr>
              <w:t> </w:t>
            </w:r>
          </w:p>
        </w:tc>
      </w:tr>
      <w:tr w:rsidR="00EC43A7" w:rsidRPr="00B01F9E" w14:paraId="6B851A89" w14:textId="77777777" w:rsidTr="00DB373C">
        <w:tc>
          <w:tcPr>
            <w:tcW w:w="1345" w:type="dxa"/>
          </w:tcPr>
          <w:p w14:paraId="7B25D7C9"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PAX-5</w:t>
            </w:r>
          </w:p>
        </w:tc>
        <w:tc>
          <w:tcPr>
            <w:tcW w:w="3240" w:type="dxa"/>
          </w:tcPr>
          <w:p w14:paraId="75D445C2"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Diffuse positive</w:t>
            </w:r>
            <w:r w:rsidRPr="00B01F9E">
              <w:rPr>
                <w:rStyle w:val="eop"/>
                <w:rFonts w:ascii="Arial" w:hAnsi="Arial" w:cs="Arial"/>
                <w:sz w:val="20"/>
                <w:szCs w:val="20"/>
              </w:rPr>
              <w:t> </w:t>
            </w:r>
          </w:p>
        </w:tc>
      </w:tr>
      <w:tr w:rsidR="00EC43A7" w:rsidRPr="00B01F9E" w14:paraId="5FFBEF19" w14:textId="77777777" w:rsidTr="00DB373C">
        <w:tc>
          <w:tcPr>
            <w:tcW w:w="1345" w:type="dxa"/>
          </w:tcPr>
          <w:p w14:paraId="6C57EBBC"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CD20</w:t>
            </w:r>
          </w:p>
        </w:tc>
        <w:tc>
          <w:tcPr>
            <w:tcW w:w="3240" w:type="dxa"/>
          </w:tcPr>
          <w:p w14:paraId="03FB6FC8"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Diffuse positive</w:t>
            </w:r>
            <w:r w:rsidRPr="00B01F9E">
              <w:rPr>
                <w:rStyle w:val="eop"/>
                <w:rFonts w:ascii="Arial" w:hAnsi="Arial" w:cs="Arial"/>
                <w:sz w:val="20"/>
                <w:szCs w:val="20"/>
              </w:rPr>
              <w:t> </w:t>
            </w:r>
          </w:p>
        </w:tc>
      </w:tr>
      <w:tr w:rsidR="00EC43A7" w:rsidRPr="00B01F9E" w14:paraId="34A6BBE0" w14:textId="77777777" w:rsidTr="00DB373C">
        <w:tc>
          <w:tcPr>
            <w:tcW w:w="1345" w:type="dxa"/>
          </w:tcPr>
          <w:p w14:paraId="5F1068B3"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CD10</w:t>
            </w:r>
          </w:p>
        </w:tc>
        <w:tc>
          <w:tcPr>
            <w:tcW w:w="3240" w:type="dxa"/>
          </w:tcPr>
          <w:p w14:paraId="138D73F8"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Diffuse positive</w:t>
            </w:r>
            <w:r w:rsidRPr="00B01F9E">
              <w:rPr>
                <w:rStyle w:val="eop"/>
                <w:rFonts w:ascii="Arial" w:hAnsi="Arial" w:cs="Arial"/>
                <w:sz w:val="20"/>
                <w:szCs w:val="20"/>
              </w:rPr>
              <w:t> </w:t>
            </w:r>
          </w:p>
        </w:tc>
      </w:tr>
      <w:tr w:rsidR="00EC43A7" w:rsidRPr="00B01F9E" w14:paraId="0C0BF184" w14:textId="77777777" w:rsidTr="00DB373C">
        <w:tc>
          <w:tcPr>
            <w:tcW w:w="1345" w:type="dxa"/>
          </w:tcPr>
          <w:p w14:paraId="7B823E7D"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BCL-6</w:t>
            </w:r>
          </w:p>
        </w:tc>
        <w:tc>
          <w:tcPr>
            <w:tcW w:w="3240" w:type="dxa"/>
          </w:tcPr>
          <w:p w14:paraId="4EA43181"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Diffuse positive</w:t>
            </w:r>
            <w:r w:rsidRPr="00B01F9E">
              <w:rPr>
                <w:rStyle w:val="eop"/>
                <w:rFonts w:ascii="Arial" w:hAnsi="Arial" w:cs="Arial"/>
                <w:sz w:val="20"/>
                <w:szCs w:val="20"/>
              </w:rPr>
              <w:t> </w:t>
            </w:r>
          </w:p>
        </w:tc>
      </w:tr>
      <w:tr w:rsidR="00EC43A7" w:rsidRPr="00B01F9E" w14:paraId="13DF2A8B" w14:textId="77777777" w:rsidTr="00DB373C">
        <w:tc>
          <w:tcPr>
            <w:tcW w:w="1345" w:type="dxa"/>
          </w:tcPr>
          <w:p w14:paraId="413D0BA7"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MUM-1</w:t>
            </w:r>
          </w:p>
        </w:tc>
        <w:tc>
          <w:tcPr>
            <w:tcW w:w="3240" w:type="dxa"/>
          </w:tcPr>
          <w:p w14:paraId="5DF4D012"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r w:rsidRPr="00B01F9E">
              <w:rPr>
                <w:rStyle w:val="eop"/>
                <w:rFonts w:ascii="Arial" w:hAnsi="Arial" w:cs="Arial"/>
                <w:sz w:val="20"/>
                <w:szCs w:val="20"/>
              </w:rPr>
              <w:t> </w:t>
            </w:r>
          </w:p>
        </w:tc>
      </w:tr>
      <w:tr w:rsidR="00EC43A7" w:rsidRPr="00B01F9E" w14:paraId="66FEC7F7" w14:textId="77777777" w:rsidTr="00DB373C">
        <w:tc>
          <w:tcPr>
            <w:tcW w:w="1345" w:type="dxa"/>
          </w:tcPr>
          <w:p w14:paraId="736FCE77"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BCL-2</w:t>
            </w:r>
          </w:p>
        </w:tc>
        <w:tc>
          <w:tcPr>
            <w:tcW w:w="3240" w:type="dxa"/>
          </w:tcPr>
          <w:p w14:paraId="23509F5F"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r w:rsidRPr="00B01F9E">
              <w:rPr>
                <w:rStyle w:val="eop"/>
                <w:rFonts w:ascii="Arial" w:hAnsi="Arial" w:cs="Arial"/>
                <w:sz w:val="20"/>
                <w:szCs w:val="20"/>
              </w:rPr>
              <w:t> </w:t>
            </w:r>
          </w:p>
        </w:tc>
      </w:tr>
      <w:tr w:rsidR="00EC43A7" w:rsidRPr="00B01F9E" w14:paraId="52FB1B51" w14:textId="77777777" w:rsidTr="00DB373C">
        <w:tc>
          <w:tcPr>
            <w:tcW w:w="1345" w:type="dxa"/>
          </w:tcPr>
          <w:p w14:paraId="574A415F"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C-MYC</w:t>
            </w:r>
          </w:p>
        </w:tc>
        <w:tc>
          <w:tcPr>
            <w:tcW w:w="3240" w:type="dxa"/>
          </w:tcPr>
          <w:p w14:paraId="56BAAFE7"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Patchy variable positive, 50-60%</w:t>
            </w:r>
            <w:r w:rsidRPr="00B01F9E">
              <w:rPr>
                <w:rStyle w:val="eop"/>
                <w:rFonts w:ascii="Arial" w:hAnsi="Arial" w:cs="Arial"/>
                <w:sz w:val="20"/>
                <w:szCs w:val="20"/>
              </w:rPr>
              <w:t> </w:t>
            </w:r>
          </w:p>
        </w:tc>
      </w:tr>
      <w:tr w:rsidR="00EC43A7" w:rsidRPr="00B01F9E" w14:paraId="64433E33" w14:textId="77777777" w:rsidTr="00DB373C">
        <w:tc>
          <w:tcPr>
            <w:tcW w:w="1345" w:type="dxa"/>
          </w:tcPr>
          <w:p w14:paraId="0653C992"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BCL-2</w:t>
            </w:r>
          </w:p>
        </w:tc>
        <w:tc>
          <w:tcPr>
            <w:tcW w:w="3240" w:type="dxa"/>
          </w:tcPr>
          <w:p w14:paraId="5768A308"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r w:rsidRPr="00B01F9E">
              <w:rPr>
                <w:rStyle w:val="eop"/>
                <w:rFonts w:ascii="Arial" w:hAnsi="Arial" w:cs="Arial"/>
                <w:sz w:val="20"/>
                <w:szCs w:val="20"/>
              </w:rPr>
              <w:t> </w:t>
            </w:r>
          </w:p>
        </w:tc>
      </w:tr>
      <w:tr w:rsidR="00EC43A7" w:rsidRPr="00B01F9E" w14:paraId="2EC89754" w14:textId="77777777" w:rsidTr="00DB373C">
        <w:tc>
          <w:tcPr>
            <w:tcW w:w="1345" w:type="dxa"/>
          </w:tcPr>
          <w:p w14:paraId="02B611A2"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CD21</w:t>
            </w:r>
          </w:p>
        </w:tc>
        <w:tc>
          <w:tcPr>
            <w:tcW w:w="3240" w:type="dxa"/>
          </w:tcPr>
          <w:p w14:paraId="1DCF24EF"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 xml:space="preserve">Disrupted follicular dendritic </w:t>
            </w:r>
            <w:proofErr w:type="spellStart"/>
            <w:r w:rsidRPr="00B01F9E">
              <w:rPr>
                <w:rStyle w:val="normaltextrun"/>
                <w:rFonts w:ascii="Arial" w:hAnsi="Arial" w:cs="Arial"/>
                <w:sz w:val="20"/>
                <w:szCs w:val="20"/>
              </w:rPr>
              <w:t>meshworks</w:t>
            </w:r>
            <w:proofErr w:type="spellEnd"/>
            <w:r w:rsidRPr="00B01F9E">
              <w:rPr>
                <w:rStyle w:val="eop"/>
                <w:rFonts w:ascii="Arial" w:hAnsi="Arial" w:cs="Arial"/>
                <w:sz w:val="20"/>
                <w:szCs w:val="20"/>
              </w:rPr>
              <w:t> </w:t>
            </w:r>
          </w:p>
        </w:tc>
      </w:tr>
      <w:tr w:rsidR="00EC43A7" w:rsidRPr="00B01F9E" w14:paraId="2E1C46E7" w14:textId="77777777" w:rsidTr="00DB373C">
        <w:tc>
          <w:tcPr>
            <w:tcW w:w="1345" w:type="dxa"/>
          </w:tcPr>
          <w:p w14:paraId="60624C54"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CD23</w:t>
            </w:r>
          </w:p>
        </w:tc>
        <w:tc>
          <w:tcPr>
            <w:tcW w:w="3240" w:type="dxa"/>
          </w:tcPr>
          <w:p w14:paraId="3617120D"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 xml:space="preserve">Disrupted follicular dendritic </w:t>
            </w:r>
            <w:proofErr w:type="spellStart"/>
            <w:r w:rsidRPr="00B01F9E">
              <w:rPr>
                <w:rStyle w:val="normaltextrun"/>
                <w:rFonts w:ascii="Arial" w:hAnsi="Arial" w:cs="Arial"/>
                <w:sz w:val="20"/>
                <w:szCs w:val="20"/>
              </w:rPr>
              <w:t>meshworks</w:t>
            </w:r>
            <w:proofErr w:type="spellEnd"/>
            <w:r w:rsidRPr="00B01F9E">
              <w:rPr>
                <w:rStyle w:val="eop"/>
                <w:rFonts w:ascii="Arial" w:hAnsi="Arial" w:cs="Arial"/>
                <w:sz w:val="20"/>
                <w:szCs w:val="20"/>
              </w:rPr>
              <w:t> </w:t>
            </w:r>
          </w:p>
        </w:tc>
      </w:tr>
      <w:tr w:rsidR="00EC43A7" w:rsidRPr="00B01F9E" w14:paraId="47BDF209" w14:textId="77777777" w:rsidTr="00DB373C">
        <w:tc>
          <w:tcPr>
            <w:tcW w:w="1345" w:type="dxa"/>
          </w:tcPr>
          <w:p w14:paraId="0DD8DF04"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CD30</w:t>
            </w:r>
          </w:p>
        </w:tc>
        <w:tc>
          <w:tcPr>
            <w:tcW w:w="3240" w:type="dxa"/>
          </w:tcPr>
          <w:p w14:paraId="53F060C9"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p>
        </w:tc>
      </w:tr>
      <w:tr w:rsidR="00EC43A7" w:rsidRPr="00B01F9E" w14:paraId="6FCB9C06" w14:textId="77777777" w:rsidTr="00DB373C">
        <w:tc>
          <w:tcPr>
            <w:tcW w:w="1345" w:type="dxa"/>
          </w:tcPr>
          <w:p w14:paraId="5CFB1624"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Ki-67</w:t>
            </w:r>
          </w:p>
        </w:tc>
        <w:tc>
          <w:tcPr>
            <w:tcW w:w="3240" w:type="dxa"/>
          </w:tcPr>
          <w:p w14:paraId="278D38DF"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95%</w:t>
            </w:r>
          </w:p>
        </w:tc>
      </w:tr>
      <w:tr w:rsidR="00EC43A7" w:rsidRPr="00B01F9E" w14:paraId="731B0992" w14:textId="77777777" w:rsidTr="00DB373C">
        <w:tc>
          <w:tcPr>
            <w:tcW w:w="1345" w:type="dxa"/>
          </w:tcPr>
          <w:p w14:paraId="712D8A49"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EBV ISH</w:t>
            </w:r>
          </w:p>
        </w:tc>
        <w:tc>
          <w:tcPr>
            <w:tcW w:w="3240" w:type="dxa"/>
          </w:tcPr>
          <w:p w14:paraId="7B1F1950"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p>
        </w:tc>
      </w:tr>
      <w:tr w:rsidR="00EC43A7" w:rsidRPr="00B01F9E" w14:paraId="69BAA93E" w14:textId="77777777" w:rsidTr="00DB373C">
        <w:tc>
          <w:tcPr>
            <w:tcW w:w="1345" w:type="dxa"/>
          </w:tcPr>
          <w:p w14:paraId="6F4B1B73"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proofErr w:type="spellStart"/>
            <w:r w:rsidRPr="00B01F9E">
              <w:rPr>
                <w:rStyle w:val="normaltextrun"/>
                <w:rFonts w:ascii="Arial" w:hAnsi="Arial" w:cs="Arial"/>
                <w:sz w:val="20"/>
                <w:szCs w:val="20"/>
              </w:rPr>
              <w:t>TdT</w:t>
            </w:r>
            <w:proofErr w:type="spellEnd"/>
          </w:p>
        </w:tc>
        <w:tc>
          <w:tcPr>
            <w:tcW w:w="3240" w:type="dxa"/>
          </w:tcPr>
          <w:p w14:paraId="2F68FCE5"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r w:rsidRPr="00B01F9E">
              <w:rPr>
                <w:rStyle w:val="eop"/>
                <w:rFonts w:ascii="Arial" w:hAnsi="Arial" w:cs="Arial"/>
                <w:sz w:val="20"/>
                <w:szCs w:val="20"/>
              </w:rPr>
              <w:t> </w:t>
            </w:r>
          </w:p>
        </w:tc>
      </w:tr>
      <w:tr w:rsidR="00EC43A7" w:rsidRPr="00B01F9E" w14:paraId="228F6973" w14:textId="77777777" w:rsidTr="00DB373C">
        <w:tc>
          <w:tcPr>
            <w:tcW w:w="1345" w:type="dxa"/>
          </w:tcPr>
          <w:p w14:paraId="38FB9760" w14:textId="77777777" w:rsidR="00EC43A7" w:rsidRPr="00B01F9E" w:rsidRDefault="00EC43A7" w:rsidP="00DB373C">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ALK</w:t>
            </w:r>
          </w:p>
        </w:tc>
        <w:tc>
          <w:tcPr>
            <w:tcW w:w="3240" w:type="dxa"/>
          </w:tcPr>
          <w:p w14:paraId="26EB0E46" w14:textId="77777777" w:rsidR="00EC43A7" w:rsidRPr="00B01F9E" w:rsidRDefault="00EC43A7" w:rsidP="00DB373C">
            <w:pPr>
              <w:pStyle w:val="paragraph"/>
              <w:spacing w:before="0" w:beforeAutospacing="0" w:after="0" w:afterAutospacing="0"/>
              <w:textAlignment w:val="baseline"/>
              <w:rPr>
                <w:rStyle w:val="eop"/>
                <w:rFonts w:ascii="Arial" w:hAnsi="Arial" w:cs="Arial"/>
                <w:sz w:val="20"/>
                <w:szCs w:val="20"/>
              </w:rPr>
            </w:pPr>
            <w:r w:rsidRPr="00B01F9E">
              <w:rPr>
                <w:rStyle w:val="normaltextrun"/>
                <w:rFonts w:ascii="Arial" w:hAnsi="Arial" w:cs="Arial"/>
                <w:sz w:val="20"/>
                <w:szCs w:val="20"/>
              </w:rPr>
              <w:t>Negative</w:t>
            </w:r>
            <w:r w:rsidRPr="00B01F9E">
              <w:rPr>
                <w:rStyle w:val="eop"/>
                <w:rFonts w:ascii="Arial" w:hAnsi="Arial" w:cs="Arial"/>
                <w:sz w:val="20"/>
                <w:szCs w:val="20"/>
              </w:rPr>
              <w:t> </w:t>
            </w:r>
          </w:p>
        </w:tc>
      </w:tr>
    </w:tbl>
    <w:p w14:paraId="439130A0" w14:textId="35F78DA8" w:rsidR="00EC43A7" w:rsidRPr="00B01F9E" w:rsidRDefault="00EC43A7" w:rsidP="00955B5A">
      <w:pPr>
        <w:spacing w:before="120" w:after="120"/>
        <w:rPr>
          <w:rFonts w:ascii="Arial" w:hAnsi="Arial" w:cs="Arial"/>
          <w:sz w:val="20"/>
          <w:szCs w:val="20"/>
        </w:rPr>
      </w:pPr>
      <w:r w:rsidRPr="00B01F9E">
        <w:rPr>
          <w:rStyle w:val="normaltextrun"/>
          <w:rFonts w:ascii="Arial" w:hAnsi="Arial" w:cs="Arial"/>
          <w:sz w:val="20"/>
          <w:szCs w:val="20"/>
        </w:rPr>
        <w:t>Unstained slides suitable for molecular tests are prepared from the formalin-fixed paraffin-embedded (FFPE) for:</w:t>
      </w:r>
      <w:r w:rsidRPr="00B01F9E">
        <w:rPr>
          <w:rStyle w:val="eop"/>
          <w:rFonts w:ascii="Arial" w:hAnsi="Arial" w:cs="Arial"/>
          <w:sz w:val="20"/>
          <w:szCs w:val="20"/>
        </w:rPr>
        <w:t> </w:t>
      </w:r>
    </w:p>
    <w:p w14:paraId="34034BC2" w14:textId="6E04E80B"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 xml:space="preserve">Fluorescence in situ hybridization (FISH) for the Lymphoma (Aggressive) Panel which evaluates for rearrangements in the </w:t>
      </w:r>
      <w:r w:rsidRPr="00B01F9E">
        <w:rPr>
          <w:rStyle w:val="normaltextrun"/>
          <w:rFonts w:ascii="Arial" w:hAnsi="Arial" w:cs="Arial"/>
          <w:i/>
          <w:iCs/>
          <w:sz w:val="20"/>
          <w:szCs w:val="20"/>
        </w:rPr>
        <w:t xml:space="preserve">BCL2, BCL6 </w:t>
      </w:r>
      <w:r w:rsidRPr="00B01F9E">
        <w:rPr>
          <w:rStyle w:val="normaltextrun"/>
          <w:rFonts w:ascii="Arial" w:hAnsi="Arial" w:cs="Arial"/>
          <w:sz w:val="20"/>
          <w:szCs w:val="20"/>
        </w:rPr>
        <w:t>and</w:t>
      </w:r>
      <w:r w:rsidRPr="00B01F9E">
        <w:rPr>
          <w:rStyle w:val="normaltextrun"/>
          <w:rFonts w:ascii="Arial" w:hAnsi="Arial" w:cs="Arial"/>
          <w:i/>
          <w:iCs/>
          <w:sz w:val="20"/>
          <w:szCs w:val="20"/>
        </w:rPr>
        <w:t xml:space="preserve"> MYC</w:t>
      </w:r>
      <w:r w:rsidRPr="00B01F9E">
        <w:rPr>
          <w:rStyle w:val="normaltextrun"/>
          <w:rFonts w:ascii="Arial" w:hAnsi="Arial" w:cs="Arial"/>
          <w:sz w:val="20"/>
          <w:szCs w:val="20"/>
        </w:rPr>
        <w:t xml:space="preserve"> genes was performed on the tissue on the Dako Omnis</w:t>
      </w:r>
      <w:r w:rsidRPr="00B01F9E">
        <w:rPr>
          <w:rFonts w:ascii="Arial" w:hAnsi="Arial" w:cs="Arial"/>
          <w:sz w:val="20"/>
          <w:szCs w:val="20"/>
        </w:rPr>
        <w:t>™</w:t>
      </w:r>
      <w:r w:rsidRPr="00B01F9E">
        <w:rPr>
          <w:rStyle w:val="normaltextrun"/>
          <w:rFonts w:ascii="Arial" w:hAnsi="Arial" w:cs="Arial"/>
          <w:sz w:val="20"/>
          <w:szCs w:val="20"/>
        </w:rPr>
        <w:t xml:space="preserve"> instrument using the </w:t>
      </w:r>
      <w:proofErr w:type="spellStart"/>
      <w:r w:rsidRPr="00B01F9E">
        <w:rPr>
          <w:rStyle w:val="normaltextrun"/>
          <w:rFonts w:ascii="Arial" w:hAnsi="Arial" w:cs="Arial"/>
          <w:sz w:val="20"/>
          <w:szCs w:val="20"/>
        </w:rPr>
        <w:t>Vysis</w:t>
      </w:r>
      <w:proofErr w:type="spellEnd"/>
      <w:r w:rsidRPr="00B01F9E">
        <w:rPr>
          <w:rStyle w:val="normaltextrun"/>
          <w:rFonts w:ascii="Arial" w:hAnsi="Arial" w:cs="Arial"/>
          <w:sz w:val="20"/>
          <w:szCs w:val="20"/>
        </w:rPr>
        <w:t xml:space="preserve"> LSI IGH/BCL2 Dual Color</w:t>
      </w:r>
      <w:r w:rsidRPr="00B01F9E">
        <w:rPr>
          <w:rFonts w:ascii="Arial" w:hAnsi="Arial" w:cs="Arial"/>
          <w:sz w:val="20"/>
          <w:szCs w:val="20"/>
        </w:rPr>
        <w:t>™</w:t>
      </w:r>
      <w:r w:rsidRPr="00B01F9E">
        <w:rPr>
          <w:rStyle w:val="normaltextrun"/>
          <w:rFonts w:ascii="Arial" w:hAnsi="Arial" w:cs="Arial"/>
          <w:sz w:val="20"/>
          <w:szCs w:val="20"/>
        </w:rPr>
        <w:t>, LSI BCL6 Dual Color Break Apart Rearrangement Probe</w:t>
      </w:r>
      <w:r w:rsidRPr="00B01F9E">
        <w:rPr>
          <w:rFonts w:ascii="Arial" w:hAnsi="Arial" w:cs="Arial"/>
          <w:sz w:val="20"/>
          <w:szCs w:val="20"/>
        </w:rPr>
        <w:t>™</w:t>
      </w:r>
      <w:r w:rsidRPr="00B01F9E">
        <w:rPr>
          <w:rStyle w:val="normaltextrun"/>
          <w:rFonts w:ascii="Arial" w:hAnsi="Arial" w:cs="Arial"/>
          <w:sz w:val="20"/>
          <w:szCs w:val="20"/>
        </w:rPr>
        <w:t>, and LSI MYC Break Apart Rearrangement Probe</w:t>
      </w:r>
      <w:r w:rsidRPr="00B01F9E">
        <w:rPr>
          <w:rFonts w:ascii="Arial" w:hAnsi="Arial" w:cs="Arial"/>
          <w:sz w:val="20"/>
          <w:szCs w:val="20"/>
        </w:rPr>
        <w:t>™</w:t>
      </w:r>
      <w:r w:rsidRPr="00B01F9E">
        <w:rPr>
          <w:rStyle w:val="normaltextrun"/>
          <w:rFonts w:ascii="Arial" w:hAnsi="Arial" w:cs="Arial"/>
          <w:sz w:val="20"/>
          <w:szCs w:val="20"/>
        </w:rPr>
        <w:t>. The results are reported as narrative results and in this case were negative for</w:t>
      </w:r>
      <w:r w:rsidRPr="00B01F9E">
        <w:rPr>
          <w:rStyle w:val="normaltextrun"/>
          <w:rFonts w:ascii="Arial" w:hAnsi="Arial" w:cs="Arial"/>
          <w:i/>
          <w:iCs/>
          <w:sz w:val="20"/>
          <w:szCs w:val="20"/>
        </w:rPr>
        <w:t xml:space="preserve"> BCL2, BCL6, </w:t>
      </w:r>
      <w:r w:rsidRPr="00B01F9E">
        <w:rPr>
          <w:rStyle w:val="normaltextrun"/>
          <w:rFonts w:ascii="Arial" w:hAnsi="Arial" w:cs="Arial"/>
          <w:sz w:val="20"/>
          <w:szCs w:val="20"/>
        </w:rPr>
        <w:t>and</w:t>
      </w:r>
      <w:r w:rsidRPr="00B01F9E">
        <w:rPr>
          <w:rStyle w:val="normaltextrun"/>
          <w:rFonts w:ascii="Arial" w:hAnsi="Arial" w:cs="Arial"/>
          <w:i/>
          <w:iCs/>
          <w:sz w:val="20"/>
          <w:szCs w:val="20"/>
        </w:rPr>
        <w:t xml:space="preserve"> MYC</w:t>
      </w:r>
      <w:r w:rsidRPr="00B01F9E">
        <w:rPr>
          <w:rStyle w:val="normaltextrun"/>
          <w:rFonts w:ascii="Arial" w:hAnsi="Arial" w:cs="Arial"/>
          <w:sz w:val="20"/>
          <w:szCs w:val="20"/>
        </w:rPr>
        <w:t xml:space="preserve"> gene rearrangements.</w:t>
      </w:r>
      <w:r w:rsidRPr="00B01F9E">
        <w:rPr>
          <w:rStyle w:val="eop"/>
          <w:rFonts w:ascii="Arial" w:hAnsi="Arial" w:cs="Arial"/>
          <w:sz w:val="20"/>
          <w:szCs w:val="20"/>
        </w:rPr>
        <w:t> </w:t>
      </w:r>
    </w:p>
    <w:p w14:paraId="7D7E1EF3" w14:textId="6BA89AD5"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B-cell receptor gene rearrangement studies to evaluate for clonal rearrangement if the immunoglobulin heavy chain gene (</w:t>
      </w:r>
      <w:proofErr w:type="spellStart"/>
      <w:r w:rsidRPr="00B01F9E">
        <w:rPr>
          <w:rStyle w:val="normaltextrun"/>
          <w:rFonts w:ascii="Arial" w:hAnsi="Arial" w:cs="Arial"/>
          <w:sz w:val="20"/>
          <w:szCs w:val="20"/>
        </w:rPr>
        <w:t>IgH</w:t>
      </w:r>
      <w:proofErr w:type="spellEnd"/>
      <w:r w:rsidRPr="00B01F9E">
        <w:rPr>
          <w:rStyle w:val="normaltextrun"/>
          <w:rFonts w:ascii="Arial" w:hAnsi="Arial" w:cs="Arial"/>
          <w:sz w:val="20"/>
          <w:szCs w:val="20"/>
        </w:rPr>
        <w:t>) and kappa light chain gene (</w:t>
      </w:r>
      <w:proofErr w:type="spellStart"/>
      <w:r w:rsidRPr="00B01F9E">
        <w:rPr>
          <w:rStyle w:val="normaltextrun"/>
          <w:rFonts w:ascii="Arial" w:hAnsi="Arial" w:cs="Arial"/>
          <w:sz w:val="20"/>
          <w:szCs w:val="20"/>
        </w:rPr>
        <w:t>Igκ</w:t>
      </w:r>
      <w:proofErr w:type="spellEnd"/>
      <w:r w:rsidRPr="00B01F9E">
        <w:rPr>
          <w:rStyle w:val="normaltextrun"/>
          <w:rFonts w:ascii="Arial" w:hAnsi="Arial" w:cs="Arial"/>
          <w:sz w:val="20"/>
          <w:szCs w:val="20"/>
        </w:rPr>
        <w:t xml:space="preserve">) using BIOMED-2 multiplex polymerase chain reaction (PCR) was performed on the </w:t>
      </w:r>
      <w:proofErr w:type="spellStart"/>
      <w:r w:rsidRPr="00B01F9E">
        <w:rPr>
          <w:rStyle w:val="normaltextrun"/>
          <w:rFonts w:ascii="Arial" w:hAnsi="Arial" w:cs="Arial"/>
          <w:sz w:val="20"/>
          <w:szCs w:val="20"/>
        </w:rPr>
        <w:t>Thermo</w:t>
      </w:r>
      <w:proofErr w:type="spellEnd"/>
      <w:r w:rsidRPr="00B01F9E">
        <w:rPr>
          <w:rStyle w:val="normaltextrun"/>
          <w:rFonts w:ascii="Arial" w:hAnsi="Arial" w:cs="Arial"/>
          <w:sz w:val="20"/>
          <w:szCs w:val="20"/>
        </w:rPr>
        <w:t xml:space="preserve"> Fishers Applied Biosystems</w:t>
      </w:r>
      <w:r w:rsidRPr="00B01F9E">
        <w:rPr>
          <w:rFonts w:ascii="Arial" w:hAnsi="Arial" w:cs="Arial"/>
          <w:sz w:val="20"/>
          <w:szCs w:val="20"/>
        </w:rPr>
        <w:t>™</w:t>
      </w:r>
      <w:r w:rsidRPr="00B01F9E">
        <w:rPr>
          <w:rStyle w:val="normaltextrun"/>
          <w:rFonts w:ascii="Arial" w:hAnsi="Arial" w:cs="Arial"/>
          <w:sz w:val="20"/>
          <w:szCs w:val="20"/>
        </w:rPr>
        <w:t xml:space="preserve"> instrument using the 2-tube, 2-fluorochrome </w:t>
      </w:r>
      <w:proofErr w:type="spellStart"/>
      <w:r w:rsidRPr="00B01F9E">
        <w:rPr>
          <w:rStyle w:val="normaltextrun"/>
          <w:rFonts w:ascii="Arial" w:hAnsi="Arial" w:cs="Arial"/>
          <w:sz w:val="20"/>
          <w:szCs w:val="20"/>
        </w:rPr>
        <w:t>EuroClonality</w:t>
      </w:r>
      <w:proofErr w:type="spellEnd"/>
      <w:r w:rsidRPr="00B01F9E">
        <w:rPr>
          <w:rStyle w:val="normaltextrun"/>
          <w:rFonts w:ascii="Arial" w:hAnsi="Arial" w:cs="Arial"/>
          <w:sz w:val="20"/>
          <w:szCs w:val="20"/>
        </w:rPr>
        <w:t>/BIOMED-2 TRG PCR (TRG-2T-2F)</w:t>
      </w:r>
      <w:r w:rsidRPr="00B01F9E">
        <w:rPr>
          <w:rFonts w:ascii="Arial" w:hAnsi="Arial" w:cs="Arial"/>
          <w:sz w:val="20"/>
          <w:szCs w:val="20"/>
        </w:rPr>
        <w:t xml:space="preserve"> ™</w:t>
      </w:r>
      <w:r w:rsidRPr="00B01F9E">
        <w:rPr>
          <w:rStyle w:val="normaltextrun"/>
          <w:rFonts w:ascii="Arial" w:hAnsi="Arial" w:cs="Arial"/>
          <w:sz w:val="20"/>
          <w:szCs w:val="20"/>
        </w:rPr>
        <w:t xml:space="preserve"> kit. The results are provided as a narrative interpretation and in this case was positive for a clonal B-cell population.</w:t>
      </w:r>
      <w:r w:rsidRPr="00B01F9E">
        <w:rPr>
          <w:rStyle w:val="eop"/>
          <w:rFonts w:ascii="Arial" w:hAnsi="Arial" w:cs="Arial"/>
          <w:sz w:val="20"/>
          <w:szCs w:val="20"/>
        </w:rPr>
        <w:t> </w:t>
      </w:r>
    </w:p>
    <w:p w14:paraId="6A76496F" w14:textId="06191C41" w:rsidR="00EC43A7" w:rsidRPr="00B01F9E" w:rsidRDefault="00EC43A7" w:rsidP="00955B5A">
      <w:pPr>
        <w:spacing w:after="120"/>
        <w:rPr>
          <w:rFonts w:ascii="Arial" w:hAnsi="Arial" w:cs="Arial"/>
          <w:sz w:val="20"/>
          <w:szCs w:val="20"/>
        </w:rPr>
      </w:pPr>
      <w:r w:rsidRPr="00B01F9E">
        <w:rPr>
          <w:rStyle w:val="normaltextrun"/>
          <w:rFonts w:ascii="Arial" w:hAnsi="Arial" w:cs="Arial"/>
          <w:sz w:val="20"/>
          <w:szCs w:val="20"/>
        </w:rPr>
        <w:t>Additional unstained slides are sent for a lymphoma 34 gene next generation sequencing panel to be performed. The panel was performed on the Ion Torrent Personal Genome Machine (PGM) Sequencing</w:t>
      </w:r>
      <w:r w:rsidRPr="00B01F9E">
        <w:rPr>
          <w:rFonts w:ascii="Arial" w:hAnsi="Arial" w:cs="Arial"/>
          <w:sz w:val="20"/>
          <w:szCs w:val="20"/>
        </w:rPr>
        <w:t>™</w:t>
      </w:r>
      <w:r w:rsidRPr="00B01F9E">
        <w:rPr>
          <w:rStyle w:val="normaltextrun"/>
          <w:rFonts w:ascii="Arial" w:hAnsi="Arial" w:cs="Arial"/>
          <w:sz w:val="20"/>
          <w:szCs w:val="20"/>
        </w:rPr>
        <w:t xml:space="preserve"> instrument with PGM data analysis using the </w:t>
      </w:r>
      <w:proofErr w:type="spellStart"/>
      <w:r w:rsidRPr="00B01F9E">
        <w:rPr>
          <w:rStyle w:val="normaltextrun"/>
          <w:rFonts w:ascii="Arial" w:hAnsi="Arial" w:cs="Arial"/>
          <w:sz w:val="20"/>
          <w:szCs w:val="20"/>
        </w:rPr>
        <w:t>Lymphopanel</w:t>
      </w:r>
      <w:proofErr w:type="spellEnd"/>
      <w:r w:rsidRPr="00B01F9E">
        <w:rPr>
          <w:rStyle w:val="normaltextrun"/>
          <w:rFonts w:ascii="Arial" w:hAnsi="Arial" w:cs="Arial"/>
          <w:sz w:val="20"/>
          <w:szCs w:val="20"/>
        </w:rPr>
        <w:t xml:space="preserve"> which evaluates for 34 genes associated with the following pathways: Immunity (CIITA, B2M, TNFRSF14, ), NOTCH (), Apoptosis/Cell cycle (MFHAS1, XPO1, MYC, CDKN2A/B, FOXO1, TP53, GNA13, ), </w:t>
      </w:r>
      <w:proofErr w:type="spellStart"/>
      <w:r w:rsidRPr="00B01F9E">
        <w:rPr>
          <w:rStyle w:val="normaltextrun"/>
          <w:rFonts w:ascii="Arial" w:hAnsi="Arial" w:cs="Arial"/>
          <w:sz w:val="20"/>
          <w:szCs w:val="20"/>
        </w:rPr>
        <w:t>NFκB</w:t>
      </w:r>
      <w:proofErr w:type="spellEnd"/>
      <w:r w:rsidRPr="00B01F9E">
        <w:rPr>
          <w:rStyle w:val="normaltextrun"/>
          <w:rFonts w:ascii="Arial" w:hAnsi="Arial" w:cs="Arial"/>
          <w:sz w:val="20"/>
          <w:szCs w:val="20"/>
        </w:rPr>
        <w:t xml:space="preserve"> (TNFAIP3, MYD88, PIM1, CARD11, IRF4, ), Epigenetic Regulation (EZH2, KMT2D, EP300, MEF2B, ), MAP Kinase (BRAF), JAK-STAT (), and BCR (CD79A/B, ITPKB, TCF3</w:t>
      </w:r>
      <w:r w:rsidR="00D65289" w:rsidRPr="00B01F9E">
        <w:rPr>
          <w:rStyle w:val="normaltextrun"/>
          <w:rFonts w:ascii="Arial" w:hAnsi="Arial" w:cs="Arial"/>
          <w:sz w:val="20"/>
          <w:szCs w:val="20"/>
        </w:rPr>
        <w:t>.</w:t>
      </w:r>
      <w:r w:rsidRPr="00B01F9E">
        <w:rPr>
          <w:rStyle w:val="normaltextrun"/>
          <w:rFonts w:ascii="Arial" w:hAnsi="Arial" w:cs="Arial"/>
          <w:sz w:val="20"/>
          <w:szCs w:val="20"/>
        </w:rPr>
        <w:t xml:space="preserve"> The results are reported as narrative results. It is recommended that results are reported using Human Genome Variation Society (HGVS) Nomenclature. At the minimum the genomic coordinates, which are directly related to the reference genome and include the chromosome name, start position, and end position, must be included.</w:t>
      </w:r>
      <w:r w:rsidRPr="00B01F9E">
        <w:rPr>
          <w:rStyle w:val="eop"/>
          <w:rFonts w:ascii="Arial" w:hAnsi="Arial" w:cs="Arial"/>
          <w:sz w:val="20"/>
          <w:szCs w:val="20"/>
        </w:rPr>
        <w:t> </w:t>
      </w:r>
    </w:p>
    <w:p w14:paraId="56EC1C96" w14:textId="6B3CF11E" w:rsidR="00EC43A7" w:rsidRPr="00B01F9E" w:rsidRDefault="009F1F82" w:rsidP="007005A9">
      <w:pPr>
        <w:pStyle w:val="Heading3"/>
        <w:spacing w:before="0" w:after="120"/>
        <w:rPr>
          <w:rFonts w:ascii="Arial" w:hAnsi="Arial" w:cs="Arial"/>
          <w:b/>
          <w:i/>
          <w:color w:val="009BBF"/>
          <w:sz w:val="20"/>
          <w:szCs w:val="20"/>
        </w:rPr>
      </w:pPr>
      <w:bookmarkStart w:id="382" w:name="_Toc177137019"/>
      <w:r w:rsidRPr="00B01F9E">
        <w:rPr>
          <w:rFonts w:ascii="Arial" w:hAnsi="Arial" w:cs="Arial"/>
          <w:b/>
          <w:i/>
          <w:color w:val="009BBF"/>
          <w:sz w:val="20"/>
          <w:szCs w:val="20"/>
        </w:rPr>
        <w:lastRenderedPageBreak/>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.5 Clinical Narrative 5: Breast Resection for Cancer</w:t>
      </w:r>
      <w:bookmarkEnd w:id="382"/>
      <w:r w:rsidR="00EC43A7" w:rsidRPr="00B01F9E">
        <w:rPr>
          <w:rFonts w:ascii="Arial" w:hAnsi="Arial" w:cs="Arial"/>
          <w:b/>
          <w:i/>
          <w:color w:val="009BBF"/>
          <w:sz w:val="20"/>
          <w:szCs w:val="20"/>
        </w:rPr>
        <w:t xml:space="preserve"> </w:t>
      </w:r>
    </w:p>
    <w:p w14:paraId="3B118A99" w14:textId="328E2CD5" w:rsidR="00EC43A7" w:rsidRPr="00B01F9E" w:rsidRDefault="00EC43A7" w:rsidP="007B0786">
      <w:pPr>
        <w:spacing w:after="120"/>
        <w:rPr>
          <w:rFonts w:ascii="Arial" w:eastAsia="Times New Roman" w:hAnsi="Arial" w:cs="Arial"/>
          <w:sz w:val="20"/>
          <w:szCs w:val="20"/>
        </w:rPr>
      </w:pPr>
      <w:r w:rsidRPr="00B01F9E">
        <w:rPr>
          <w:rFonts w:ascii="Arial" w:eastAsia="Times New Roman" w:hAnsi="Arial" w:cs="Arial"/>
          <w:sz w:val="20"/>
          <w:szCs w:val="20"/>
        </w:rPr>
        <w:t xml:space="preserve">This 38-year-old female previously presented with a palpable mass that was biopsied. </w:t>
      </w:r>
      <w:r w:rsidRPr="00B01F9E">
        <w:rPr>
          <w:rFonts w:ascii="Arial" w:hAnsi="Arial" w:cs="Arial"/>
          <w:sz w:val="20"/>
          <w:szCs w:val="20"/>
        </w:rPr>
        <w:t>The</w:t>
      </w:r>
      <w:r w:rsidRPr="00B01F9E">
        <w:rPr>
          <w:rFonts w:ascii="Arial" w:eastAsia="Times New Roman" w:hAnsi="Arial" w:cs="Arial"/>
          <w:sz w:val="20"/>
          <w:szCs w:val="20"/>
        </w:rPr>
        <w:t xml:space="preserve"> biopsy </w:t>
      </w:r>
      <w:r w:rsidRPr="00B01F9E">
        <w:rPr>
          <w:rFonts w:ascii="Arial" w:hAnsi="Arial" w:cs="Arial"/>
          <w:sz w:val="20"/>
          <w:szCs w:val="20"/>
        </w:rPr>
        <w:t xml:space="preserve">site </w:t>
      </w:r>
      <w:r w:rsidRPr="00B01F9E">
        <w:rPr>
          <w:rFonts w:ascii="Arial" w:eastAsia="Times New Roman" w:hAnsi="Arial" w:cs="Arial"/>
          <w:sz w:val="20"/>
          <w:szCs w:val="20"/>
        </w:rPr>
        <w:t xml:space="preserve">was </w:t>
      </w:r>
      <w:r w:rsidRPr="00B01F9E">
        <w:rPr>
          <w:rFonts w:ascii="Arial" w:hAnsi="Arial" w:cs="Arial"/>
          <w:sz w:val="20"/>
          <w:szCs w:val="20"/>
        </w:rPr>
        <w:t>marked</w:t>
      </w:r>
      <w:r w:rsidRPr="00B01F9E">
        <w:rPr>
          <w:rFonts w:ascii="Arial" w:eastAsia="Times New Roman" w:hAnsi="Arial" w:cs="Arial"/>
          <w:sz w:val="20"/>
          <w:szCs w:val="20"/>
        </w:rPr>
        <w:t xml:space="preserve"> with a clip</w:t>
      </w:r>
      <w:r w:rsidRPr="00B01F9E">
        <w:rPr>
          <w:rFonts w:ascii="Arial" w:hAnsi="Arial" w:cs="Arial"/>
          <w:sz w:val="20"/>
          <w:szCs w:val="20"/>
        </w:rPr>
        <w:t xml:space="preserve"> for easy identification.</w:t>
      </w:r>
      <w:r w:rsidRPr="00B01F9E">
        <w:rPr>
          <w:rFonts w:ascii="Arial" w:eastAsia="Times New Roman" w:hAnsi="Arial" w:cs="Arial"/>
          <w:sz w:val="20"/>
          <w:szCs w:val="20"/>
        </w:rPr>
        <w:t xml:space="preserve"> Invasive ductal carcinoma not otherwise specified was diagnosed, Nottingham Grade 3, without ductal carcinoma in situ (DCIS). Biomarker studies indicated that the tumor was ER/PR/Her2neu negative with a proliferation index as measured by ki-67 of 75%. </w:t>
      </w:r>
    </w:p>
    <w:p w14:paraId="7041F6AA" w14:textId="77777777" w:rsidR="00EC43A7" w:rsidRPr="00B01F9E" w:rsidRDefault="00EC43A7" w:rsidP="00856A8B">
      <w:pPr>
        <w:spacing w:after="120"/>
        <w:rPr>
          <w:rFonts w:ascii="Arial" w:hAnsi="Arial" w:cs="Arial"/>
          <w:sz w:val="20"/>
          <w:szCs w:val="20"/>
        </w:rPr>
      </w:pPr>
      <w:r w:rsidRPr="00B01F9E">
        <w:rPr>
          <w:rFonts w:ascii="Arial" w:eastAsia="Times New Roman" w:hAnsi="Arial" w:cs="Arial"/>
          <w:sz w:val="20"/>
          <w:szCs w:val="20"/>
        </w:rPr>
        <w:t>Clinically, the tumor measured 1.5 cm (cT1c</w:t>
      </w:r>
      <w:proofErr w:type="gramStart"/>
      <w:r w:rsidRPr="00B01F9E">
        <w:rPr>
          <w:rFonts w:ascii="Arial" w:eastAsia="Times New Roman" w:hAnsi="Arial" w:cs="Arial"/>
          <w:sz w:val="20"/>
          <w:szCs w:val="20"/>
        </w:rPr>
        <w:t>)</w:t>
      </w:r>
      <w:proofErr w:type="gramEnd"/>
      <w:r w:rsidRPr="00B01F9E">
        <w:rPr>
          <w:rFonts w:ascii="Arial" w:eastAsia="Times New Roman" w:hAnsi="Arial" w:cs="Arial"/>
          <w:sz w:val="20"/>
          <w:szCs w:val="20"/>
        </w:rPr>
        <w:t xml:space="preserve"> and ultrasound examination of the axilla was negative. </w:t>
      </w:r>
    </w:p>
    <w:p w14:paraId="2AFEDCD6" w14:textId="135AAF3D" w:rsidR="00EC43A7" w:rsidRPr="00B01F9E" w:rsidRDefault="00EC43A7" w:rsidP="00EC43A7">
      <w:pPr>
        <w:spacing w:after="120"/>
        <w:rPr>
          <w:rFonts w:ascii="Arial" w:eastAsia="Times New Roman" w:hAnsi="Arial" w:cs="Arial"/>
          <w:sz w:val="20"/>
          <w:szCs w:val="20"/>
        </w:rPr>
      </w:pPr>
      <w:r w:rsidRPr="00B01F9E">
        <w:rPr>
          <w:rFonts w:ascii="Arial" w:eastAsia="Times New Roman" w:hAnsi="Arial" w:cs="Arial"/>
          <w:sz w:val="20"/>
          <w:szCs w:val="20"/>
        </w:rPr>
        <w:t>She now proceeds for a lumpectomy (aka partial mastectomy, aka excision, aka segmental excision) to remove the tumor. She will undergo a sentinel lymph node biopsy simultaneously. </w:t>
      </w:r>
    </w:p>
    <w:p w14:paraId="0E6ABBA3" w14:textId="7ACBB37E" w:rsidR="00EC43A7" w:rsidRPr="00B01F9E" w:rsidRDefault="00EC43A7" w:rsidP="00856A8B">
      <w:pPr>
        <w:spacing w:after="120"/>
        <w:rPr>
          <w:rFonts w:ascii="Arial" w:eastAsia="Times New Roman" w:hAnsi="Arial" w:cs="Arial"/>
          <w:sz w:val="20"/>
          <w:szCs w:val="20"/>
        </w:rPr>
      </w:pPr>
      <w:r w:rsidRPr="00B01F9E">
        <w:rPr>
          <w:rFonts w:ascii="Arial" w:eastAsia="Times New Roman" w:hAnsi="Arial" w:cs="Arial"/>
          <w:sz w:val="20"/>
          <w:szCs w:val="20"/>
        </w:rPr>
        <w:t xml:space="preserve">Prior to surgery, the patient is interviewed and has laboratory testing as deemed appropriate for surgical evaluation. Additionally, three magnetic seeds are placed under imaging guidance to determine the boundaries of the tumor. Also, she has a technetium 99 injection for sentinel lymph node identification. These procedures are not included in the final AP report as they were performed by radiology. </w:t>
      </w:r>
    </w:p>
    <w:p w14:paraId="2FAD110A" w14:textId="640473FD" w:rsidR="00EC43A7" w:rsidRPr="00B01F9E" w:rsidRDefault="00EC43A7" w:rsidP="007005A9">
      <w:pPr>
        <w:spacing w:after="120"/>
        <w:rPr>
          <w:rFonts w:ascii="Arial" w:eastAsia="Times New Roman" w:hAnsi="Arial" w:cs="Arial"/>
          <w:sz w:val="20"/>
          <w:szCs w:val="20"/>
        </w:rPr>
      </w:pPr>
      <w:r w:rsidRPr="00B01F9E">
        <w:rPr>
          <w:rFonts w:ascii="Arial" w:eastAsia="Times New Roman" w:hAnsi="Arial" w:cs="Arial"/>
          <w:sz w:val="20"/>
          <w:szCs w:val="20"/>
        </w:rPr>
        <w:t>Patient reports at the time and location designated for surgery. The surgeon removes breast tissue and a sentinel lymph node for evaluation. The surgeon requests a surgical pathology examination with report of both specimens, obtained as part of a single procedure, to be returned to the surgeon with a copy to the patient’s medical oncologist and radiation oncologist. </w:t>
      </w:r>
    </w:p>
    <w:p w14:paraId="1D7388A6" w14:textId="1901720E" w:rsidR="00EC43A7" w:rsidRPr="00B01F9E" w:rsidRDefault="00EC43A7" w:rsidP="007005A9">
      <w:pPr>
        <w:spacing w:after="120"/>
        <w:rPr>
          <w:rFonts w:ascii="Arial" w:eastAsia="Times New Roman" w:hAnsi="Arial" w:cs="Arial"/>
          <w:sz w:val="20"/>
          <w:szCs w:val="20"/>
        </w:rPr>
      </w:pPr>
      <w:r w:rsidRPr="00B01F9E">
        <w:rPr>
          <w:rFonts w:ascii="Arial" w:hAnsi="Arial" w:cs="Arial"/>
          <w:sz w:val="20"/>
          <w:szCs w:val="20"/>
        </w:rPr>
        <w:t xml:space="preserve">During the surgery, the surgeon identifies the magnetic seeds with a probe. </w:t>
      </w:r>
      <w:r w:rsidRPr="00B01F9E">
        <w:rPr>
          <w:rFonts w:ascii="Arial" w:eastAsia="Times New Roman" w:hAnsi="Arial" w:cs="Arial"/>
          <w:sz w:val="20"/>
          <w:szCs w:val="20"/>
        </w:rPr>
        <w:t xml:space="preserve">Blue dye is injected into the area. The surgeon performs the lumpectomy and designates the margin assignments (superior, inferior, anterior, posterior, medial, and lateral). The pathology laboratory receives the specimen. They perform a gross examination that includes a </w:t>
      </w:r>
      <w:proofErr w:type="spellStart"/>
      <w:r w:rsidRPr="00B01F9E">
        <w:rPr>
          <w:rFonts w:ascii="Arial" w:eastAsia="Times New Roman" w:hAnsi="Arial" w:cs="Arial"/>
          <w:sz w:val="20"/>
          <w:szCs w:val="20"/>
        </w:rPr>
        <w:t>faxitron</w:t>
      </w:r>
      <w:proofErr w:type="spellEnd"/>
      <w:r w:rsidRPr="00B01F9E">
        <w:rPr>
          <w:rFonts w:ascii="Arial" w:eastAsia="Times New Roman" w:hAnsi="Arial" w:cs="Arial"/>
          <w:sz w:val="20"/>
          <w:szCs w:val="20"/>
        </w:rPr>
        <w:t xml:space="preserve"> image study </w:t>
      </w:r>
      <w:r w:rsidRPr="00B01F9E">
        <w:rPr>
          <w:rFonts w:ascii="Arial" w:hAnsi="Arial" w:cs="Arial"/>
          <w:sz w:val="20"/>
          <w:szCs w:val="20"/>
        </w:rPr>
        <w:t>to</w:t>
      </w:r>
      <w:r w:rsidRPr="00B01F9E">
        <w:rPr>
          <w:rFonts w:ascii="Arial" w:eastAsia="Times New Roman" w:hAnsi="Arial" w:cs="Arial"/>
          <w:sz w:val="20"/>
          <w:szCs w:val="20"/>
        </w:rPr>
        <w:t xml:space="preserve"> confirm that the three magnetic seeds and the biopsy clip are present in the specimen. </w:t>
      </w:r>
      <w:r w:rsidRPr="00B01F9E">
        <w:rPr>
          <w:rFonts w:ascii="Arial" w:hAnsi="Arial" w:cs="Arial"/>
          <w:sz w:val="20"/>
          <w:szCs w:val="20"/>
        </w:rPr>
        <w:t xml:space="preserve">This is reported as an intraoperative finding. </w:t>
      </w:r>
      <w:r w:rsidRPr="00B01F9E">
        <w:rPr>
          <w:rFonts w:ascii="Arial" w:eastAsia="Times New Roman" w:hAnsi="Arial" w:cs="Arial"/>
          <w:sz w:val="20"/>
          <w:szCs w:val="20"/>
        </w:rPr>
        <w:t>Separately, the axilla is opened</w:t>
      </w:r>
      <w:r w:rsidRPr="00B01F9E">
        <w:rPr>
          <w:rFonts w:ascii="Arial" w:hAnsi="Arial" w:cs="Arial"/>
          <w:sz w:val="20"/>
          <w:szCs w:val="20"/>
        </w:rPr>
        <w:t>,</w:t>
      </w:r>
      <w:r w:rsidRPr="00B01F9E">
        <w:rPr>
          <w:rFonts w:ascii="Arial" w:eastAsia="Times New Roman" w:hAnsi="Arial" w:cs="Arial"/>
          <w:sz w:val="20"/>
          <w:szCs w:val="20"/>
        </w:rPr>
        <w:t xml:space="preserve"> and blue dye is recognized by the surgeon. </w:t>
      </w:r>
      <w:r w:rsidRPr="00B01F9E">
        <w:rPr>
          <w:rFonts w:ascii="Arial" w:hAnsi="Arial" w:cs="Arial"/>
          <w:sz w:val="20"/>
          <w:szCs w:val="20"/>
        </w:rPr>
        <w:t>Radioactive probes are used</w:t>
      </w:r>
      <w:r w:rsidRPr="00B01F9E">
        <w:rPr>
          <w:rFonts w:ascii="Arial" w:eastAsia="Times New Roman" w:hAnsi="Arial" w:cs="Arial"/>
          <w:sz w:val="20"/>
          <w:szCs w:val="20"/>
        </w:rPr>
        <w:t xml:space="preserve"> to localize the sentinel lymph node, which is removed. </w:t>
      </w:r>
    </w:p>
    <w:p w14:paraId="744DFDE0" w14:textId="67815415" w:rsidR="00EC43A7" w:rsidRPr="00B01F9E" w:rsidRDefault="00EC43A7" w:rsidP="007005A9">
      <w:pPr>
        <w:spacing w:after="120"/>
        <w:rPr>
          <w:rFonts w:ascii="Arial" w:eastAsia="Times New Roman" w:hAnsi="Arial" w:cs="Arial"/>
          <w:sz w:val="20"/>
          <w:szCs w:val="20"/>
        </w:rPr>
      </w:pPr>
      <w:r w:rsidRPr="00B01F9E">
        <w:rPr>
          <w:rFonts w:ascii="Arial" w:eastAsia="Times New Roman" w:hAnsi="Arial" w:cs="Arial"/>
          <w:sz w:val="20"/>
          <w:szCs w:val="20"/>
        </w:rPr>
        <w:t xml:space="preserve">Grossly, the breast specimen is inked according to the margin inking (color) protocol designating each of the 6 oriented aspects. The specimen is </w:t>
      </w:r>
      <w:proofErr w:type="spellStart"/>
      <w:r w:rsidRPr="00B01F9E">
        <w:rPr>
          <w:rFonts w:ascii="Arial" w:eastAsia="Times New Roman" w:hAnsi="Arial" w:cs="Arial"/>
          <w:sz w:val="20"/>
          <w:szCs w:val="20"/>
        </w:rPr>
        <w:t>breadloafed</w:t>
      </w:r>
      <w:proofErr w:type="spellEnd"/>
      <w:r w:rsidRPr="00B01F9E">
        <w:rPr>
          <w:rFonts w:ascii="Arial" w:eastAsia="Times New Roman" w:hAnsi="Arial" w:cs="Arial"/>
          <w:sz w:val="20"/>
          <w:szCs w:val="20"/>
        </w:rPr>
        <w:t xml:space="preserve"> and location of the three magnetic seeds is noted. These mark the boundaries. The tumor itself is associated with a biopsy clip, which is also localized. Grossly, the size of the specimen in three denoted dimensions (S-I, M-L, A-P) is recorded along with the dimensions of the tumor and the distance to each of the six margins for the grossly identifiable tumor. Margin sections, tumor sections to include those needed for microscopic sizing of the tumor</w:t>
      </w:r>
      <w:r w:rsidRPr="00B01F9E">
        <w:rPr>
          <w:rFonts w:ascii="Arial" w:hAnsi="Arial" w:cs="Arial"/>
          <w:sz w:val="20"/>
          <w:szCs w:val="20"/>
        </w:rPr>
        <w:t>, and at least one full cross section of the tumor is obtained.</w:t>
      </w:r>
      <w:r w:rsidRPr="00B01F9E">
        <w:rPr>
          <w:rFonts w:ascii="Arial" w:eastAsia="Times New Roman" w:hAnsi="Arial" w:cs="Arial"/>
          <w:sz w:val="20"/>
          <w:szCs w:val="20"/>
        </w:rPr>
        <w:t> </w:t>
      </w:r>
    </w:p>
    <w:p w14:paraId="6F1175B4" w14:textId="005B635E" w:rsidR="00EC43A7" w:rsidRPr="00B01F9E" w:rsidRDefault="00EC43A7" w:rsidP="007005A9">
      <w:pPr>
        <w:spacing w:after="120"/>
        <w:rPr>
          <w:rFonts w:ascii="Arial" w:eastAsia="Times New Roman" w:hAnsi="Arial" w:cs="Arial"/>
          <w:sz w:val="20"/>
          <w:szCs w:val="20"/>
        </w:rPr>
      </w:pPr>
      <w:r w:rsidRPr="00B01F9E">
        <w:rPr>
          <w:rFonts w:ascii="Arial" w:eastAsia="Times New Roman" w:hAnsi="Arial" w:cs="Arial"/>
          <w:sz w:val="20"/>
          <w:szCs w:val="20"/>
        </w:rPr>
        <w:t xml:space="preserve">The lymph node is sectioned per local protocol (either longitudinal sectioning, which translates into three H&amp;E levels and an IHC for </w:t>
      </w:r>
      <w:proofErr w:type="spellStart"/>
      <w:r w:rsidRPr="00B01F9E">
        <w:rPr>
          <w:rFonts w:ascii="Arial" w:eastAsia="Times New Roman" w:hAnsi="Arial" w:cs="Arial"/>
          <w:sz w:val="20"/>
          <w:szCs w:val="20"/>
        </w:rPr>
        <w:t>cytokeratins</w:t>
      </w:r>
      <w:proofErr w:type="spellEnd"/>
      <w:r w:rsidRPr="00B01F9E">
        <w:rPr>
          <w:rFonts w:ascii="Arial" w:eastAsia="Times New Roman" w:hAnsi="Arial" w:cs="Arial"/>
          <w:sz w:val="20"/>
          <w:szCs w:val="20"/>
        </w:rPr>
        <w:t xml:space="preserve"> or sections taken perpendicular to the hilar axis with one H&amp;E and an IHC for </w:t>
      </w:r>
      <w:proofErr w:type="spellStart"/>
      <w:r w:rsidRPr="00B01F9E">
        <w:rPr>
          <w:rFonts w:ascii="Arial" w:eastAsia="Times New Roman" w:hAnsi="Arial" w:cs="Arial"/>
          <w:sz w:val="20"/>
          <w:szCs w:val="20"/>
        </w:rPr>
        <w:t>cytokeratins</w:t>
      </w:r>
      <w:proofErr w:type="spellEnd"/>
      <w:r w:rsidRPr="00B01F9E">
        <w:rPr>
          <w:rFonts w:ascii="Arial" w:eastAsia="Times New Roman" w:hAnsi="Arial" w:cs="Arial"/>
          <w:sz w:val="20"/>
          <w:szCs w:val="20"/>
        </w:rPr>
        <w:t>). </w:t>
      </w:r>
    </w:p>
    <w:p w14:paraId="0BDD79FF" w14:textId="006BFB13" w:rsidR="00EC43A7" w:rsidRPr="00B01F9E" w:rsidRDefault="00EC43A7" w:rsidP="007005A9">
      <w:pPr>
        <w:spacing w:after="120"/>
        <w:rPr>
          <w:rFonts w:ascii="Arial" w:eastAsia="Times New Roman" w:hAnsi="Arial" w:cs="Arial"/>
          <w:sz w:val="20"/>
          <w:szCs w:val="20"/>
        </w:rPr>
      </w:pPr>
      <w:r w:rsidRPr="00B01F9E">
        <w:rPr>
          <w:rFonts w:ascii="Arial" w:eastAsia="Times New Roman" w:hAnsi="Arial" w:cs="Arial"/>
          <w:sz w:val="20"/>
          <w:szCs w:val="20"/>
        </w:rPr>
        <w:t>The sections of tissue, placed in labelled cassettes, are submitted to the histology processing laboratory. They are processed overnight and then sectioned and stained the following day. Additional unstained sections of the lymph node are submitted to the immunohistochemistry laboratory for cytokeratin staining. </w:t>
      </w:r>
    </w:p>
    <w:p w14:paraId="4A9DEC00" w14:textId="67839107" w:rsidR="00EC43A7" w:rsidRPr="00B01F9E" w:rsidRDefault="00EC43A7" w:rsidP="007005A9">
      <w:pPr>
        <w:spacing w:after="120"/>
        <w:rPr>
          <w:rFonts w:ascii="Arial" w:eastAsia="Times New Roman" w:hAnsi="Arial" w:cs="Arial"/>
          <w:sz w:val="20"/>
          <w:szCs w:val="20"/>
        </w:rPr>
      </w:pPr>
      <w:r w:rsidRPr="00B01F9E">
        <w:rPr>
          <w:rFonts w:ascii="Arial" w:eastAsia="Times New Roman" w:hAnsi="Arial" w:cs="Arial"/>
          <w:sz w:val="20"/>
          <w:szCs w:val="20"/>
        </w:rPr>
        <w:t xml:space="preserve">When all the H&amp;E-stained slide are completed and aggregated, the case is delivered to the surgical pathologist. The IHC for </w:t>
      </w:r>
      <w:proofErr w:type="spellStart"/>
      <w:r w:rsidRPr="00B01F9E">
        <w:rPr>
          <w:rFonts w:ascii="Arial" w:eastAsia="Times New Roman" w:hAnsi="Arial" w:cs="Arial"/>
          <w:sz w:val="20"/>
          <w:szCs w:val="20"/>
        </w:rPr>
        <w:t>cytokeratins</w:t>
      </w:r>
      <w:proofErr w:type="spellEnd"/>
      <w:r w:rsidRPr="00B01F9E">
        <w:rPr>
          <w:rFonts w:ascii="Arial" w:eastAsia="Times New Roman" w:hAnsi="Arial" w:cs="Arial"/>
          <w:sz w:val="20"/>
          <w:szCs w:val="20"/>
        </w:rPr>
        <w:t xml:space="preserve"> on the lymph node will be delivered separately from the IHC laboratory. The report will include the antibody type </w:t>
      </w:r>
      <w:r w:rsidRPr="00B01F9E">
        <w:rPr>
          <w:rFonts w:ascii="Arial" w:hAnsi="Arial" w:cs="Arial"/>
          <w:sz w:val="20"/>
          <w:szCs w:val="20"/>
        </w:rPr>
        <w:t>and staining protocol that was used.</w:t>
      </w:r>
      <w:r w:rsidRPr="00B01F9E">
        <w:rPr>
          <w:rFonts w:ascii="Arial" w:eastAsia="Times New Roman" w:hAnsi="Arial" w:cs="Arial"/>
          <w:sz w:val="20"/>
          <w:szCs w:val="20"/>
        </w:rPr>
        <w:t xml:space="preserve"> </w:t>
      </w:r>
    </w:p>
    <w:p w14:paraId="277396F7" w14:textId="718E864F" w:rsidR="00EC43A7" w:rsidRPr="00B01F9E" w:rsidRDefault="00EC43A7" w:rsidP="007005A9">
      <w:pPr>
        <w:spacing w:after="120"/>
        <w:rPr>
          <w:rFonts w:ascii="Arial" w:eastAsia="Times New Roman" w:hAnsi="Arial" w:cs="Arial"/>
          <w:sz w:val="20"/>
          <w:szCs w:val="20"/>
        </w:rPr>
      </w:pPr>
      <w:r w:rsidRPr="00B01F9E">
        <w:rPr>
          <w:rFonts w:ascii="Arial" w:eastAsia="Times New Roman" w:hAnsi="Arial" w:cs="Arial"/>
          <w:sz w:val="20"/>
          <w:szCs w:val="20"/>
        </w:rPr>
        <w:lastRenderedPageBreak/>
        <w:t>The pathologist reviews the material. The AP report includes a synopsis with the required data elements for the CAP Cancer Protocol for resection of invasive breast cancer (</w:t>
      </w:r>
      <w:hyperlink r:id="rId86" w:history="1">
        <w:r w:rsidR="00713DAC" w:rsidRPr="00B01F9E">
          <w:rPr>
            <w:rStyle w:val="Hyperlink"/>
            <w:rFonts w:ascii="Arial" w:eastAsia="Times New Roman" w:hAnsi="Arial" w:cs="Arial"/>
            <w:sz w:val="20"/>
            <w:szCs w:val="20"/>
          </w:rPr>
          <w:t>CAP Cancer Protocol Templates</w:t>
        </w:r>
      </w:hyperlink>
      <w:r w:rsidR="00713DAC" w:rsidRPr="00B01F9E">
        <w:rPr>
          <w:rFonts w:ascii="Arial" w:eastAsia="Times New Roman" w:hAnsi="Arial" w:cs="Arial"/>
          <w:sz w:val="20"/>
          <w:szCs w:val="20"/>
        </w:rPr>
        <w:t>)</w:t>
      </w:r>
      <w:r w:rsidR="009E41AE" w:rsidRPr="00B01F9E">
        <w:rPr>
          <w:rFonts w:ascii="Arial" w:eastAsia="Times New Roman" w:hAnsi="Arial" w:cs="Arial"/>
          <w:sz w:val="20"/>
          <w:szCs w:val="20"/>
        </w:rPr>
        <w:t>.</w:t>
      </w:r>
      <w:r w:rsidRPr="00B01F9E">
        <w:rPr>
          <w:rFonts w:ascii="Arial" w:eastAsia="Times New Roman" w:hAnsi="Arial" w:cs="Arial"/>
          <w:sz w:val="20"/>
          <w:szCs w:val="20"/>
        </w:rPr>
        <w:t xml:space="preserve"> The ancillary testing of biomarkers from the previous biopsy is included in the Invasive Breast Cancer Resection Protocol. Per the practice of this laboratory, specimens with prior negative biomarker results on a biopsy will have these biomarker studies repeated as requested additional laboratory tests. This means that there will be another set of ancillary tests, to include ER, PR, Her2neu, and ki-67 immunohistochemical results. These will be reported using the CAP Breast Cancer Biomarker Protocol, which includes collection of antibody type and staining procedure, or commercial kit used.</w:t>
      </w:r>
    </w:p>
    <w:p w14:paraId="187348D7" w14:textId="1A773C4E" w:rsidR="00EC43A7" w:rsidRPr="00B01F9E" w:rsidRDefault="00EC43A7" w:rsidP="007005A9">
      <w:pPr>
        <w:spacing w:after="120"/>
        <w:rPr>
          <w:rFonts w:ascii="Arial" w:eastAsia="Times New Roman" w:hAnsi="Arial" w:cs="Arial"/>
          <w:sz w:val="20"/>
          <w:szCs w:val="20"/>
        </w:rPr>
      </w:pPr>
      <w:r w:rsidRPr="00B01F9E">
        <w:rPr>
          <w:rFonts w:ascii="Arial" w:eastAsia="Times New Roman" w:hAnsi="Arial" w:cs="Arial"/>
          <w:sz w:val="20"/>
          <w:szCs w:val="20"/>
          <w:lang w:val="en"/>
        </w:rPr>
        <w:t xml:space="preserve">Final reports are made available to the surgeon and the managing physician, typically the medical oncologist. Reports will also be referred to a radiation oncologist if the managing physician sees this as an appropriate adjuvant therapy. The pathology report is submitted to the local cancer registry for abstraction, or, if in electronic format, </w:t>
      </w:r>
      <w:r w:rsidRPr="00B01F9E">
        <w:rPr>
          <w:rFonts w:ascii="Arial" w:hAnsi="Arial" w:cs="Arial"/>
          <w:sz w:val="20"/>
          <w:szCs w:val="20"/>
          <w:lang w:val="en"/>
        </w:rPr>
        <w:t>then by HL7 message to the registry to automatically</w:t>
      </w:r>
      <w:r w:rsidRPr="00B01F9E">
        <w:rPr>
          <w:rFonts w:ascii="Arial" w:eastAsia="Times New Roman" w:hAnsi="Arial" w:cs="Arial"/>
          <w:sz w:val="20"/>
          <w:szCs w:val="20"/>
          <w:lang w:val="en"/>
        </w:rPr>
        <w:t xml:space="preserve"> populate the registry database. </w:t>
      </w:r>
    </w:p>
    <w:p w14:paraId="19BE220C" w14:textId="0828FD56" w:rsidR="00EC43A7" w:rsidRPr="00B01F9E" w:rsidRDefault="009F1F82" w:rsidP="00C876AD">
      <w:pPr>
        <w:pStyle w:val="Heading3"/>
        <w:spacing w:before="0" w:after="120"/>
        <w:rPr>
          <w:rFonts w:ascii="Arial" w:hAnsi="Arial" w:cs="Arial"/>
          <w:b/>
          <w:i/>
          <w:color w:val="009BBF"/>
          <w:sz w:val="20"/>
          <w:szCs w:val="20"/>
        </w:rPr>
      </w:pPr>
      <w:bookmarkStart w:id="383" w:name="_Toc177137020"/>
      <w:r w:rsidRPr="00B01F9E">
        <w:rPr>
          <w:rFonts w:ascii="Arial" w:hAnsi="Arial" w:cs="Arial"/>
          <w:b/>
          <w:i/>
          <w:color w:val="009BBF"/>
          <w:sz w:val="20"/>
          <w:szCs w:val="20"/>
        </w:rPr>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.6 Clinical Narrative 6: Self-Administered Syphilis Test</w:t>
      </w:r>
      <w:bookmarkEnd w:id="383"/>
    </w:p>
    <w:p w14:paraId="2E2CD3D8" w14:textId="0065E7A2" w:rsidR="00EC43A7" w:rsidRPr="00B01F9E" w:rsidRDefault="00EC43A7" w:rsidP="00B01F9E">
      <w:pPr>
        <w:spacing w:after="120"/>
        <w:rPr>
          <w:rStyle w:val="eop"/>
          <w:rFonts w:ascii="Arial" w:hAnsi="Arial" w:cs="Arial"/>
          <w:sz w:val="20"/>
          <w:szCs w:val="20"/>
        </w:rPr>
      </w:pPr>
      <w:r w:rsidRPr="00B01F9E">
        <w:rPr>
          <w:rStyle w:val="normaltextrun"/>
          <w:rFonts w:ascii="Arial" w:hAnsi="Arial" w:cs="Arial"/>
          <w:sz w:val="20"/>
          <w:szCs w:val="20"/>
        </w:rPr>
        <w:t>This is a case of syphilis testing in adults and does not include congenital syphilis, which is reported separately to the local, state, and national public health authorities.</w:t>
      </w:r>
      <w:r w:rsidRPr="00B01F9E">
        <w:rPr>
          <w:rStyle w:val="eop"/>
          <w:rFonts w:ascii="Arial" w:hAnsi="Arial" w:cs="Arial"/>
          <w:sz w:val="20"/>
          <w:szCs w:val="20"/>
        </w:rPr>
        <w:t> </w:t>
      </w:r>
    </w:p>
    <w:p w14:paraId="08C7C2C4" w14:textId="320DDBB3"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A nursing home recently discovered that one of its patients had contracted syphilis, the disease caused by </w:t>
      </w:r>
      <w:r w:rsidRPr="00B01F9E">
        <w:rPr>
          <w:rStyle w:val="normaltextrun"/>
          <w:rFonts w:ascii="Arial" w:hAnsi="Arial" w:cs="Arial"/>
          <w:i/>
          <w:iCs/>
          <w:sz w:val="20"/>
          <w:szCs w:val="20"/>
        </w:rPr>
        <w:t>Treponema pallidum</w:t>
      </w:r>
      <w:r w:rsidRPr="00B01F9E">
        <w:rPr>
          <w:rStyle w:val="normaltextrun"/>
          <w:rFonts w:ascii="Arial" w:hAnsi="Arial" w:cs="Arial"/>
          <w:sz w:val="20"/>
          <w:szCs w:val="20"/>
        </w:rPr>
        <w:t xml:space="preserve">. Given the risk of the residents being unable to deliver accurate histories, the head of the facility decided to use at-home testing with the assistance of a nurse’s aide on patients for whom she could obtain informed consent, either from the patient personally or their designated medical power of attorney. The facility requests that test results be reported to the facility physician and to the patient or patient’s medical power of attorney if the information is not to be sent to the facility physician. </w:t>
      </w:r>
    </w:p>
    <w:p w14:paraId="72877CA4" w14:textId="4DB42F24" w:rsidR="00EC43A7" w:rsidRPr="00B01F9E" w:rsidRDefault="00EC43A7" w:rsidP="00B01F9E">
      <w:pPr>
        <w:spacing w:after="120"/>
        <w:rPr>
          <w:rStyle w:val="normaltextrun"/>
          <w:rFonts w:ascii="Arial" w:hAnsi="Arial" w:cs="Arial"/>
          <w:sz w:val="20"/>
          <w:szCs w:val="20"/>
        </w:rPr>
      </w:pPr>
      <w:r w:rsidRPr="00B01F9E">
        <w:rPr>
          <w:rStyle w:val="normaltextrun"/>
          <w:rFonts w:ascii="Arial" w:hAnsi="Arial" w:cs="Arial"/>
          <w:sz w:val="20"/>
          <w:szCs w:val="20"/>
        </w:rPr>
        <w:t xml:space="preserve">Each patient’s consent document, age, birth sex, current sex, current gender identification, race, ethnicity, name, and room number within the facility is collected. </w:t>
      </w:r>
    </w:p>
    <w:p w14:paraId="52C59C8F" w14:textId="3FE42553" w:rsidR="00EC43A7" w:rsidRPr="00B01F9E" w:rsidRDefault="00EC43A7" w:rsidP="00B01F9E">
      <w:pPr>
        <w:spacing w:after="120"/>
        <w:rPr>
          <w:rStyle w:val="eop"/>
          <w:rFonts w:ascii="Arial" w:hAnsi="Arial" w:cs="Arial"/>
          <w:sz w:val="20"/>
          <w:szCs w:val="20"/>
        </w:rPr>
      </w:pPr>
      <w:r w:rsidRPr="00B01F9E">
        <w:rPr>
          <w:rStyle w:val="normaltextrun"/>
          <w:rFonts w:ascii="Arial" w:hAnsi="Arial" w:cs="Arial"/>
          <w:sz w:val="20"/>
          <w:szCs w:val="20"/>
        </w:rPr>
        <w:t>The facility purchases at-home test kits. The following collection procedure is exemplary of a typical at-home test kit (see Superdrug Online Doctor for syphilis test at onlinedoctor.superdrug.com)</w:t>
      </w:r>
      <w:r w:rsidR="00F909A5" w:rsidRPr="00B01F9E">
        <w:rPr>
          <w:rStyle w:val="normaltextrun"/>
          <w:rFonts w:ascii="Arial" w:hAnsi="Arial" w:cs="Arial"/>
          <w:sz w:val="20"/>
          <w:szCs w:val="20"/>
        </w:rPr>
        <w:t>.</w:t>
      </w:r>
      <w:r w:rsidRPr="00B01F9E">
        <w:rPr>
          <w:rStyle w:val="eop"/>
          <w:rFonts w:ascii="Arial" w:hAnsi="Arial" w:cs="Arial"/>
          <w:sz w:val="20"/>
          <w:szCs w:val="20"/>
        </w:rPr>
        <w:t> </w:t>
      </w:r>
    </w:p>
    <w:p w14:paraId="0213F2E5" w14:textId="68D763E0" w:rsidR="00EC43A7" w:rsidRPr="00B01F9E" w:rsidRDefault="00EC43A7" w:rsidP="00EC43A7">
      <w:pPr>
        <w:pStyle w:val="paragraph"/>
        <w:numPr>
          <w:ilvl w:val="0"/>
          <w:numId w:val="56"/>
        </w:numPr>
        <w:spacing w:before="120" w:beforeAutospacing="0" w:after="60" w:afterAutospacing="0"/>
        <w:textAlignment w:val="baseline"/>
        <w:rPr>
          <w:rFonts w:ascii="Arial" w:hAnsi="Arial" w:cs="Arial"/>
          <w:sz w:val="20"/>
          <w:szCs w:val="20"/>
        </w:rPr>
      </w:pPr>
      <w:r w:rsidRPr="00B01F9E">
        <w:rPr>
          <w:rStyle w:val="normaltextrun"/>
          <w:rFonts w:ascii="Arial" w:hAnsi="Arial" w:cs="Arial"/>
          <w:sz w:val="20"/>
          <w:szCs w:val="20"/>
        </w:rPr>
        <w:t>Before you use the syphilis test kit, you should wash and dry your hands.</w:t>
      </w:r>
      <w:r w:rsidRPr="00B01F9E">
        <w:rPr>
          <w:rStyle w:val="eop"/>
          <w:rFonts w:ascii="Arial" w:hAnsi="Arial" w:cs="Arial"/>
          <w:sz w:val="20"/>
          <w:szCs w:val="20"/>
        </w:rPr>
        <w:t> </w:t>
      </w:r>
    </w:p>
    <w:p w14:paraId="5259DF9B" w14:textId="61C24144" w:rsidR="00EC43A7" w:rsidRPr="00B01F9E" w:rsidRDefault="00EC43A7" w:rsidP="00EC43A7">
      <w:pPr>
        <w:pStyle w:val="paragraph"/>
        <w:numPr>
          <w:ilvl w:val="0"/>
          <w:numId w:val="57"/>
        </w:numPr>
        <w:spacing w:before="0" w:beforeAutospacing="0" w:after="60" w:afterAutospacing="0"/>
        <w:textAlignment w:val="baseline"/>
        <w:rPr>
          <w:rFonts w:ascii="Arial" w:hAnsi="Arial" w:cs="Arial"/>
          <w:sz w:val="20"/>
          <w:szCs w:val="20"/>
        </w:rPr>
      </w:pPr>
      <w:r w:rsidRPr="00B01F9E">
        <w:rPr>
          <w:rStyle w:val="normaltextrun"/>
          <w:rFonts w:ascii="Arial" w:hAnsi="Arial" w:cs="Arial"/>
          <w:sz w:val="20"/>
          <w:szCs w:val="20"/>
        </w:rPr>
        <w:t xml:space="preserve">Use the swab found in the test kit to clean the tip of the </w:t>
      </w:r>
      <w:r w:rsidR="00941CE0" w:rsidRPr="00B01F9E">
        <w:rPr>
          <w:rStyle w:val="normaltextrun"/>
          <w:rFonts w:ascii="Arial" w:hAnsi="Arial" w:cs="Arial"/>
          <w:sz w:val="20"/>
          <w:szCs w:val="20"/>
        </w:rPr>
        <w:t>thi</w:t>
      </w:r>
      <w:r w:rsidRPr="00B01F9E">
        <w:rPr>
          <w:rStyle w:val="normaltextrun"/>
          <w:rFonts w:ascii="Arial" w:hAnsi="Arial" w:cs="Arial"/>
          <w:sz w:val="20"/>
          <w:szCs w:val="20"/>
        </w:rPr>
        <w:t xml:space="preserve">rd or </w:t>
      </w:r>
      <w:r w:rsidR="00941CE0" w:rsidRPr="00B01F9E">
        <w:rPr>
          <w:rStyle w:val="normaltextrun"/>
          <w:rFonts w:ascii="Arial" w:hAnsi="Arial" w:cs="Arial"/>
          <w:sz w:val="20"/>
          <w:szCs w:val="20"/>
        </w:rPr>
        <w:t>four</w:t>
      </w:r>
      <w:r w:rsidRPr="00B01F9E">
        <w:rPr>
          <w:rStyle w:val="normaltextrun"/>
          <w:rFonts w:ascii="Arial" w:hAnsi="Arial" w:cs="Arial"/>
          <w:sz w:val="20"/>
          <w:szCs w:val="20"/>
        </w:rPr>
        <w:t>th on the hand you don’t write with.</w:t>
      </w:r>
      <w:r w:rsidRPr="00B01F9E">
        <w:rPr>
          <w:rStyle w:val="eop"/>
          <w:rFonts w:ascii="Arial" w:hAnsi="Arial" w:cs="Arial"/>
          <w:sz w:val="20"/>
          <w:szCs w:val="20"/>
        </w:rPr>
        <w:t> </w:t>
      </w:r>
    </w:p>
    <w:p w14:paraId="5CE421CA" w14:textId="392CF1BB" w:rsidR="00EC43A7" w:rsidRPr="00B01F9E" w:rsidRDefault="00EC43A7" w:rsidP="00EC43A7">
      <w:pPr>
        <w:pStyle w:val="paragraph"/>
        <w:numPr>
          <w:ilvl w:val="0"/>
          <w:numId w:val="58"/>
        </w:numPr>
        <w:spacing w:before="0" w:beforeAutospacing="0" w:after="60" w:afterAutospacing="0"/>
        <w:textAlignment w:val="baseline"/>
        <w:rPr>
          <w:rFonts w:ascii="Arial" w:hAnsi="Arial" w:cs="Arial"/>
          <w:sz w:val="20"/>
          <w:szCs w:val="20"/>
        </w:rPr>
      </w:pPr>
      <w:r w:rsidRPr="00B01F9E">
        <w:rPr>
          <w:rStyle w:val="normaltextrun"/>
          <w:rFonts w:ascii="Arial" w:hAnsi="Arial" w:cs="Arial"/>
          <w:sz w:val="20"/>
          <w:szCs w:val="20"/>
        </w:rPr>
        <w:t>Take a lancet and twist and pull out the purple stick. Put the stick on the cleaned fingertip and press the button at the end. You will feel a small prick and a small drop of blood should form.</w:t>
      </w:r>
      <w:r w:rsidRPr="00B01F9E">
        <w:rPr>
          <w:rStyle w:val="eop"/>
          <w:rFonts w:ascii="Arial" w:hAnsi="Arial" w:cs="Arial"/>
          <w:sz w:val="20"/>
          <w:szCs w:val="20"/>
        </w:rPr>
        <w:t> </w:t>
      </w:r>
    </w:p>
    <w:p w14:paraId="36F1231E" w14:textId="35DB365B" w:rsidR="00EC43A7" w:rsidRPr="00B01F9E" w:rsidRDefault="00EC43A7" w:rsidP="00EC43A7">
      <w:pPr>
        <w:pStyle w:val="paragraph"/>
        <w:numPr>
          <w:ilvl w:val="0"/>
          <w:numId w:val="59"/>
        </w:numPr>
        <w:spacing w:before="0" w:beforeAutospacing="0" w:after="60" w:afterAutospacing="0"/>
        <w:textAlignment w:val="baseline"/>
        <w:rPr>
          <w:rFonts w:ascii="Arial" w:hAnsi="Arial" w:cs="Arial"/>
          <w:sz w:val="20"/>
          <w:szCs w:val="20"/>
        </w:rPr>
      </w:pPr>
      <w:r w:rsidRPr="00B01F9E">
        <w:rPr>
          <w:rStyle w:val="normaltextrun"/>
          <w:rFonts w:ascii="Arial" w:hAnsi="Arial" w:cs="Arial"/>
          <w:sz w:val="20"/>
          <w:szCs w:val="20"/>
        </w:rPr>
        <w:t>Use a clean tissue to wipe away the first drop of blood and use your other hand to massage the pricked finger until another drop appears.</w:t>
      </w:r>
      <w:r w:rsidRPr="00B01F9E">
        <w:rPr>
          <w:rStyle w:val="eop"/>
          <w:rFonts w:ascii="Arial" w:hAnsi="Arial" w:cs="Arial"/>
          <w:sz w:val="20"/>
          <w:szCs w:val="20"/>
        </w:rPr>
        <w:t> </w:t>
      </w:r>
    </w:p>
    <w:p w14:paraId="5BDCFC7B" w14:textId="7FEF6500" w:rsidR="00EC43A7" w:rsidRPr="00B01F9E" w:rsidRDefault="00EC43A7" w:rsidP="00EC43A7">
      <w:pPr>
        <w:pStyle w:val="paragraph"/>
        <w:numPr>
          <w:ilvl w:val="0"/>
          <w:numId w:val="60"/>
        </w:numPr>
        <w:spacing w:before="0" w:beforeAutospacing="0" w:after="60" w:afterAutospacing="0"/>
        <w:textAlignment w:val="baseline"/>
        <w:rPr>
          <w:rFonts w:ascii="Arial" w:hAnsi="Arial" w:cs="Arial"/>
          <w:sz w:val="20"/>
          <w:szCs w:val="20"/>
        </w:rPr>
      </w:pPr>
      <w:r w:rsidRPr="00B01F9E">
        <w:rPr>
          <w:rStyle w:val="normaltextrun"/>
          <w:rFonts w:ascii="Arial" w:hAnsi="Arial" w:cs="Arial"/>
          <w:sz w:val="20"/>
          <w:szCs w:val="20"/>
        </w:rPr>
        <w:t>Take the collection tube and use it to catch the blood. You will need to fill the tube to the top line, and you might need to use another lancet to get the blood you need. If you need to use another lancet, then use it on a different finger.</w:t>
      </w:r>
      <w:r w:rsidRPr="00B01F9E">
        <w:rPr>
          <w:rStyle w:val="eop"/>
          <w:rFonts w:ascii="Arial" w:hAnsi="Arial" w:cs="Arial"/>
          <w:sz w:val="20"/>
          <w:szCs w:val="20"/>
        </w:rPr>
        <w:t> </w:t>
      </w:r>
    </w:p>
    <w:p w14:paraId="47CED892" w14:textId="5BB00D76" w:rsidR="00EC43A7" w:rsidRPr="00B01F9E" w:rsidRDefault="00EC43A7" w:rsidP="00EC43A7">
      <w:pPr>
        <w:pStyle w:val="paragraph"/>
        <w:numPr>
          <w:ilvl w:val="0"/>
          <w:numId w:val="61"/>
        </w:numPr>
        <w:spacing w:before="0" w:beforeAutospacing="0" w:after="60" w:afterAutospacing="0"/>
        <w:textAlignment w:val="baseline"/>
        <w:rPr>
          <w:rFonts w:ascii="Arial" w:hAnsi="Arial" w:cs="Arial"/>
          <w:sz w:val="20"/>
          <w:szCs w:val="20"/>
        </w:rPr>
      </w:pPr>
      <w:r w:rsidRPr="00B01F9E">
        <w:rPr>
          <w:rStyle w:val="normaltextrun"/>
          <w:rFonts w:ascii="Arial" w:hAnsi="Arial" w:cs="Arial"/>
          <w:sz w:val="20"/>
          <w:szCs w:val="20"/>
        </w:rPr>
        <w:t>When the collection tube is full, close the lid and screw it on tightly. Find the label provided in the pack and write your details on it before sticking it to the collection tube.</w:t>
      </w:r>
      <w:r w:rsidRPr="00B01F9E">
        <w:rPr>
          <w:rStyle w:val="eop"/>
          <w:rFonts w:ascii="Arial" w:hAnsi="Arial" w:cs="Arial"/>
          <w:sz w:val="20"/>
          <w:szCs w:val="20"/>
        </w:rPr>
        <w:t> </w:t>
      </w:r>
    </w:p>
    <w:p w14:paraId="6557235E" w14:textId="52912E81" w:rsidR="00EC43A7" w:rsidRPr="00B01F9E" w:rsidRDefault="00EC43A7" w:rsidP="00EC43A7">
      <w:pPr>
        <w:pStyle w:val="paragraph"/>
        <w:numPr>
          <w:ilvl w:val="0"/>
          <w:numId w:val="62"/>
        </w:numPr>
        <w:spacing w:before="0" w:beforeAutospacing="0" w:after="60" w:afterAutospacing="0"/>
        <w:textAlignment w:val="baseline"/>
        <w:rPr>
          <w:rFonts w:ascii="Arial" w:hAnsi="Arial" w:cs="Arial"/>
          <w:sz w:val="20"/>
          <w:szCs w:val="20"/>
        </w:rPr>
      </w:pPr>
      <w:r w:rsidRPr="00B01F9E">
        <w:rPr>
          <w:rStyle w:val="normaltextrun"/>
          <w:rFonts w:ascii="Arial" w:hAnsi="Arial" w:cs="Arial"/>
          <w:sz w:val="20"/>
          <w:szCs w:val="20"/>
        </w:rPr>
        <w:t>Place the collection tube in the protective wallet and then put it in the prepaid envelope provided.</w:t>
      </w:r>
      <w:r w:rsidRPr="00B01F9E">
        <w:rPr>
          <w:rStyle w:val="eop"/>
          <w:rFonts w:ascii="Arial" w:hAnsi="Arial" w:cs="Arial"/>
          <w:sz w:val="20"/>
          <w:szCs w:val="20"/>
        </w:rPr>
        <w:t> </w:t>
      </w:r>
    </w:p>
    <w:p w14:paraId="5AF4AE2E" w14:textId="026A52BC" w:rsidR="00EC43A7" w:rsidRPr="00B01F9E" w:rsidRDefault="00EC43A7" w:rsidP="00EC43A7">
      <w:pPr>
        <w:pStyle w:val="paragraph"/>
        <w:numPr>
          <w:ilvl w:val="0"/>
          <w:numId w:val="62"/>
        </w:numPr>
        <w:spacing w:before="0" w:beforeAutospacing="0" w:after="60" w:afterAutospacing="0"/>
        <w:textAlignment w:val="baseline"/>
        <w:rPr>
          <w:rStyle w:val="eop"/>
          <w:rFonts w:ascii="Arial" w:hAnsi="Arial" w:cs="Arial"/>
          <w:sz w:val="20"/>
          <w:szCs w:val="20"/>
        </w:rPr>
      </w:pPr>
      <w:r w:rsidRPr="00B01F9E">
        <w:rPr>
          <w:rStyle w:val="normaltextrun"/>
          <w:rFonts w:ascii="Arial" w:hAnsi="Arial" w:cs="Arial"/>
          <w:sz w:val="20"/>
          <w:szCs w:val="20"/>
        </w:rPr>
        <w:t>Post the envelope to the supplier. There is no need to buy a stamp.</w:t>
      </w:r>
      <w:r w:rsidRPr="00B01F9E">
        <w:rPr>
          <w:rStyle w:val="eop"/>
          <w:rFonts w:ascii="Arial" w:hAnsi="Arial" w:cs="Arial"/>
          <w:sz w:val="20"/>
          <w:szCs w:val="20"/>
        </w:rPr>
        <w:t> </w:t>
      </w:r>
    </w:p>
    <w:p w14:paraId="77CAFD2A" w14:textId="525E03E4" w:rsidR="00EC43A7" w:rsidRPr="00B01F9E" w:rsidRDefault="00EC43A7" w:rsidP="00B01F9E">
      <w:pPr>
        <w:spacing w:after="120"/>
        <w:rPr>
          <w:rStyle w:val="eop"/>
          <w:rFonts w:ascii="Arial" w:hAnsi="Arial" w:cs="Arial"/>
          <w:sz w:val="20"/>
          <w:szCs w:val="20"/>
        </w:rPr>
      </w:pPr>
      <w:r w:rsidRPr="00B01F9E">
        <w:rPr>
          <w:rStyle w:val="normaltextrun"/>
          <w:rFonts w:ascii="Arial" w:hAnsi="Arial" w:cs="Arial"/>
          <w:sz w:val="20"/>
          <w:szCs w:val="20"/>
        </w:rPr>
        <w:lastRenderedPageBreak/>
        <w:t>The performing laboratory receives this sample via the mail. A report is sent to the facility physician or other designee, including the patient, as approved by the patient or the patient’s medical power of attorney.</w:t>
      </w:r>
      <w:r w:rsidRPr="00B01F9E">
        <w:rPr>
          <w:rStyle w:val="eop"/>
          <w:rFonts w:ascii="Arial" w:hAnsi="Arial" w:cs="Arial"/>
          <w:sz w:val="20"/>
          <w:szCs w:val="20"/>
        </w:rPr>
        <w:t> </w:t>
      </w:r>
    </w:p>
    <w:p w14:paraId="415F2806" w14:textId="6B0BB203" w:rsidR="00EC43A7" w:rsidRPr="00B01F9E" w:rsidRDefault="00EC43A7" w:rsidP="00B01F9E">
      <w:pPr>
        <w:spacing w:after="120"/>
        <w:rPr>
          <w:rStyle w:val="eop"/>
          <w:rFonts w:ascii="Arial" w:hAnsi="Arial" w:cs="Arial"/>
          <w:sz w:val="20"/>
          <w:szCs w:val="20"/>
        </w:rPr>
      </w:pPr>
      <w:r w:rsidRPr="00B01F9E">
        <w:rPr>
          <w:rStyle w:val="eop"/>
          <w:rFonts w:ascii="Arial" w:hAnsi="Arial" w:cs="Arial"/>
          <w:sz w:val="20"/>
          <w:szCs w:val="20"/>
        </w:rPr>
        <w:t xml:space="preserve">Specific laboratory data elements are required by state law to be reported to the state public health department. These vary by state and can include patient history including sexual partners, HIV comorbidity, known stage of disease to include early or late disease, presence of skin lesions, and </w:t>
      </w:r>
      <w:proofErr w:type="spellStart"/>
      <w:r w:rsidRPr="00B01F9E">
        <w:rPr>
          <w:rStyle w:val="eop"/>
          <w:rFonts w:ascii="Arial" w:hAnsi="Arial" w:cs="Arial"/>
          <w:sz w:val="20"/>
          <w:szCs w:val="20"/>
        </w:rPr>
        <w:t>otic</w:t>
      </w:r>
      <w:proofErr w:type="spellEnd"/>
      <w:r w:rsidRPr="00B01F9E">
        <w:rPr>
          <w:rStyle w:val="eop"/>
          <w:rFonts w:ascii="Arial" w:hAnsi="Arial" w:cs="Arial"/>
          <w:sz w:val="20"/>
          <w:szCs w:val="20"/>
        </w:rPr>
        <w:t xml:space="preserve"> or neurological symptoms, treatment data such as drug, dosage, date administered, and longitudinal serological test results. </w:t>
      </w:r>
      <w:r w:rsidRPr="00B01F9E">
        <w:rPr>
          <w:rStyle w:val="normaltextrun"/>
          <w:rFonts w:ascii="Arial" w:hAnsi="Arial" w:cs="Arial"/>
          <w:sz w:val="20"/>
          <w:szCs w:val="20"/>
        </w:rPr>
        <w:t>As an example, the reporting form for the state of Wisconsin can be found here</w:t>
      </w:r>
      <w:r w:rsidR="00700AAA" w:rsidRPr="00B01F9E">
        <w:rPr>
          <w:rStyle w:val="normaltextrun"/>
          <w:rFonts w:ascii="Arial" w:hAnsi="Arial" w:cs="Arial"/>
          <w:sz w:val="20"/>
          <w:szCs w:val="20"/>
        </w:rPr>
        <w:t xml:space="preserve">: </w:t>
      </w:r>
      <w:hyperlink r:id="rId87" w:history="1">
        <w:r w:rsidR="00700AAA" w:rsidRPr="00B01F9E">
          <w:rPr>
            <w:rStyle w:val="Hyperlink"/>
            <w:rFonts w:ascii="Arial" w:hAnsi="Arial" w:cs="Arial"/>
            <w:sz w:val="20"/>
            <w:szCs w:val="20"/>
          </w:rPr>
          <w:t>Wisconsin</w:t>
        </w:r>
        <w:r w:rsidR="00491C26" w:rsidRPr="00B01F9E">
          <w:rPr>
            <w:rStyle w:val="Hyperlink"/>
            <w:rFonts w:ascii="Arial" w:hAnsi="Arial" w:cs="Arial"/>
            <w:sz w:val="20"/>
            <w:szCs w:val="20"/>
          </w:rPr>
          <w:t xml:space="preserve"> Sexually Transmitted Infection Reporting Form</w:t>
        </w:r>
        <w:r w:rsidR="00491C26" w:rsidRPr="00B01F9E">
          <w:rPr>
            <w:rStyle w:val="Hyperlink"/>
            <w:rFonts w:ascii="Arial" w:hAnsi="Arial" w:cs="Arial"/>
            <w:color w:val="auto"/>
            <w:sz w:val="20"/>
            <w:szCs w:val="20"/>
            <w:u w:val="none"/>
          </w:rPr>
          <w:t>.</w:t>
        </w:r>
        <w:r w:rsidR="00700AAA" w:rsidRPr="00B01F9E">
          <w:rPr>
            <w:rStyle w:val="Hyperlink"/>
            <w:rFonts w:ascii="Arial" w:hAnsi="Arial" w:cs="Arial"/>
            <w:color w:val="auto"/>
            <w:sz w:val="20"/>
            <w:szCs w:val="20"/>
            <w:u w:val="none"/>
          </w:rPr>
          <w:t xml:space="preserve"> </w:t>
        </w:r>
      </w:hyperlink>
      <w:r w:rsidRPr="00B01F9E">
        <w:rPr>
          <w:rFonts w:ascii="Arial" w:hAnsi="Arial" w:cs="Arial"/>
          <w:sz w:val="20"/>
          <w:szCs w:val="20"/>
        </w:rPr>
        <w:t xml:space="preserve">Because this clinical information might not be available to the laboratory, the CDC recommends that at a minimum all positive syphilis direct detection test (i.e., by light microscopy) along with specimen site, and all positive syphilis serologic tests, should be reported to state and local health departments by the laboratory. Table </w:t>
      </w:r>
      <w:r w:rsidR="007430D5" w:rsidRPr="00B01F9E">
        <w:rPr>
          <w:rFonts w:ascii="Arial" w:hAnsi="Arial" w:cs="Arial"/>
          <w:sz w:val="20"/>
          <w:szCs w:val="20"/>
        </w:rPr>
        <w:t>2</w:t>
      </w:r>
      <w:r w:rsidR="00FF6AE3" w:rsidRPr="00B01F9E">
        <w:rPr>
          <w:rFonts w:ascii="Arial" w:hAnsi="Arial" w:cs="Arial"/>
          <w:sz w:val="20"/>
          <w:szCs w:val="20"/>
        </w:rPr>
        <w:t>6</w:t>
      </w:r>
      <w:r w:rsidRPr="00B01F9E">
        <w:rPr>
          <w:rFonts w:ascii="Arial" w:hAnsi="Arial" w:cs="Arial"/>
          <w:sz w:val="20"/>
          <w:szCs w:val="20"/>
        </w:rPr>
        <w:t xml:space="preserve"> shows these minimum reporting data elements</w:t>
      </w:r>
      <w:r w:rsidRPr="00B01F9E">
        <w:rPr>
          <w:rStyle w:val="eop"/>
          <w:rFonts w:ascii="Arial" w:hAnsi="Arial" w:cs="Arial"/>
          <w:sz w:val="20"/>
          <w:szCs w:val="20"/>
        </w:rPr>
        <w:t>.</w:t>
      </w:r>
    </w:p>
    <w:p w14:paraId="7A8F3A14" w14:textId="452F3AA3" w:rsidR="00EC43A7" w:rsidRPr="00B01F9E" w:rsidRDefault="00EC43A7" w:rsidP="00C876AD">
      <w:pPr>
        <w:pStyle w:val="paragraph"/>
        <w:spacing w:before="0" w:beforeAutospacing="0" w:after="0" w:afterAutospacing="0"/>
        <w:textAlignment w:val="baseline"/>
        <w:rPr>
          <w:rFonts w:ascii="Arial" w:hAnsi="Arial" w:cs="Arial"/>
          <w:b/>
          <w:color w:val="009BBF"/>
          <w:sz w:val="20"/>
          <w:szCs w:val="20"/>
        </w:rPr>
      </w:pPr>
      <w:r w:rsidRPr="00B01F9E">
        <w:rPr>
          <w:rFonts w:ascii="Arial" w:hAnsi="Arial" w:cs="Arial"/>
          <w:b/>
          <w:color w:val="009BBF"/>
          <w:sz w:val="20"/>
          <w:szCs w:val="20"/>
        </w:rPr>
        <w:t xml:space="preserve">Table </w:t>
      </w:r>
      <w:r w:rsidR="007430D5" w:rsidRPr="00B01F9E">
        <w:rPr>
          <w:rFonts w:ascii="Arial" w:hAnsi="Arial" w:cs="Arial"/>
          <w:b/>
          <w:color w:val="009BBF"/>
          <w:sz w:val="20"/>
          <w:szCs w:val="20"/>
        </w:rPr>
        <w:t>2</w:t>
      </w:r>
      <w:r w:rsidR="00FF6AE3" w:rsidRPr="00B01F9E">
        <w:rPr>
          <w:rFonts w:ascii="Arial" w:hAnsi="Arial" w:cs="Arial"/>
          <w:b/>
          <w:color w:val="009BBF"/>
          <w:sz w:val="20"/>
          <w:szCs w:val="20"/>
        </w:rPr>
        <w:t>6</w:t>
      </w:r>
      <w:r w:rsidRPr="00B01F9E">
        <w:rPr>
          <w:rFonts w:ascii="Arial" w:hAnsi="Arial" w:cs="Arial"/>
          <w:b/>
          <w:color w:val="009BBF"/>
          <w:sz w:val="20"/>
          <w:szCs w:val="20"/>
        </w:rPr>
        <w:t>: CDC Recommendations for Minimum Test Reporting Requirements (not complete for ANF modeling)</w:t>
      </w:r>
    </w:p>
    <w:tbl>
      <w:tblPr>
        <w:tblStyle w:val="TableGrid"/>
        <w:tblW w:w="0" w:type="auto"/>
        <w:tblLook w:val="04A0" w:firstRow="1" w:lastRow="0" w:firstColumn="1" w:lastColumn="0" w:noHBand="0" w:noVBand="1"/>
      </w:tblPr>
      <w:tblGrid>
        <w:gridCol w:w="625"/>
        <w:gridCol w:w="8725"/>
      </w:tblGrid>
      <w:tr w:rsidR="00EC43A7" w:rsidRPr="00B01F9E" w14:paraId="2386A70D" w14:textId="77777777" w:rsidTr="009C6A05">
        <w:tc>
          <w:tcPr>
            <w:tcW w:w="625" w:type="dxa"/>
            <w:shd w:val="clear" w:color="auto" w:fill="C3C6C8" w:themeFill="background1"/>
          </w:tcPr>
          <w:p w14:paraId="7E385682" w14:textId="77777777" w:rsidR="00EC43A7" w:rsidRPr="00B01F9E" w:rsidRDefault="00EC43A7" w:rsidP="009C6A05">
            <w:pPr>
              <w:pStyle w:val="paragraph"/>
              <w:spacing w:before="0" w:beforeAutospacing="0" w:after="0" w:afterAutospacing="0"/>
              <w:textAlignment w:val="baseline"/>
              <w:rPr>
                <w:rFonts w:ascii="Arial" w:hAnsi="Arial" w:cs="Arial"/>
                <w:b/>
                <w:color w:val="000000" w:themeColor="text2"/>
                <w:sz w:val="20"/>
                <w:szCs w:val="20"/>
              </w:rPr>
            </w:pPr>
            <w:r w:rsidRPr="00B01F9E">
              <w:rPr>
                <w:rFonts w:ascii="Arial" w:hAnsi="Arial" w:cs="Arial"/>
                <w:b/>
                <w:color w:val="000000" w:themeColor="text2"/>
                <w:sz w:val="20"/>
                <w:szCs w:val="20"/>
              </w:rPr>
              <w:t>#</w:t>
            </w:r>
          </w:p>
        </w:tc>
        <w:tc>
          <w:tcPr>
            <w:tcW w:w="8725" w:type="dxa"/>
            <w:shd w:val="clear" w:color="auto" w:fill="C3C6C8" w:themeFill="background1"/>
          </w:tcPr>
          <w:p w14:paraId="525BB6F5" w14:textId="77777777" w:rsidR="00EC43A7" w:rsidRPr="00B01F9E" w:rsidRDefault="00EC43A7" w:rsidP="009C6A05">
            <w:pPr>
              <w:pStyle w:val="paragraph"/>
              <w:spacing w:before="0" w:beforeAutospacing="0" w:after="0" w:afterAutospacing="0"/>
              <w:textAlignment w:val="baseline"/>
              <w:rPr>
                <w:rFonts w:ascii="Arial" w:hAnsi="Arial" w:cs="Arial"/>
                <w:b/>
                <w:color w:val="000000" w:themeColor="text2"/>
                <w:sz w:val="20"/>
                <w:szCs w:val="20"/>
              </w:rPr>
            </w:pPr>
            <w:r w:rsidRPr="00B01F9E">
              <w:rPr>
                <w:rFonts w:ascii="Arial" w:hAnsi="Arial" w:cs="Arial"/>
                <w:b/>
                <w:color w:val="000000" w:themeColor="text2"/>
                <w:sz w:val="20"/>
                <w:szCs w:val="20"/>
              </w:rPr>
              <w:t>Requirement</w:t>
            </w:r>
          </w:p>
        </w:tc>
      </w:tr>
      <w:tr w:rsidR="00EC43A7" w:rsidRPr="00B01F9E" w14:paraId="256ED0CF" w14:textId="77777777" w:rsidTr="009C6A05">
        <w:tc>
          <w:tcPr>
            <w:tcW w:w="625" w:type="dxa"/>
          </w:tcPr>
          <w:p w14:paraId="7FC37396"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1</w:t>
            </w:r>
          </w:p>
        </w:tc>
        <w:tc>
          <w:tcPr>
            <w:tcW w:w="8725" w:type="dxa"/>
          </w:tcPr>
          <w:p w14:paraId="083647D8" w14:textId="77777777" w:rsidR="00EC43A7" w:rsidRPr="00B01F9E" w:rsidRDefault="00EC43A7" w:rsidP="009C6A05">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Type of test (Direct [Light Microscopy]) and Indirect or Serological (e.g., VDRL, RPR, EIA)</w:t>
            </w:r>
          </w:p>
        </w:tc>
      </w:tr>
      <w:tr w:rsidR="00EC43A7" w:rsidRPr="00B01F9E" w14:paraId="0B1FDB7B" w14:textId="77777777" w:rsidTr="009C6A05">
        <w:tc>
          <w:tcPr>
            <w:tcW w:w="625" w:type="dxa"/>
          </w:tcPr>
          <w:p w14:paraId="274D568A"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2</w:t>
            </w:r>
          </w:p>
        </w:tc>
        <w:tc>
          <w:tcPr>
            <w:tcW w:w="8725" w:type="dxa"/>
          </w:tcPr>
          <w:p w14:paraId="5CFDAE98" w14:textId="77777777" w:rsidR="00EC43A7" w:rsidRPr="00B01F9E" w:rsidRDefault="00EC43A7" w:rsidP="009C6A05">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Specimen Site</w:t>
            </w:r>
          </w:p>
        </w:tc>
      </w:tr>
      <w:tr w:rsidR="00EC43A7" w:rsidRPr="00B01F9E" w14:paraId="25C3A2DC" w14:textId="77777777" w:rsidTr="009C6A05">
        <w:tc>
          <w:tcPr>
            <w:tcW w:w="625" w:type="dxa"/>
          </w:tcPr>
          <w:p w14:paraId="6033C47D"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3</w:t>
            </w:r>
          </w:p>
        </w:tc>
        <w:tc>
          <w:tcPr>
            <w:tcW w:w="8725" w:type="dxa"/>
          </w:tcPr>
          <w:p w14:paraId="3D05E233" w14:textId="77777777" w:rsidR="00EC43A7" w:rsidRPr="00B01F9E" w:rsidRDefault="00EC43A7" w:rsidP="009C6A05">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Date Specimen Collected</w:t>
            </w:r>
          </w:p>
        </w:tc>
      </w:tr>
      <w:tr w:rsidR="00EC43A7" w:rsidRPr="00B01F9E" w14:paraId="2D3E81D3" w14:textId="77777777" w:rsidTr="009C6A05">
        <w:tc>
          <w:tcPr>
            <w:tcW w:w="625" w:type="dxa"/>
          </w:tcPr>
          <w:p w14:paraId="5D4B8DB7"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4</w:t>
            </w:r>
          </w:p>
        </w:tc>
        <w:tc>
          <w:tcPr>
            <w:tcW w:w="8725" w:type="dxa"/>
          </w:tcPr>
          <w:p w14:paraId="36887D5F" w14:textId="77777777" w:rsidR="00EC43A7" w:rsidRPr="00B01F9E" w:rsidRDefault="00EC43A7" w:rsidP="009C6A05">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Sensitivity of Antibody Used (for serological testing)</w:t>
            </w:r>
          </w:p>
        </w:tc>
      </w:tr>
      <w:tr w:rsidR="00EC43A7" w:rsidRPr="00B01F9E" w14:paraId="27E85F0D" w14:textId="77777777" w:rsidTr="009C6A05">
        <w:tc>
          <w:tcPr>
            <w:tcW w:w="625" w:type="dxa"/>
          </w:tcPr>
          <w:p w14:paraId="52074D19"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5</w:t>
            </w:r>
          </w:p>
        </w:tc>
        <w:tc>
          <w:tcPr>
            <w:tcW w:w="8725" w:type="dxa"/>
          </w:tcPr>
          <w:p w14:paraId="7D25A2ED" w14:textId="77777777" w:rsidR="00EC43A7" w:rsidRPr="00B01F9E" w:rsidRDefault="00EC43A7" w:rsidP="009C6A05">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Resulting Titer (for serological testing)</w:t>
            </w:r>
          </w:p>
        </w:tc>
      </w:tr>
      <w:tr w:rsidR="00EC43A7" w:rsidRPr="00B01F9E" w14:paraId="0C1BC707" w14:textId="77777777" w:rsidTr="009C6A05">
        <w:tc>
          <w:tcPr>
            <w:tcW w:w="625" w:type="dxa"/>
          </w:tcPr>
          <w:p w14:paraId="1893406E"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6</w:t>
            </w:r>
          </w:p>
        </w:tc>
        <w:tc>
          <w:tcPr>
            <w:tcW w:w="8725" w:type="dxa"/>
          </w:tcPr>
          <w:p w14:paraId="641B731B" w14:textId="77777777" w:rsidR="00EC43A7" w:rsidRPr="00B01F9E" w:rsidRDefault="00EC43A7" w:rsidP="009C6A05">
            <w:pPr>
              <w:pStyle w:val="paragraph"/>
              <w:spacing w:before="0" w:beforeAutospacing="0" w:after="0" w:afterAutospacing="0"/>
              <w:textAlignment w:val="baseline"/>
              <w:rPr>
                <w:rFonts w:ascii="Arial" w:hAnsi="Arial" w:cs="Arial"/>
                <w:sz w:val="20"/>
                <w:szCs w:val="20"/>
              </w:rPr>
            </w:pPr>
            <w:r w:rsidRPr="00B01F9E">
              <w:rPr>
                <w:rStyle w:val="normaltextrun"/>
                <w:rFonts w:ascii="Arial" w:hAnsi="Arial" w:cs="Arial"/>
                <w:sz w:val="20"/>
                <w:szCs w:val="20"/>
              </w:rPr>
              <w:t>Attending physician</w:t>
            </w:r>
            <w:r w:rsidRPr="00B01F9E">
              <w:rPr>
                <w:rStyle w:val="eop"/>
                <w:rFonts w:ascii="Arial" w:hAnsi="Arial" w:cs="Arial"/>
                <w:sz w:val="20"/>
                <w:szCs w:val="20"/>
              </w:rPr>
              <w:t> </w:t>
            </w:r>
          </w:p>
        </w:tc>
      </w:tr>
      <w:tr w:rsidR="00EC43A7" w:rsidRPr="00B01F9E" w14:paraId="4F599237" w14:textId="77777777" w:rsidTr="009C6A05">
        <w:tc>
          <w:tcPr>
            <w:tcW w:w="625" w:type="dxa"/>
          </w:tcPr>
          <w:p w14:paraId="20AF0075"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7</w:t>
            </w:r>
          </w:p>
        </w:tc>
        <w:tc>
          <w:tcPr>
            <w:tcW w:w="8725" w:type="dxa"/>
          </w:tcPr>
          <w:p w14:paraId="74B142B8" w14:textId="77777777" w:rsidR="00EC43A7" w:rsidRPr="00B01F9E" w:rsidRDefault="00EC43A7" w:rsidP="009C6A05">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Name of laboratory performing the test</w:t>
            </w:r>
            <w:r w:rsidRPr="00B01F9E">
              <w:rPr>
                <w:rStyle w:val="eop"/>
                <w:rFonts w:ascii="Arial" w:hAnsi="Arial" w:cs="Arial"/>
                <w:sz w:val="20"/>
                <w:szCs w:val="20"/>
              </w:rPr>
              <w:t> </w:t>
            </w:r>
          </w:p>
        </w:tc>
      </w:tr>
      <w:tr w:rsidR="00EC43A7" w:rsidRPr="00B01F9E" w14:paraId="0D93FAD4" w14:textId="77777777" w:rsidTr="009C6A05">
        <w:tc>
          <w:tcPr>
            <w:tcW w:w="625" w:type="dxa"/>
          </w:tcPr>
          <w:p w14:paraId="3A4B2E1C"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8</w:t>
            </w:r>
          </w:p>
        </w:tc>
        <w:tc>
          <w:tcPr>
            <w:tcW w:w="8725" w:type="dxa"/>
          </w:tcPr>
          <w:p w14:paraId="7134B1C0" w14:textId="77777777" w:rsidR="00EC43A7" w:rsidRPr="00B01F9E" w:rsidRDefault="00EC43A7" w:rsidP="009C6A05">
            <w:pPr>
              <w:pStyle w:val="paragraph"/>
              <w:spacing w:before="0" w:beforeAutospacing="0" w:after="0" w:afterAutospacing="0"/>
              <w:textAlignment w:val="baseline"/>
              <w:rPr>
                <w:rStyle w:val="normaltextrun"/>
                <w:rFonts w:ascii="Arial" w:hAnsi="Arial" w:cs="Arial"/>
                <w:sz w:val="20"/>
                <w:szCs w:val="20"/>
              </w:rPr>
            </w:pPr>
            <w:r w:rsidRPr="00B01F9E">
              <w:rPr>
                <w:rStyle w:val="normaltextrun"/>
                <w:rFonts w:ascii="Arial" w:hAnsi="Arial" w:cs="Arial"/>
                <w:sz w:val="20"/>
                <w:szCs w:val="20"/>
              </w:rPr>
              <w:t>Details of reporting office and physician with location and details</w:t>
            </w:r>
            <w:r w:rsidRPr="00B01F9E">
              <w:rPr>
                <w:rStyle w:val="eop"/>
                <w:rFonts w:ascii="Arial" w:hAnsi="Arial" w:cs="Arial"/>
                <w:sz w:val="20"/>
                <w:szCs w:val="20"/>
              </w:rPr>
              <w:t> </w:t>
            </w:r>
          </w:p>
        </w:tc>
      </w:tr>
      <w:tr w:rsidR="00EC43A7" w:rsidRPr="00B01F9E" w14:paraId="2045C2F8" w14:textId="77777777" w:rsidTr="009C6A05">
        <w:tc>
          <w:tcPr>
            <w:tcW w:w="625" w:type="dxa"/>
          </w:tcPr>
          <w:p w14:paraId="010A5609" w14:textId="77777777" w:rsidR="00EC43A7" w:rsidRPr="00B01F9E" w:rsidRDefault="00EC43A7" w:rsidP="009C6A05">
            <w:pPr>
              <w:pStyle w:val="paragraph"/>
              <w:spacing w:before="0" w:beforeAutospacing="0" w:after="0" w:afterAutospacing="0"/>
              <w:textAlignment w:val="baseline"/>
              <w:rPr>
                <w:rFonts w:ascii="Arial" w:hAnsi="Arial" w:cs="Arial"/>
                <w:b/>
                <w:sz w:val="20"/>
                <w:szCs w:val="20"/>
              </w:rPr>
            </w:pPr>
            <w:r w:rsidRPr="00B01F9E">
              <w:rPr>
                <w:rFonts w:ascii="Arial" w:hAnsi="Arial" w:cs="Arial"/>
                <w:b/>
                <w:sz w:val="20"/>
                <w:szCs w:val="20"/>
              </w:rPr>
              <w:t>9</w:t>
            </w:r>
          </w:p>
        </w:tc>
        <w:tc>
          <w:tcPr>
            <w:tcW w:w="8725" w:type="dxa"/>
          </w:tcPr>
          <w:p w14:paraId="04934188" w14:textId="77777777" w:rsidR="00EC43A7" w:rsidRPr="00B01F9E" w:rsidRDefault="00EC43A7" w:rsidP="009C6A05">
            <w:pPr>
              <w:pStyle w:val="paragraph"/>
              <w:spacing w:before="0" w:beforeAutospacing="0" w:after="0" w:afterAutospacing="0"/>
              <w:textAlignment w:val="baseline"/>
              <w:rPr>
                <w:rFonts w:ascii="Arial" w:hAnsi="Arial" w:cs="Arial"/>
                <w:b/>
                <w:bCs/>
                <w:color w:val="009ABF" w:themeColor="text1"/>
                <w:sz w:val="20"/>
                <w:szCs w:val="20"/>
              </w:rPr>
            </w:pPr>
            <w:r w:rsidRPr="00B01F9E">
              <w:rPr>
                <w:rStyle w:val="normaltextrun"/>
                <w:rFonts w:ascii="Arial" w:hAnsi="Arial" w:cs="Arial"/>
                <w:sz w:val="20"/>
                <w:szCs w:val="20"/>
              </w:rPr>
              <w:t>Date Report Submitted</w:t>
            </w:r>
          </w:p>
        </w:tc>
      </w:tr>
    </w:tbl>
    <w:p w14:paraId="6E6D1294" w14:textId="012D7EAC" w:rsidR="00EC43A7" w:rsidRPr="00B01F9E" w:rsidRDefault="00EC43A7" w:rsidP="00B01F9E">
      <w:pPr>
        <w:spacing w:before="120" w:after="120"/>
        <w:rPr>
          <w:rStyle w:val="normaltextrun"/>
          <w:rFonts w:ascii="Arial" w:hAnsi="Arial" w:cs="Arial"/>
          <w:sz w:val="20"/>
          <w:szCs w:val="20"/>
        </w:rPr>
      </w:pPr>
      <w:r w:rsidRPr="00B01F9E">
        <w:rPr>
          <w:rStyle w:val="normaltextrun"/>
          <w:rFonts w:ascii="Arial" w:hAnsi="Arial" w:cs="Arial"/>
          <w:sz w:val="20"/>
          <w:szCs w:val="20"/>
        </w:rPr>
        <w:t xml:space="preserve">For complete ANF modeling, the laboratory results should also indicate relevant comorbidities such as HIV, the type of test kit/reagent identifying information, instrument identifier, reference range, units of measure if applicable, and any other information relevant to the test performed as outlined in Table </w:t>
      </w:r>
      <w:r w:rsidR="007430D5" w:rsidRPr="00B01F9E">
        <w:rPr>
          <w:rStyle w:val="normaltextrun"/>
          <w:rFonts w:ascii="Arial" w:hAnsi="Arial" w:cs="Arial"/>
          <w:sz w:val="20"/>
          <w:szCs w:val="20"/>
        </w:rPr>
        <w:t>2</w:t>
      </w:r>
      <w:r w:rsidR="00FF6AE3" w:rsidRPr="00B01F9E">
        <w:rPr>
          <w:rStyle w:val="normaltextrun"/>
          <w:rFonts w:ascii="Arial" w:hAnsi="Arial" w:cs="Arial"/>
          <w:sz w:val="20"/>
          <w:szCs w:val="20"/>
        </w:rPr>
        <w:t>6</w:t>
      </w:r>
      <w:r w:rsidRPr="00B01F9E">
        <w:rPr>
          <w:rStyle w:val="normaltextrun"/>
          <w:rFonts w:ascii="Arial" w:hAnsi="Arial" w:cs="Arial"/>
          <w:sz w:val="20"/>
          <w:szCs w:val="20"/>
        </w:rPr>
        <w:t>. However, the additional history of the illness, its signs and symptoms, and the patient’s sexual contact history that might be required by the state for reporting are not a part of the laboratory reporting of results. These would be incorporated into a separate ANF clinical report or progress note.</w:t>
      </w:r>
    </w:p>
    <w:p w14:paraId="696EB1AC" w14:textId="6C8A743D" w:rsidR="00EC43A7" w:rsidRPr="00B01F9E" w:rsidRDefault="00EC43A7" w:rsidP="00B01F9E">
      <w:pPr>
        <w:spacing w:after="120"/>
        <w:rPr>
          <w:rStyle w:val="eop"/>
          <w:rFonts w:ascii="Arial" w:hAnsi="Arial" w:cs="Arial"/>
          <w:sz w:val="20"/>
          <w:szCs w:val="20"/>
        </w:rPr>
      </w:pPr>
      <w:r w:rsidRPr="00B01F9E">
        <w:rPr>
          <w:rStyle w:val="normaltextrun"/>
          <w:rFonts w:ascii="Arial" w:hAnsi="Arial" w:cs="Arial"/>
          <w:sz w:val="20"/>
          <w:szCs w:val="20"/>
        </w:rPr>
        <w:t xml:space="preserve">As follow-up, if the result of the at-home test is positive, the patient, their agent, or the facility physician will typically be requested to perform follow-up confirmation. This information is often requested by the state public health department. The confirmation method depends upon the patient presentation. Light microscopy of fluid samples from sores or lesions might be used, or further antibody testing. Recently, positive and sensitive results from a PCR test for the presence of </w:t>
      </w:r>
      <w:r w:rsidRPr="00B01F9E">
        <w:rPr>
          <w:rStyle w:val="normaltextrun"/>
          <w:rFonts w:ascii="Arial" w:hAnsi="Arial" w:cs="Arial"/>
          <w:i/>
          <w:iCs/>
          <w:sz w:val="20"/>
          <w:szCs w:val="20"/>
        </w:rPr>
        <w:t xml:space="preserve">T. pallidum </w:t>
      </w:r>
      <w:r w:rsidRPr="00B01F9E">
        <w:rPr>
          <w:rStyle w:val="normaltextrun"/>
          <w:rFonts w:ascii="Arial" w:hAnsi="Arial" w:cs="Arial"/>
          <w:sz w:val="20"/>
          <w:szCs w:val="20"/>
        </w:rPr>
        <w:t>was reported. However, it is not readily available in the US.</w:t>
      </w:r>
      <w:r w:rsidRPr="00B01F9E">
        <w:rPr>
          <w:rStyle w:val="eop"/>
          <w:rFonts w:ascii="Arial" w:hAnsi="Arial" w:cs="Arial"/>
          <w:sz w:val="20"/>
          <w:szCs w:val="20"/>
        </w:rPr>
        <w:t> </w:t>
      </w:r>
    </w:p>
    <w:p w14:paraId="56A301B4" w14:textId="38FB9FB0" w:rsidR="00EC43A7" w:rsidRPr="00B01F9E" w:rsidRDefault="00EC43A7" w:rsidP="00B01F9E">
      <w:pPr>
        <w:spacing w:after="120"/>
        <w:rPr>
          <w:rStyle w:val="eop"/>
          <w:rFonts w:ascii="Arial" w:hAnsi="Arial" w:cs="Arial"/>
          <w:sz w:val="20"/>
          <w:szCs w:val="20"/>
        </w:rPr>
      </w:pPr>
      <w:r w:rsidRPr="00B01F9E">
        <w:rPr>
          <w:rStyle w:val="normaltextrun"/>
          <w:rFonts w:ascii="Arial" w:hAnsi="Arial" w:cs="Arial"/>
          <w:sz w:val="20"/>
          <w:szCs w:val="20"/>
        </w:rPr>
        <w:t>If the result is negative and there is concern about the timing of exposure such that serological evidence may not be present, then the at-home test might be repeated in a reasonable time interval (e.g., three months).</w:t>
      </w:r>
      <w:r w:rsidRPr="00B01F9E">
        <w:rPr>
          <w:rStyle w:val="eop"/>
          <w:rFonts w:ascii="Arial" w:hAnsi="Arial" w:cs="Arial"/>
          <w:sz w:val="20"/>
          <w:szCs w:val="20"/>
        </w:rPr>
        <w:t> </w:t>
      </w:r>
    </w:p>
    <w:p w14:paraId="468537A6" w14:textId="72565998" w:rsidR="00EC43A7" w:rsidRPr="00B01F9E" w:rsidRDefault="00EC43A7" w:rsidP="00B01F9E">
      <w:pPr>
        <w:spacing w:after="120"/>
        <w:rPr>
          <w:rStyle w:val="eop"/>
          <w:rFonts w:ascii="Arial" w:hAnsi="Arial" w:cs="Arial"/>
          <w:sz w:val="20"/>
          <w:szCs w:val="20"/>
        </w:rPr>
      </w:pPr>
      <w:r w:rsidRPr="00B01F9E">
        <w:rPr>
          <w:rStyle w:val="normaltextrun"/>
          <w:rFonts w:ascii="Arial" w:hAnsi="Arial" w:cs="Arial"/>
          <w:sz w:val="20"/>
          <w:szCs w:val="20"/>
        </w:rPr>
        <w:t xml:space="preserve">As stated above, all positive results must be reported to the state and local public health department and subsequently to the CDC. As of December 31, 2003, all 50 states and the District of Columbia converted </w:t>
      </w:r>
      <w:r w:rsidRPr="00B01F9E">
        <w:rPr>
          <w:rStyle w:val="normaltextrun"/>
          <w:rFonts w:ascii="Arial" w:hAnsi="Arial" w:cs="Arial"/>
          <w:sz w:val="20"/>
          <w:szCs w:val="20"/>
        </w:rPr>
        <w:lastRenderedPageBreak/>
        <w:t xml:space="preserve">from summary hard copy reporting to electronic submission of line-listed (i.e., case-specific) data for chlamydia, gonorrhea, syphilis, and chancroid through the National Electronic Telecommunications System for Surveillance (NETSS). </w:t>
      </w:r>
    </w:p>
    <w:p w14:paraId="7FB4AC4C" w14:textId="306A0817" w:rsidR="00EC43A7" w:rsidRPr="00B01F9E" w:rsidRDefault="009F1F82" w:rsidP="00C876AD">
      <w:pPr>
        <w:pStyle w:val="Heading3"/>
        <w:spacing w:before="0" w:after="120"/>
        <w:rPr>
          <w:rFonts w:ascii="Arial" w:hAnsi="Arial" w:cs="Arial"/>
          <w:b/>
          <w:i/>
          <w:color w:val="009BBF"/>
          <w:sz w:val="20"/>
          <w:szCs w:val="20"/>
        </w:rPr>
      </w:pPr>
      <w:bookmarkStart w:id="384" w:name="_Toc177137021"/>
      <w:r w:rsidRPr="00B01F9E">
        <w:rPr>
          <w:rFonts w:ascii="Arial" w:hAnsi="Arial" w:cs="Arial"/>
          <w:b/>
          <w:i/>
          <w:color w:val="009BBF"/>
          <w:sz w:val="20"/>
          <w:szCs w:val="20"/>
        </w:rPr>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.7 Clinical Narrative 7: Toxicology</w:t>
      </w:r>
      <w:bookmarkEnd w:id="384"/>
      <w:r w:rsidR="00EC43A7" w:rsidRPr="00B01F9E">
        <w:rPr>
          <w:rFonts w:ascii="Arial" w:hAnsi="Arial" w:cs="Arial"/>
          <w:b/>
          <w:i/>
          <w:color w:val="009BBF"/>
          <w:sz w:val="20"/>
          <w:szCs w:val="20"/>
        </w:rPr>
        <w:t xml:space="preserve"> </w:t>
      </w:r>
    </w:p>
    <w:p w14:paraId="5142ED5F" w14:textId="3EBBA270"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An 18-year-old male presents to the emergency department of a local hospital by ambulance after being found unresponsive in his room by a roommate. The patient had some initial response to naloxone but had difficulty breathing and was intubated. A urine drugs of abuse screen test is ordered by the emergency medicine physician and the specimen is collected upon placement of the foley catheter and sent to the laboratory for testing. </w:t>
      </w:r>
    </w:p>
    <w:p w14:paraId="0F9948D4" w14:textId="22948647"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The urine drug screen is performed on the Abbott </w:t>
      </w:r>
      <w:proofErr w:type="spellStart"/>
      <w:r w:rsidRPr="00B01F9E">
        <w:rPr>
          <w:rStyle w:val="normaltextrun"/>
          <w:rFonts w:ascii="Arial" w:hAnsi="Arial" w:cs="Arial"/>
          <w:sz w:val="20"/>
          <w:szCs w:val="20"/>
        </w:rPr>
        <w:t>Alinity</w:t>
      </w:r>
      <w:proofErr w:type="spellEnd"/>
      <w:r w:rsidRPr="00B01F9E">
        <w:rPr>
          <w:rStyle w:val="normaltextrun"/>
          <w:rFonts w:ascii="Arial" w:hAnsi="Arial" w:cs="Arial"/>
          <w:sz w:val="20"/>
          <w:szCs w:val="20"/>
        </w:rPr>
        <w:t xml:space="preserve"> c with the Abbott and ARK™ Fentanyl II Assay Reagents using the immunoassay method. The drug screen tests for PCP, Benzodiazepine, Cocaine, Amphetamine, THC, Opiates, Barbiturates, Ecstasy, and Fentanyl. It is a qualitative test, and the results are reported as nominal results. In the case, fentanyl was reported as positive. The ARK™ Fentanyl II Assay has a cutoff value of 1 ng/mL, above which a result of positive is reported. The expected reference range is negative.</w:t>
      </w:r>
      <w:r w:rsidRPr="00B01F9E">
        <w:rPr>
          <w:rStyle w:val="eop"/>
          <w:rFonts w:ascii="Arial" w:hAnsi="Arial" w:cs="Arial"/>
          <w:sz w:val="20"/>
          <w:szCs w:val="20"/>
        </w:rPr>
        <w:t> </w:t>
      </w:r>
    </w:p>
    <w:p w14:paraId="068BB566" w14:textId="2E64D8B2"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Based on the reported positive for fentanyl by the laboratory, the managing physician orders a urine comprehensive drug profile. The laboratory adds on the comprehensive drug profile to the urine specimen already in the laboratory. The urine comprehensive drug profile is performed on the </w:t>
      </w:r>
      <w:proofErr w:type="spellStart"/>
      <w:r w:rsidRPr="00B01F9E">
        <w:rPr>
          <w:rStyle w:val="normaltextrun"/>
          <w:rFonts w:ascii="Arial" w:hAnsi="Arial" w:cs="Arial"/>
          <w:sz w:val="20"/>
          <w:szCs w:val="20"/>
        </w:rPr>
        <w:t>Sciex</w:t>
      </w:r>
      <w:proofErr w:type="spellEnd"/>
      <w:r w:rsidRPr="00B01F9E">
        <w:rPr>
          <w:rStyle w:val="normaltextrun"/>
          <w:rFonts w:ascii="Arial" w:hAnsi="Arial" w:cs="Arial"/>
          <w:sz w:val="20"/>
          <w:szCs w:val="20"/>
        </w:rPr>
        <w:t xml:space="preserve"> 4600 Triple Quad-Time of Flight</w:t>
      </w:r>
      <w:r w:rsidRPr="00B01F9E">
        <w:rPr>
          <w:rFonts w:ascii="Arial" w:hAnsi="Arial" w:cs="Arial"/>
          <w:sz w:val="20"/>
          <w:szCs w:val="20"/>
        </w:rPr>
        <w:t>™</w:t>
      </w:r>
      <w:r w:rsidRPr="00B01F9E">
        <w:rPr>
          <w:rStyle w:val="normaltextrun"/>
          <w:rFonts w:ascii="Arial" w:hAnsi="Arial" w:cs="Arial"/>
          <w:sz w:val="20"/>
          <w:szCs w:val="20"/>
        </w:rPr>
        <w:t xml:space="preserve"> mass spectrometer (</w:t>
      </w:r>
      <w:proofErr w:type="spellStart"/>
      <w:r w:rsidRPr="00B01F9E">
        <w:rPr>
          <w:rStyle w:val="normaltextrun"/>
          <w:rFonts w:ascii="Arial" w:hAnsi="Arial" w:cs="Arial"/>
          <w:sz w:val="20"/>
          <w:szCs w:val="20"/>
        </w:rPr>
        <w:t>ToF</w:t>
      </w:r>
      <w:proofErr w:type="spellEnd"/>
      <w:r w:rsidRPr="00B01F9E">
        <w:rPr>
          <w:rStyle w:val="normaltextrun"/>
          <w:rFonts w:ascii="Arial" w:hAnsi="Arial" w:cs="Arial"/>
          <w:sz w:val="20"/>
          <w:szCs w:val="20"/>
        </w:rPr>
        <w:t>) using the Liquid Chromatography/Tandem Mass Spectrometry (LC/MS-MS) method. Liquid chromatography separates dissolved analytes by utilizing variations in their respective affinities for the solvent or mobile phase and that of the stationary phase or column medium. The resulting chromatogram are compared to a library database by software to identify the substances present. The comprehensive drug profile tests for Alcohol Biomarkers, Amphetamines, Analgesics, Antidepressants, Antiemetics, Antiepileptics, Antihistamines, Antimicrobials, Antipsychotics, Barbiturates, Benzodiazepines and Metabolites, Cannabinoids, Cardiac Agents, Cocaine and Metabolites, Hallucinogens, Muscle Relaxants, Opioids/Opiates, Sedative Hypnotics, and Stimulants. The results are reported as quantitative results with ng/mL unit of measure. In this case, fentanyl was reported with a value of 3.3 ng/</w:t>
      </w:r>
      <w:proofErr w:type="spellStart"/>
      <w:r w:rsidRPr="00B01F9E">
        <w:rPr>
          <w:rStyle w:val="normaltextrun"/>
          <w:rFonts w:ascii="Arial" w:hAnsi="Arial" w:cs="Arial"/>
          <w:sz w:val="20"/>
          <w:szCs w:val="20"/>
        </w:rPr>
        <w:t>mL.</w:t>
      </w:r>
      <w:proofErr w:type="spellEnd"/>
      <w:r w:rsidRPr="00B01F9E">
        <w:rPr>
          <w:rStyle w:val="normaltextrun"/>
          <w:rFonts w:ascii="Arial" w:hAnsi="Arial" w:cs="Arial"/>
          <w:sz w:val="20"/>
          <w:szCs w:val="20"/>
        </w:rPr>
        <w:t xml:space="preserve"> The reference range for fentanyl on this assay is &lt;1.0 ng/</w:t>
      </w:r>
      <w:proofErr w:type="spellStart"/>
      <w:r w:rsidRPr="00B01F9E">
        <w:rPr>
          <w:rStyle w:val="normaltextrun"/>
          <w:rFonts w:ascii="Arial" w:hAnsi="Arial" w:cs="Arial"/>
          <w:sz w:val="20"/>
          <w:szCs w:val="20"/>
        </w:rPr>
        <w:t>mL.</w:t>
      </w:r>
      <w:proofErr w:type="spellEnd"/>
      <w:r w:rsidRPr="00B01F9E">
        <w:rPr>
          <w:rStyle w:val="eop"/>
          <w:rFonts w:ascii="Arial" w:hAnsi="Arial" w:cs="Arial"/>
          <w:sz w:val="20"/>
          <w:szCs w:val="20"/>
        </w:rPr>
        <w:t> </w:t>
      </w:r>
    </w:p>
    <w:p w14:paraId="2FB1A62F" w14:textId="6D9A4A4F" w:rsidR="0073036A"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Unfortunately, the patient passed away despite resuscitative measures and the family was consented for an autopsy to be performed on the patient. The autopsy was performed with gross examination of the body along with dissections and weighing of organs. Representative sections of tissue were taken and placed in labelled cassettes and submitted to the histology processing laboratory for overnight processing. The tissue sections are sectioned and stained on slides for microscopic examination by the pathologists. The recommended adult autopsy report template is available at </w:t>
      </w:r>
      <w:r w:rsidR="00491C26" w:rsidRPr="00B01F9E">
        <w:rPr>
          <w:rStyle w:val="normaltextrun"/>
          <w:rFonts w:ascii="Arial" w:hAnsi="Arial" w:cs="Arial"/>
          <w:sz w:val="20"/>
          <w:szCs w:val="20"/>
        </w:rPr>
        <w:t xml:space="preserve">this link: </w:t>
      </w:r>
      <w:hyperlink r:id="rId88" w:history="1">
        <w:r w:rsidR="00491C26" w:rsidRPr="00B01F9E">
          <w:rPr>
            <w:rStyle w:val="Hyperlink"/>
            <w:rFonts w:ascii="Arial" w:hAnsi="Arial" w:cs="Arial"/>
            <w:sz w:val="20"/>
            <w:szCs w:val="20"/>
          </w:rPr>
          <w:t>CAP Autopsy Report Template</w:t>
        </w:r>
      </w:hyperlink>
      <w:r w:rsidR="00491C26" w:rsidRPr="00B01F9E">
        <w:rPr>
          <w:rStyle w:val="normaltextrun"/>
          <w:rFonts w:ascii="Arial" w:hAnsi="Arial" w:cs="Arial"/>
          <w:sz w:val="20"/>
          <w:szCs w:val="20"/>
        </w:rPr>
        <w:t>.</w:t>
      </w:r>
      <w:r w:rsidR="005A148B" w:rsidRPr="00B01F9E">
        <w:rPr>
          <w:rStyle w:val="normaltextrun"/>
          <w:rFonts w:ascii="Arial" w:hAnsi="Arial" w:cs="Arial"/>
          <w:sz w:val="20"/>
          <w:szCs w:val="20"/>
        </w:rPr>
        <w:t xml:space="preserve"> </w:t>
      </w:r>
      <w:r w:rsidRPr="00B01F9E">
        <w:rPr>
          <w:rStyle w:val="normaltextrun"/>
          <w:rFonts w:ascii="Arial" w:hAnsi="Arial" w:cs="Arial"/>
          <w:sz w:val="20"/>
          <w:szCs w:val="20"/>
        </w:rPr>
        <w:t xml:space="preserve">The results are reported as narrative results. In this case, the autopsy showed cerebral edema, pulmonary edema, and hypertrophic cardiomyopathy. </w:t>
      </w:r>
      <w:bookmarkStart w:id="385" w:name="_Toc177137022"/>
    </w:p>
    <w:p w14:paraId="71B1FD4C" w14:textId="3BF8E404" w:rsidR="00EC43A7" w:rsidRPr="00B01F9E" w:rsidRDefault="009F1F82" w:rsidP="00C876AD">
      <w:pPr>
        <w:pStyle w:val="Heading3"/>
        <w:spacing w:before="0" w:after="120"/>
        <w:rPr>
          <w:rFonts w:ascii="Arial" w:hAnsi="Arial" w:cs="Arial"/>
          <w:b/>
          <w:i/>
          <w:color w:val="009BBF"/>
          <w:sz w:val="20"/>
          <w:szCs w:val="20"/>
        </w:rPr>
      </w:pPr>
      <w:r w:rsidRPr="00B01F9E">
        <w:rPr>
          <w:rFonts w:ascii="Arial" w:hAnsi="Arial" w:cs="Arial"/>
          <w:b/>
          <w:i/>
          <w:color w:val="009BBF"/>
          <w:sz w:val="20"/>
          <w:szCs w:val="20"/>
        </w:rPr>
        <w:t>5</w:t>
      </w:r>
      <w:r w:rsidR="00EC43A7" w:rsidRPr="00B01F9E">
        <w:rPr>
          <w:rFonts w:ascii="Arial" w:hAnsi="Arial" w:cs="Arial"/>
          <w:b/>
          <w:i/>
          <w:color w:val="009BBF"/>
          <w:sz w:val="20"/>
          <w:szCs w:val="20"/>
        </w:rPr>
        <w:t>.</w:t>
      </w:r>
      <w:r w:rsidR="001508F3" w:rsidRPr="00B01F9E">
        <w:rPr>
          <w:rFonts w:ascii="Arial" w:hAnsi="Arial" w:cs="Arial"/>
          <w:b/>
          <w:i/>
          <w:color w:val="009BBF"/>
          <w:sz w:val="20"/>
          <w:szCs w:val="20"/>
        </w:rPr>
        <w:t>3</w:t>
      </w:r>
      <w:r w:rsidR="00EC43A7" w:rsidRPr="00B01F9E">
        <w:rPr>
          <w:rFonts w:ascii="Arial" w:hAnsi="Arial" w:cs="Arial"/>
          <w:b/>
          <w:i/>
          <w:color w:val="009BBF"/>
          <w:sz w:val="20"/>
          <w:szCs w:val="20"/>
        </w:rPr>
        <w:t>.8 Clinical Narrative 8: Blood Culture</w:t>
      </w:r>
      <w:bookmarkEnd w:id="385"/>
      <w:r w:rsidR="00EC43A7" w:rsidRPr="00B01F9E">
        <w:rPr>
          <w:rFonts w:ascii="Arial" w:hAnsi="Arial" w:cs="Arial"/>
          <w:b/>
          <w:i/>
          <w:color w:val="009BBF"/>
          <w:sz w:val="20"/>
          <w:szCs w:val="20"/>
        </w:rPr>
        <w:t xml:space="preserve"> </w:t>
      </w:r>
    </w:p>
    <w:p w14:paraId="544F36A2" w14:textId="206C4B5B" w:rsidR="00EC43A7" w:rsidRPr="00B01F9E" w:rsidRDefault="00EC43A7" w:rsidP="00B01F9E">
      <w:pPr>
        <w:spacing w:after="120"/>
        <w:rPr>
          <w:rFonts w:ascii="Arial" w:hAnsi="Arial" w:cs="Arial"/>
          <w:sz w:val="20"/>
          <w:szCs w:val="20"/>
        </w:rPr>
      </w:pPr>
      <w:r w:rsidRPr="00B01F9E">
        <w:rPr>
          <w:rFonts w:ascii="Arial" w:hAnsi="Arial" w:cs="Arial"/>
          <w:sz w:val="20"/>
          <w:szCs w:val="20"/>
        </w:rPr>
        <w:t>A 53-year-old female presents to the emergency department with fever and altered mental status. The ED physician initiates a fever of unknown origin workup which includes an order for blood culture. The ED</w:t>
      </w:r>
      <w:r w:rsidRPr="00B01F9E">
        <w:rPr>
          <w:rStyle w:val="normaltextrun"/>
          <w:rFonts w:ascii="Arial" w:hAnsi="Arial" w:cs="Arial"/>
          <w:sz w:val="20"/>
          <w:szCs w:val="20"/>
        </w:rPr>
        <w:t xml:space="preserve"> nurse receives the order and collects blood culture specimens in the BD BACTC™ Plus Aerobic and BD BACTC™ Plus Anaerobic blood culture bottles. </w:t>
      </w:r>
    </w:p>
    <w:p w14:paraId="7DEFBF96" w14:textId="75142C4C"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lastRenderedPageBreak/>
        <w:t>The two blood culture bottles are received into the microbiology laboratory and are incubated on the BD BACTEC</w:t>
      </w:r>
      <w:r w:rsidRPr="00B01F9E">
        <w:rPr>
          <w:rFonts w:ascii="Arial" w:hAnsi="Arial" w:cs="Arial"/>
          <w:sz w:val="20"/>
          <w:szCs w:val="20"/>
        </w:rPr>
        <w:t>™</w:t>
      </w:r>
      <w:r w:rsidRPr="00B01F9E">
        <w:rPr>
          <w:rStyle w:val="normaltextrun"/>
          <w:rFonts w:ascii="Arial" w:hAnsi="Arial" w:cs="Arial"/>
          <w:sz w:val="20"/>
          <w:szCs w:val="20"/>
        </w:rPr>
        <w:t xml:space="preserve"> FX Blood Culture System. If there is no growth from the blood culture bottles, they will be resulted with ordinal results as “No Growth”. If there is growth in either or both bottles, the preliminary ordinal result of “Positive for Microorganism Growth” will be reported in the patient’s electronic medical record. </w:t>
      </w:r>
    </w:p>
    <w:p w14:paraId="7195DC6B" w14:textId="21F45852"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Gram stain will be performed on the positive specimen and the result of the gram stain is expressed as nominal results will be reported to the electronic medical record (EMR) as an additional preliminary result. In this case, there were “Gram-Negative Rods” reported from the aerobic culture bottle. </w:t>
      </w:r>
    </w:p>
    <w:p w14:paraId="1D35E9B0" w14:textId="35ED0D3E"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At this point, some laboratories may use the </w:t>
      </w:r>
      <w:proofErr w:type="spellStart"/>
      <w:r w:rsidRPr="00B01F9E">
        <w:rPr>
          <w:rStyle w:val="normaltextrun"/>
          <w:rFonts w:ascii="Arial" w:hAnsi="Arial" w:cs="Arial"/>
          <w:sz w:val="20"/>
          <w:szCs w:val="20"/>
        </w:rPr>
        <w:t>Verigene</w:t>
      </w:r>
      <w:proofErr w:type="spellEnd"/>
      <w:r w:rsidRPr="00B01F9E">
        <w:rPr>
          <w:rStyle w:val="normaltextrun"/>
          <w:rFonts w:ascii="Arial" w:hAnsi="Arial" w:cs="Arial"/>
          <w:sz w:val="20"/>
          <w:szCs w:val="20"/>
        </w:rPr>
        <w:t xml:space="preserve"> System™, which uses bacterial DNA hybridization to target specific capture DNA in a microarray format and mediator and gold-nanoparticle probe hybridization to capture bacterial nucleic acids, for limited identification of bacteria and detection of the presence of certain genetic resistance determinants to some antimicrobial drugs. The </w:t>
      </w:r>
      <w:proofErr w:type="spellStart"/>
      <w:r w:rsidRPr="00B01F9E">
        <w:rPr>
          <w:rStyle w:val="normaltextrun"/>
          <w:rFonts w:ascii="Arial" w:hAnsi="Arial" w:cs="Arial"/>
          <w:sz w:val="20"/>
          <w:szCs w:val="20"/>
        </w:rPr>
        <w:t>Verigene</w:t>
      </w:r>
      <w:proofErr w:type="spellEnd"/>
      <w:r w:rsidRPr="00B01F9E">
        <w:rPr>
          <w:rStyle w:val="normaltextrun"/>
          <w:rFonts w:ascii="Arial" w:hAnsi="Arial" w:cs="Arial"/>
          <w:sz w:val="20"/>
          <w:szCs w:val="20"/>
        </w:rPr>
        <w:t xml:space="preserve"> System has single use cartridges for gram-positive and </w:t>
      </w:r>
      <w:r w:rsidRPr="00B01F9E" w:rsidDel="006D6463">
        <w:rPr>
          <w:rStyle w:val="normaltextrun"/>
          <w:rFonts w:ascii="Arial" w:hAnsi="Arial" w:cs="Arial"/>
          <w:sz w:val="20"/>
          <w:szCs w:val="20"/>
        </w:rPr>
        <w:t>gram</w:t>
      </w:r>
      <w:r w:rsidRPr="00B01F9E">
        <w:rPr>
          <w:rStyle w:val="normaltextrun"/>
          <w:rFonts w:ascii="Arial" w:hAnsi="Arial" w:cs="Arial"/>
          <w:sz w:val="20"/>
          <w:szCs w:val="20"/>
        </w:rPr>
        <w:t>-</w:t>
      </w:r>
      <w:r w:rsidRPr="00B01F9E" w:rsidDel="006D6463">
        <w:rPr>
          <w:rStyle w:val="normaltextrun"/>
          <w:rFonts w:ascii="Arial" w:hAnsi="Arial" w:cs="Arial"/>
          <w:sz w:val="20"/>
          <w:szCs w:val="20"/>
        </w:rPr>
        <w:t>negative</w:t>
      </w:r>
      <w:r w:rsidRPr="00B01F9E">
        <w:rPr>
          <w:rStyle w:val="normaltextrun"/>
          <w:rFonts w:ascii="Arial" w:hAnsi="Arial" w:cs="Arial"/>
          <w:sz w:val="20"/>
          <w:szCs w:val="20"/>
        </w:rPr>
        <w:t xml:space="preserve"> organisms. In this case, the Blood Culture-Gram </w:t>
      </w:r>
      <w:r w:rsidRPr="00B01F9E" w:rsidDel="00806C52">
        <w:rPr>
          <w:rStyle w:val="normaltextrun"/>
          <w:rFonts w:ascii="Arial" w:hAnsi="Arial" w:cs="Arial"/>
          <w:sz w:val="20"/>
          <w:szCs w:val="20"/>
        </w:rPr>
        <w:t>N</w:t>
      </w:r>
      <w:r w:rsidRPr="00B01F9E">
        <w:rPr>
          <w:rStyle w:val="normaltextrun"/>
          <w:rFonts w:ascii="Arial" w:hAnsi="Arial" w:cs="Arial"/>
          <w:sz w:val="20"/>
          <w:szCs w:val="20"/>
        </w:rPr>
        <w:t xml:space="preserve">egative (BC-GN) test cartridge would have been used. The test cartridge </w:t>
      </w:r>
      <w:proofErr w:type="gramStart"/>
      <w:r w:rsidRPr="00B01F9E">
        <w:rPr>
          <w:rStyle w:val="normaltextrun"/>
          <w:rFonts w:ascii="Arial" w:hAnsi="Arial" w:cs="Arial"/>
          <w:sz w:val="20"/>
          <w:szCs w:val="20"/>
        </w:rPr>
        <w:t>is capable of detecting</w:t>
      </w:r>
      <w:proofErr w:type="gramEnd"/>
      <w:r w:rsidRPr="00B01F9E">
        <w:rPr>
          <w:rStyle w:val="normaltextrun"/>
          <w:rFonts w:ascii="Arial" w:hAnsi="Arial" w:cs="Arial"/>
          <w:sz w:val="20"/>
          <w:szCs w:val="20"/>
        </w:rPr>
        <w:t xml:space="preserve"> the presence of the </w:t>
      </w:r>
      <w:proofErr w:type="spellStart"/>
      <w:r w:rsidRPr="00B01F9E">
        <w:rPr>
          <w:rStyle w:val="normaltextrun"/>
          <w:rFonts w:ascii="Arial" w:hAnsi="Arial" w:cs="Arial"/>
          <w:i/>
          <w:iCs/>
          <w:sz w:val="20"/>
          <w:szCs w:val="20"/>
        </w:rPr>
        <w:t>blaCTX</w:t>
      </w:r>
      <w:proofErr w:type="spellEnd"/>
      <w:r w:rsidRPr="00B01F9E">
        <w:rPr>
          <w:rStyle w:val="normaltextrun"/>
          <w:rFonts w:ascii="Arial" w:hAnsi="Arial" w:cs="Arial"/>
          <w:i/>
          <w:iCs/>
          <w:sz w:val="20"/>
          <w:szCs w:val="20"/>
        </w:rPr>
        <w:t>-M</w:t>
      </w:r>
      <w:r w:rsidRPr="00B01F9E">
        <w:rPr>
          <w:rStyle w:val="normaltextrun"/>
          <w:rFonts w:ascii="Arial" w:hAnsi="Arial" w:cs="Arial"/>
          <w:sz w:val="20"/>
          <w:szCs w:val="20"/>
        </w:rPr>
        <w:t xml:space="preserve"> gene that is a marker for extended-spectrum β-lactamases (ESBL) along with genes (</w:t>
      </w:r>
      <w:proofErr w:type="spellStart"/>
      <w:r w:rsidRPr="00B01F9E">
        <w:rPr>
          <w:rStyle w:val="normaltextrun"/>
          <w:rFonts w:ascii="Arial" w:hAnsi="Arial" w:cs="Arial"/>
          <w:i/>
          <w:iCs/>
          <w:sz w:val="20"/>
          <w:szCs w:val="20"/>
        </w:rPr>
        <w:t>blaKPC</w:t>
      </w:r>
      <w:proofErr w:type="spellEnd"/>
      <w:r w:rsidRPr="00B01F9E">
        <w:rPr>
          <w:rStyle w:val="normaltextrun"/>
          <w:rFonts w:ascii="Arial" w:hAnsi="Arial" w:cs="Arial"/>
          <w:i/>
          <w:iCs/>
          <w:sz w:val="20"/>
          <w:szCs w:val="20"/>
        </w:rPr>
        <w:t xml:space="preserve">, </w:t>
      </w:r>
      <w:proofErr w:type="spellStart"/>
      <w:r w:rsidRPr="00B01F9E">
        <w:rPr>
          <w:rStyle w:val="normaltextrun"/>
          <w:rFonts w:ascii="Arial" w:hAnsi="Arial" w:cs="Arial"/>
          <w:i/>
          <w:iCs/>
          <w:sz w:val="20"/>
          <w:szCs w:val="20"/>
        </w:rPr>
        <w:t>blaNDM</w:t>
      </w:r>
      <w:proofErr w:type="spellEnd"/>
      <w:r w:rsidRPr="00B01F9E">
        <w:rPr>
          <w:rStyle w:val="normaltextrun"/>
          <w:rFonts w:ascii="Arial" w:hAnsi="Arial" w:cs="Arial"/>
          <w:i/>
          <w:iCs/>
          <w:sz w:val="20"/>
          <w:szCs w:val="20"/>
        </w:rPr>
        <w:t xml:space="preserve">, </w:t>
      </w:r>
      <w:proofErr w:type="spellStart"/>
      <w:r w:rsidRPr="00B01F9E">
        <w:rPr>
          <w:rStyle w:val="normaltextrun"/>
          <w:rFonts w:ascii="Arial" w:hAnsi="Arial" w:cs="Arial"/>
          <w:i/>
          <w:iCs/>
          <w:sz w:val="20"/>
          <w:szCs w:val="20"/>
        </w:rPr>
        <w:t>blaVIM</w:t>
      </w:r>
      <w:proofErr w:type="spellEnd"/>
      <w:r w:rsidRPr="00B01F9E">
        <w:rPr>
          <w:rStyle w:val="normaltextrun"/>
          <w:rFonts w:ascii="Arial" w:hAnsi="Arial" w:cs="Arial"/>
          <w:i/>
          <w:iCs/>
          <w:sz w:val="20"/>
          <w:szCs w:val="20"/>
        </w:rPr>
        <w:t xml:space="preserve">, </w:t>
      </w:r>
      <w:proofErr w:type="spellStart"/>
      <w:r w:rsidRPr="00B01F9E">
        <w:rPr>
          <w:rStyle w:val="normaltextrun"/>
          <w:rFonts w:ascii="Arial" w:hAnsi="Arial" w:cs="Arial"/>
          <w:i/>
          <w:iCs/>
          <w:sz w:val="20"/>
          <w:szCs w:val="20"/>
        </w:rPr>
        <w:t>blaIMP</w:t>
      </w:r>
      <w:proofErr w:type="spellEnd"/>
      <w:r w:rsidRPr="00B01F9E">
        <w:rPr>
          <w:rStyle w:val="normaltextrun"/>
          <w:rFonts w:ascii="Arial" w:hAnsi="Arial" w:cs="Arial"/>
          <w:i/>
          <w:iCs/>
          <w:sz w:val="20"/>
          <w:szCs w:val="20"/>
        </w:rPr>
        <w:t xml:space="preserve">, </w:t>
      </w:r>
      <w:proofErr w:type="spellStart"/>
      <w:r w:rsidRPr="00B01F9E">
        <w:rPr>
          <w:rStyle w:val="normaltextrun"/>
          <w:rFonts w:ascii="Arial" w:hAnsi="Arial" w:cs="Arial"/>
          <w:i/>
          <w:iCs/>
          <w:sz w:val="20"/>
          <w:szCs w:val="20"/>
        </w:rPr>
        <w:t>blaOXA</w:t>
      </w:r>
      <w:proofErr w:type="spellEnd"/>
      <w:r w:rsidRPr="00B01F9E" w:rsidDel="00CD735F">
        <w:rPr>
          <w:rStyle w:val="normaltextrun"/>
          <w:rFonts w:ascii="Arial" w:hAnsi="Arial" w:cs="Arial"/>
          <w:sz w:val="20"/>
          <w:szCs w:val="20"/>
        </w:rPr>
        <w:t>)</w:t>
      </w:r>
      <w:r w:rsidRPr="00B01F9E">
        <w:rPr>
          <w:rStyle w:val="normaltextrun"/>
          <w:rFonts w:ascii="Arial" w:hAnsi="Arial" w:cs="Arial"/>
          <w:sz w:val="20"/>
          <w:szCs w:val="20"/>
        </w:rPr>
        <w:t xml:space="preserve"> associated with </w:t>
      </w:r>
      <w:proofErr w:type="spellStart"/>
      <w:r w:rsidRPr="00B01F9E">
        <w:rPr>
          <w:rStyle w:val="normaltextrun"/>
          <w:rFonts w:ascii="Arial" w:hAnsi="Arial" w:cs="Arial"/>
          <w:sz w:val="20"/>
          <w:szCs w:val="20"/>
        </w:rPr>
        <w:t>carbapenemases</w:t>
      </w:r>
      <w:proofErr w:type="spellEnd"/>
      <w:r w:rsidRPr="00B01F9E">
        <w:rPr>
          <w:rStyle w:val="normaltextrun"/>
          <w:rFonts w:ascii="Arial" w:hAnsi="Arial" w:cs="Arial"/>
          <w:sz w:val="20"/>
          <w:szCs w:val="20"/>
        </w:rPr>
        <w:t xml:space="preserve"> that have the ability to hydrolyze </w:t>
      </w:r>
      <w:proofErr w:type="spellStart"/>
      <w:r w:rsidRPr="00B01F9E">
        <w:rPr>
          <w:rStyle w:val="normaltextrun"/>
          <w:rFonts w:ascii="Arial" w:hAnsi="Arial" w:cs="Arial"/>
          <w:sz w:val="20"/>
          <w:szCs w:val="20"/>
        </w:rPr>
        <w:t>penicillins</w:t>
      </w:r>
      <w:proofErr w:type="spellEnd"/>
      <w:r w:rsidRPr="00B01F9E">
        <w:rPr>
          <w:rStyle w:val="normaltextrun"/>
          <w:rFonts w:ascii="Arial" w:hAnsi="Arial" w:cs="Arial"/>
          <w:sz w:val="20"/>
          <w:szCs w:val="20"/>
        </w:rPr>
        <w:t xml:space="preserve">, cephalosporins, monobactams, and carbapenems. The </w:t>
      </w:r>
      <w:proofErr w:type="spellStart"/>
      <w:r w:rsidRPr="00B01F9E">
        <w:rPr>
          <w:rStyle w:val="normaltextrun"/>
          <w:rFonts w:ascii="Arial" w:hAnsi="Arial" w:cs="Arial"/>
          <w:sz w:val="20"/>
          <w:szCs w:val="20"/>
        </w:rPr>
        <w:t>Verigene</w:t>
      </w:r>
      <w:proofErr w:type="spellEnd"/>
      <w:r w:rsidRPr="00B01F9E">
        <w:rPr>
          <w:rStyle w:val="normaltextrun"/>
          <w:rFonts w:ascii="Arial" w:hAnsi="Arial" w:cs="Arial"/>
          <w:sz w:val="20"/>
          <w:szCs w:val="20"/>
        </w:rPr>
        <w:t xml:space="preserve"> System BC-GN cartridge can detect </w:t>
      </w:r>
      <w:r w:rsidRPr="00B01F9E">
        <w:rPr>
          <w:rStyle w:val="normaltextrun"/>
          <w:rFonts w:ascii="Arial" w:hAnsi="Arial" w:cs="Arial"/>
          <w:i/>
          <w:iCs/>
          <w:sz w:val="20"/>
          <w:szCs w:val="20"/>
        </w:rPr>
        <w:t xml:space="preserve">Acinetobacter spp., Citrobacter spp., Enterobacter spp., Proteus spp., Escherichia coli, Klebsiella pneumoniae, Klebsiella </w:t>
      </w:r>
      <w:proofErr w:type="spellStart"/>
      <w:r w:rsidRPr="00B01F9E">
        <w:rPr>
          <w:rStyle w:val="normaltextrun"/>
          <w:rFonts w:ascii="Arial" w:hAnsi="Arial" w:cs="Arial"/>
          <w:i/>
          <w:iCs/>
          <w:sz w:val="20"/>
          <w:szCs w:val="20"/>
        </w:rPr>
        <w:t>oxytoca</w:t>
      </w:r>
      <w:proofErr w:type="spellEnd"/>
      <w:r w:rsidRPr="00B01F9E">
        <w:rPr>
          <w:rStyle w:val="normaltextrun"/>
          <w:rFonts w:ascii="Arial" w:hAnsi="Arial" w:cs="Arial"/>
          <w:i/>
          <w:iCs/>
          <w:sz w:val="20"/>
          <w:szCs w:val="20"/>
        </w:rPr>
        <w:t>, Pseudomonas aeruginosa</w:t>
      </w:r>
      <w:r w:rsidRPr="00B01F9E">
        <w:rPr>
          <w:rStyle w:val="normaltextrun"/>
          <w:rFonts w:ascii="Arial" w:hAnsi="Arial" w:cs="Arial"/>
          <w:sz w:val="20"/>
          <w:szCs w:val="20"/>
        </w:rPr>
        <w:t xml:space="preserve">, however, </w:t>
      </w:r>
      <w:proofErr w:type="spellStart"/>
      <w:r w:rsidRPr="00B01F9E">
        <w:rPr>
          <w:rStyle w:val="normaltextrun"/>
          <w:rFonts w:ascii="Arial" w:hAnsi="Arial" w:cs="Arial"/>
          <w:sz w:val="20"/>
          <w:szCs w:val="20"/>
        </w:rPr>
        <w:t>Verigene</w:t>
      </w:r>
      <w:proofErr w:type="spellEnd"/>
      <w:r w:rsidRPr="00B01F9E">
        <w:rPr>
          <w:rStyle w:val="normaltextrun"/>
          <w:rFonts w:ascii="Arial" w:hAnsi="Arial" w:cs="Arial"/>
          <w:sz w:val="20"/>
          <w:szCs w:val="20"/>
        </w:rPr>
        <w:t xml:space="preserve"> cannot distinguish </w:t>
      </w:r>
      <w:r w:rsidRPr="00B01F9E">
        <w:rPr>
          <w:rStyle w:val="normaltextrun"/>
          <w:rFonts w:ascii="Arial" w:hAnsi="Arial" w:cs="Arial"/>
          <w:i/>
          <w:iCs/>
          <w:sz w:val="20"/>
          <w:szCs w:val="20"/>
        </w:rPr>
        <w:t>Escherichia coli</w:t>
      </w:r>
      <w:r w:rsidRPr="00B01F9E">
        <w:rPr>
          <w:rStyle w:val="normaltextrun"/>
          <w:rFonts w:ascii="Arial" w:hAnsi="Arial" w:cs="Arial"/>
          <w:sz w:val="20"/>
          <w:szCs w:val="20"/>
        </w:rPr>
        <w:t xml:space="preserve"> from </w:t>
      </w:r>
      <w:r w:rsidRPr="00B01F9E">
        <w:rPr>
          <w:rStyle w:val="normaltextrun"/>
          <w:rFonts w:ascii="Arial" w:hAnsi="Arial" w:cs="Arial"/>
          <w:i/>
          <w:iCs/>
          <w:sz w:val="20"/>
          <w:szCs w:val="20"/>
        </w:rPr>
        <w:t>Shigella spp.</w:t>
      </w:r>
      <w:r w:rsidRPr="00B01F9E">
        <w:rPr>
          <w:rStyle w:val="normaltextrun"/>
          <w:rFonts w:ascii="Arial" w:hAnsi="Arial" w:cs="Arial"/>
          <w:sz w:val="20"/>
          <w:szCs w:val="20"/>
        </w:rPr>
        <w:t xml:space="preserve"> (</w:t>
      </w:r>
      <w:r w:rsidRPr="00B01F9E">
        <w:rPr>
          <w:rStyle w:val="normaltextrun"/>
          <w:rFonts w:ascii="Arial" w:hAnsi="Arial" w:cs="Arial"/>
          <w:i/>
          <w:iCs/>
          <w:sz w:val="20"/>
          <w:szCs w:val="20"/>
        </w:rPr>
        <w:t xml:space="preserve">S. </w:t>
      </w:r>
      <w:proofErr w:type="spellStart"/>
      <w:r w:rsidRPr="00B01F9E">
        <w:rPr>
          <w:rStyle w:val="normaltextrun"/>
          <w:rFonts w:ascii="Arial" w:hAnsi="Arial" w:cs="Arial"/>
          <w:i/>
          <w:iCs/>
          <w:sz w:val="20"/>
          <w:szCs w:val="20"/>
        </w:rPr>
        <w:t>dysenteriae</w:t>
      </w:r>
      <w:proofErr w:type="spellEnd"/>
      <w:r w:rsidRPr="00B01F9E">
        <w:rPr>
          <w:rStyle w:val="normaltextrun"/>
          <w:rFonts w:ascii="Arial" w:hAnsi="Arial" w:cs="Arial"/>
          <w:i/>
          <w:iCs/>
          <w:sz w:val="20"/>
          <w:szCs w:val="20"/>
        </w:rPr>
        <w:t xml:space="preserve">, S. flexneri, S. boydii, and S. </w:t>
      </w:r>
      <w:proofErr w:type="spellStart"/>
      <w:r w:rsidRPr="00B01F9E">
        <w:rPr>
          <w:rStyle w:val="normaltextrun"/>
          <w:rFonts w:ascii="Arial" w:hAnsi="Arial" w:cs="Arial"/>
          <w:i/>
          <w:iCs/>
          <w:sz w:val="20"/>
          <w:szCs w:val="20"/>
        </w:rPr>
        <w:t>sonnei</w:t>
      </w:r>
      <w:proofErr w:type="spellEnd"/>
      <w:r w:rsidRPr="00B01F9E">
        <w:rPr>
          <w:rStyle w:val="normaltextrun"/>
          <w:rFonts w:ascii="Arial" w:hAnsi="Arial" w:cs="Arial"/>
          <w:sz w:val="20"/>
          <w:szCs w:val="20"/>
        </w:rPr>
        <w:t xml:space="preserve">). The preliminary results are reported as nominal results. In this case, the result would be </w:t>
      </w:r>
      <w:r w:rsidRPr="00B01F9E">
        <w:rPr>
          <w:rStyle w:val="normaltextrun"/>
          <w:rFonts w:ascii="Arial" w:hAnsi="Arial" w:cs="Arial"/>
          <w:i/>
          <w:iCs/>
          <w:sz w:val="20"/>
          <w:szCs w:val="20"/>
        </w:rPr>
        <w:t>E. coli</w:t>
      </w:r>
      <w:r w:rsidRPr="00B01F9E">
        <w:rPr>
          <w:rStyle w:val="normaltextrun"/>
          <w:rFonts w:ascii="Arial" w:hAnsi="Arial" w:cs="Arial"/>
          <w:sz w:val="20"/>
          <w:szCs w:val="20"/>
        </w:rPr>
        <w:t xml:space="preserve"> identified with the result comment that the assay does not distinguish </w:t>
      </w:r>
      <w:r w:rsidRPr="00B01F9E">
        <w:rPr>
          <w:rStyle w:val="normaltextrun"/>
          <w:rFonts w:ascii="Arial" w:hAnsi="Arial" w:cs="Arial"/>
          <w:i/>
          <w:iCs/>
          <w:sz w:val="20"/>
          <w:szCs w:val="20"/>
        </w:rPr>
        <w:t>Escherichia coli</w:t>
      </w:r>
      <w:r w:rsidRPr="00B01F9E">
        <w:rPr>
          <w:rStyle w:val="normaltextrun"/>
          <w:rFonts w:ascii="Arial" w:hAnsi="Arial" w:cs="Arial"/>
          <w:sz w:val="20"/>
          <w:szCs w:val="20"/>
        </w:rPr>
        <w:t xml:space="preserve"> from </w:t>
      </w:r>
      <w:r w:rsidRPr="00B01F9E">
        <w:rPr>
          <w:rStyle w:val="normaltextrun"/>
          <w:rFonts w:ascii="Arial" w:hAnsi="Arial" w:cs="Arial"/>
          <w:i/>
          <w:iCs/>
          <w:sz w:val="20"/>
          <w:szCs w:val="20"/>
        </w:rPr>
        <w:t>Shigella spp</w:t>
      </w:r>
      <w:r w:rsidRPr="00B01F9E">
        <w:rPr>
          <w:rStyle w:val="normaltextrun"/>
          <w:rFonts w:ascii="Arial" w:hAnsi="Arial" w:cs="Arial"/>
          <w:sz w:val="20"/>
          <w:szCs w:val="20"/>
        </w:rPr>
        <w:t>.</w:t>
      </w:r>
      <w:r w:rsidRPr="00B01F9E">
        <w:rPr>
          <w:rStyle w:val="eop"/>
          <w:rFonts w:ascii="Arial" w:hAnsi="Arial" w:cs="Arial"/>
          <w:sz w:val="20"/>
          <w:szCs w:val="20"/>
        </w:rPr>
        <w:t> </w:t>
      </w:r>
    </w:p>
    <w:p w14:paraId="3852BF4F" w14:textId="537E7C97"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The specimen is then plated on agar media plates to produce isolated colony growth. Although different agar media are used by protocol, the results do not specify growth on </w:t>
      </w:r>
      <w:proofErr w:type="gramStart"/>
      <w:r w:rsidRPr="00B01F9E">
        <w:rPr>
          <w:rStyle w:val="normaltextrun"/>
          <w:rFonts w:ascii="Arial" w:hAnsi="Arial" w:cs="Arial"/>
          <w:sz w:val="20"/>
          <w:szCs w:val="20"/>
        </w:rPr>
        <w:t>particular agar</w:t>
      </w:r>
      <w:proofErr w:type="gramEnd"/>
      <w:r w:rsidRPr="00B01F9E">
        <w:rPr>
          <w:rStyle w:val="normaltextrun"/>
          <w:rFonts w:ascii="Arial" w:hAnsi="Arial" w:cs="Arial"/>
          <w:sz w:val="20"/>
          <w:szCs w:val="20"/>
        </w:rPr>
        <w:t xml:space="preserve"> plates. Growth on agar plates </w:t>
      </w:r>
      <w:proofErr w:type="gramStart"/>
      <w:r w:rsidRPr="00B01F9E">
        <w:rPr>
          <w:rStyle w:val="normaltextrun"/>
          <w:rFonts w:ascii="Arial" w:hAnsi="Arial" w:cs="Arial"/>
          <w:sz w:val="20"/>
          <w:szCs w:val="20"/>
        </w:rPr>
        <w:t>are preliminarily resulted</w:t>
      </w:r>
      <w:proofErr w:type="gramEnd"/>
      <w:r w:rsidRPr="00B01F9E">
        <w:rPr>
          <w:rStyle w:val="normaltextrun"/>
          <w:rFonts w:ascii="Arial" w:hAnsi="Arial" w:cs="Arial"/>
          <w:sz w:val="20"/>
          <w:szCs w:val="20"/>
        </w:rPr>
        <w:t xml:space="preserve"> at some laboratories and can be reported as a quantitative value (colony count by visual count) or semi-quantitative result (e.g., Present+ out of++++) rather than a numerical value. </w:t>
      </w:r>
    </w:p>
    <w:p w14:paraId="59820048" w14:textId="1C7EB99D"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Identification is performed on any colony isolates using the Bruker </w:t>
      </w:r>
      <w:proofErr w:type="spellStart"/>
      <w:r w:rsidRPr="00B01F9E">
        <w:rPr>
          <w:rStyle w:val="normaltextrun"/>
          <w:rFonts w:ascii="Arial" w:hAnsi="Arial" w:cs="Arial"/>
          <w:sz w:val="20"/>
          <w:szCs w:val="20"/>
        </w:rPr>
        <w:t>Maldi</w:t>
      </w:r>
      <w:proofErr w:type="spellEnd"/>
      <w:r w:rsidRPr="00B01F9E">
        <w:rPr>
          <w:rStyle w:val="normaltextrun"/>
          <w:rFonts w:ascii="Arial" w:hAnsi="Arial" w:cs="Arial"/>
          <w:sz w:val="20"/>
          <w:szCs w:val="20"/>
        </w:rPr>
        <w:t xml:space="preserve"> </w:t>
      </w:r>
      <w:proofErr w:type="spellStart"/>
      <w:r w:rsidRPr="00B01F9E">
        <w:rPr>
          <w:rStyle w:val="normaltextrun"/>
          <w:rFonts w:ascii="Arial" w:hAnsi="Arial" w:cs="Arial"/>
          <w:sz w:val="20"/>
          <w:szCs w:val="20"/>
        </w:rPr>
        <w:t>Biotyper</w:t>
      </w:r>
      <w:proofErr w:type="spellEnd"/>
      <w:r w:rsidRPr="00B01F9E">
        <w:rPr>
          <w:rStyle w:val="normaltextrun"/>
          <w:rFonts w:ascii="Arial" w:hAnsi="Arial" w:cs="Arial"/>
          <w:sz w:val="20"/>
          <w:szCs w:val="20"/>
        </w:rPr>
        <w:t xml:space="preserve"> </w:t>
      </w:r>
      <w:proofErr w:type="spellStart"/>
      <w:r w:rsidRPr="00B01F9E">
        <w:rPr>
          <w:rStyle w:val="normaltextrun"/>
          <w:rFonts w:ascii="Arial" w:hAnsi="Arial" w:cs="Arial"/>
          <w:sz w:val="20"/>
          <w:szCs w:val="20"/>
        </w:rPr>
        <w:t>sirius</w:t>
      </w:r>
      <w:proofErr w:type="spellEnd"/>
      <w:r w:rsidRPr="00B01F9E">
        <w:rPr>
          <w:rFonts w:ascii="Arial" w:hAnsi="Arial" w:cs="Arial"/>
          <w:sz w:val="20"/>
          <w:szCs w:val="20"/>
        </w:rPr>
        <w:t>™</w:t>
      </w:r>
      <w:r w:rsidRPr="00B01F9E">
        <w:rPr>
          <w:rStyle w:val="normaltextrun"/>
          <w:rFonts w:ascii="Arial" w:hAnsi="Arial" w:cs="Arial"/>
          <w:sz w:val="20"/>
          <w:szCs w:val="20"/>
        </w:rPr>
        <w:t xml:space="preserve"> System, which using the protein profile of the organism to obtain an organism identification. The system compares the peak list of the sample against a database of known spectra, producing a match score. The match score ranges from 0 to 3.0. Score Interpretation: A higher match score indicates a strong match, suggesting a more accurate identification. This is reported as nominal data to the EMR as a preliminary result, in this case </w:t>
      </w:r>
      <w:r w:rsidRPr="00B01F9E">
        <w:rPr>
          <w:rStyle w:val="normaltextrun"/>
          <w:rFonts w:ascii="Arial" w:hAnsi="Arial" w:cs="Arial"/>
          <w:i/>
          <w:iCs/>
          <w:sz w:val="20"/>
          <w:szCs w:val="20"/>
        </w:rPr>
        <w:t>E. coli</w:t>
      </w:r>
      <w:r w:rsidRPr="00B01F9E">
        <w:rPr>
          <w:rStyle w:val="normaltextrun"/>
          <w:rFonts w:ascii="Arial" w:hAnsi="Arial" w:cs="Arial"/>
          <w:sz w:val="20"/>
          <w:szCs w:val="20"/>
        </w:rPr>
        <w:t xml:space="preserve">. </w:t>
      </w:r>
    </w:p>
    <w:p w14:paraId="6B51A80A" w14:textId="12DA1567" w:rsidR="00EC43A7" w:rsidRPr="00B01F9E" w:rsidRDefault="00EC43A7" w:rsidP="00B01F9E">
      <w:pPr>
        <w:spacing w:after="120"/>
        <w:rPr>
          <w:rFonts w:ascii="Arial" w:hAnsi="Arial" w:cs="Arial"/>
          <w:sz w:val="20"/>
          <w:szCs w:val="20"/>
        </w:rPr>
      </w:pPr>
      <w:r w:rsidRPr="00B01F9E">
        <w:rPr>
          <w:rStyle w:val="normaltextrun"/>
          <w:rFonts w:ascii="Arial" w:hAnsi="Arial" w:cs="Arial"/>
          <w:sz w:val="20"/>
          <w:szCs w:val="20"/>
        </w:rPr>
        <w:t xml:space="preserve">The bacterial isolate undergoes susceptibility testing for multiple antimicrobial drugs on the </w:t>
      </w:r>
      <w:proofErr w:type="spellStart"/>
      <w:r w:rsidRPr="00B01F9E">
        <w:rPr>
          <w:rStyle w:val="normaltextrun"/>
          <w:rFonts w:ascii="Arial" w:hAnsi="Arial" w:cs="Arial"/>
          <w:sz w:val="20"/>
          <w:szCs w:val="20"/>
        </w:rPr>
        <w:t>Microscan</w:t>
      </w:r>
      <w:proofErr w:type="spellEnd"/>
      <w:r w:rsidRPr="00B01F9E">
        <w:rPr>
          <w:rStyle w:val="normaltextrun"/>
          <w:rFonts w:ascii="Arial" w:hAnsi="Arial" w:cs="Arial"/>
          <w:sz w:val="20"/>
          <w:szCs w:val="20"/>
        </w:rPr>
        <w:t xml:space="preserve"> using gram-negative and gram-positive reagents appropriate to the organism, in this example the gram-</w:t>
      </w:r>
      <w:r w:rsidRPr="00B01F9E">
        <w:rPr>
          <w:rFonts w:ascii="Arial" w:hAnsi="Arial" w:cs="Arial"/>
          <w:sz w:val="20"/>
          <w:szCs w:val="20"/>
        </w:rPr>
        <w:t xml:space="preserve">negative panel was used. The results of the susceptibility testing are reported with both the minimal inhibitory concentration (MIC) as a numerical result (with of </w:t>
      </w:r>
      <w:proofErr w:type="gramStart"/>
      <w:r w:rsidRPr="00B01F9E">
        <w:rPr>
          <w:rFonts w:ascii="Arial" w:hAnsi="Arial" w:cs="Arial"/>
          <w:sz w:val="20"/>
          <w:szCs w:val="20"/>
        </w:rPr>
        <w:t>units</w:t>
      </w:r>
      <w:proofErr w:type="gramEnd"/>
      <w:r w:rsidRPr="00B01F9E">
        <w:rPr>
          <w:rFonts w:ascii="Arial" w:hAnsi="Arial" w:cs="Arial"/>
          <w:sz w:val="20"/>
          <w:szCs w:val="20"/>
        </w:rPr>
        <w:t xml:space="preserve"> µg/mL, mg/L, [</w:t>
      </w:r>
      <w:proofErr w:type="spellStart"/>
      <w:r w:rsidRPr="00B01F9E">
        <w:rPr>
          <w:rFonts w:ascii="Arial" w:hAnsi="Arial" w:cs="Arial"/>
          <w:sz w:val="20"/>
          <w:szCs w:val="20"/>
        </w:rPr>
        <w:t>arb’U</w:t>
      </w:r>
      <w:proofErr w:type="spellEnd"/>
      <w:r w:rsidRPr="00B01F9E">
        <w:rPr>
          <w:rFonts w:ascii="Arial" w:hAnsi="Arial" w:cs="Arial"/>
          <w:sz w:val="20"/>
          <w:szCs w:val="20"/>
        </w:rPr>
        <w:t xml:space="preserve">]/mL) and the interpretation as ordinal data (Susceptible, Intermediate, Resistant), as two separate components for each antimicrobial drug. The interpretation element is useful to record the qualitative rating of the respective susceptibility which can be reported according to Clinical &amp; Laboratory Standards Institute (CLSI) standards. As CLSI has changed their definitions over the years, it is mandatory to enter the standards’ version used to report the susceptibility category. The MIC and susceptibility interpretation are </w:t>
      </w:r>
      <w:r w:rsidRPr="00B01F9E">
        <w:rPr>
          <w:rFonts w:ascii="Arial" w:hAnsi="Arial" w:cs="Arial"/>
          <w:sz w:val="20"/>
          <w:szCs w:val="20"/>
        </w:rPr>
        <w:lastRenderedPageBreak/>
        <w:t xml:space="preserve">combined with the identification for </w:t>
      </w:r>
      <w:proofErr w:type="gramStart"/>
      <w:r w:rsidRPr="00B01F9E">
        <w:rPr>
          <w:rFonts w:ascii="Arial" w:hAnsi="Arial" w:cs="Arial"/>
          <w:sz w:val="20"/>
          <w:szCs w:val="20"/>
        </w:rPr>
        <w:t>a final result</w:t>
      </w:r>
      <w:proofErr w:type="gramEnd"/>
      <w:r w:rsidRPr="00B01F9E">
        <w:rPr>
          <w:rFonts w:ascii="Arial" w:hAnsi="Arial" w:cs="Arial"/>
          <w:sz w:val="20"/>
          <w:szCs w:val="20"/>
        </w:rPr>
        <w:t xml:space="preserve"> to the EMR. Note, some laboratories only report the interpretation. It depends on the institution and the method of testing used.</w:t>
      </w:r>
    </w:p>
    <w:p w14:paraId="36A87853" w14:textId="541DA536" w:rsidR="00CC6C11" w:rsidRPr="00B01F9E" w:rsidRDefault="00CC6C11" w:rsidP="00163CA6">
      <w:pPr>
        <w:spacing w:after="120"/>
        <w:rPr>
          <w:rFonts w:ascii="Arial" w:hAnsi="Arial" w:cs="Arial"/>
          <w:b/>
          <w:bCs/>
          <w:sz w:val="20"/>
          <w:szCs w:val="20"/>
        </w:rPr>
      </w:pPr>
      <w:r w:rsidRPr="00B01F9E">
        <w:rPr>
          <w:rFonts w:ascii="Arial" w:hAnsi="Arial" w:cs="Arial"/>
          <w:b/>
          <w:bCs/>
          <w:sz w:val="20"/>
          <w:szCs w:val="20"/>
        </w:rPr>
        <w:t xml:space="preserve">Identify New or Modified </w:t>
      </w:r>
      <w:r w:rsidR="001521B8" w:rsidRPr="00B01F9E">
        <w:rPr>
          <w:rFonts w:ascii="Arial" w:hAnsi="Arial" w:cs="Arial"/>
          <w:b/>
          <w:bCs/>
          <w:sz w:val="20"/>
          <w:szCs w:val="20"/>
        </w:rPr>
        <w:t xml:space="preserve">ANF </w:t>
      </w:r>
      <w:r w:rsidRPr="00B01F9E">
        <w:rPr>
          <w:rFonts w:ascii="Arial" w:hAnsi="Arial" w:cs="Arial"/>
          <w:b/>
          <w:bCs/>
          <w:sz w:val="20"/>
          <w:szCs w:val="20"/>
        </w:rPr>
        <w:t xml:space="preserve">Data Elements </w:t>
      </w:r>
    </w:p>
    <w:p w14:paraId="781CE92E" w14:textId="6CD5133D" w:rsidR="00CC6C11" w:rsidRPr="00B01F9E" w:rsidRDefault="00CC6C11" w:rsidP="00163CA6">
      <w:pPr>
        <w:spacing w:after="120"/>
        <w:rPr>
          <w:rFonts w:ascii="Arial" w:eastAsia="Calibri" w:hAnsi="Arial" w:cs="Arial"/>
          <w:b/>
          <w:color w:val="009BBF"/>
          <w:kern w:val="2"/>
          <w:sz w:val="20"/>
          <w:szCs w:val="20"/>
          <w14:ligatures w14:val="standardContextual"/>
        </w:rPr>
      </w:pPr>
      <w:r w:rsidRPr="00B01F9E">
        <w:rPr>
          <w:rFonts w:ascii="Arial" w:eastAsia="Calibri" w:hAnsi="Arial" w:cs="Arial"/>
          <w:kern w:val="2"/>
          <w:sz w:val="20"/>
          <w:szCs w:val="20"/>
          <w14:ligatures w14:val="standardContextual"/>
        </w:rPr>
        <w:t>Upon completing the development of clinical narratives, subject matter experts adhered to the suggested workflow from the ANF User Guide</w:t>
      </w:r>
      <w:r w:rsidR="00A51EAA" w:rsidRPr="00B01F9E">
        <w:rPr>
          <w:rFonts w:ascii="Arial" w:eastAsia="Calibri" w:hAnsi="Arial" w:cs="Arial"/>
          <w:kern w:val="2"/>
          <w:sz w:val="20"/>
          <w:szCs w:val="20"/>
          <w14:ligatures w14:val="standardContextual"/>
        </w:rPr>
        <w:t>,</w:t>
      </w:r>
      <w:r w:rsidR="00FF215B" w:rsidRPr="00B01F9E">
        <w:rPr>
          <w:rFonts w:ascii="Arial" w:eastAsia="Calibri" w:hAnsi="Arial" w:cs="Arial"/>
          <w:kern w:val="2"/>
          <w:sz w:val="20"/>
          <w:szCs w:val="20"/>
          <w:vertAlign w:val="superscript"/>
          <w14:ligatures w14:val="standardContextual"/>
        </w:rPr>
        <w:t>7</w:t>
      </w:r>
      <w:r w:rsidRPr="00B01F9E">
        <w:rPr>
          <w:rFonts w:ascii="Arial" w:eastAsia="Calibri" w:hAnsi="Arial" w:cs="Arial"/>
          <w:kern w:val="2"/>
          <w:sz w:val="20"/>
          <w:szCs w:val="20"/>
          <w14:ligatures w14:val="standardContextual"/>
        </w:rPr>
        <w:t xml:space="preserve"> HL7 ANF Ballot</w:t>
      </w:r>
      <w:r w:rsidR="001752E7" w:rsidRPr="00B01F9E">
        <w:rPr>
          <w:rFonts w:ascii="Arial" w:eastAsia="Calibri" w:hAnsi="Arial" w:cs="Arial"/>
          <w:kern w:val="2"/>
          <w:sz w:val="20"/>
          <w:szCs w:val="20"/>
          <w14:ligatures w14:val="standardContextual"/>
        </w:rPr>
        <w:t>,</w:t>
      </w:r>
      <w:r w:rsidR="00FF215B" w:rsidRPr="00B01F9E">
        <w:rPr>
          <w:rFonts w:ascii="Arial" w:eastAsia="Calibri" w:hAnsi="Arial" w:cs="Arial"/>
          <w:kern w:val="2"/>
          <w:sz w:val="20"/>
          <w:szCs w:val="20"/>
          <w:vertAlign w:val="superscript"/>
          <w14:ligatures w14:val="standardContextual"/>
        </w:rPr>
        <w:t>6</w:t>
      </w:r>
      <w:r w:rsidRPr="00B01F9E">
        <w:rPr>
          <w:rFonts w:ascii="Arial" w:eastAsia="Calibri" w:hAnsi="Arial" w:cs="Arial"/>
          <w:kern w:val="2"/>
          <w:sz w:val="20"/>
          <w:szCs w:val="20"/>
          <w14:ligatures w14:val="standardContextual"/>
        </w:rPr>
        <w:t xml:space="preserve"> and CIMI</w:t>
      </w:r>
      <w:r w:rsidR="00FF215B" w:rsidRPr="00B01F9E">
        <w:rPr>
          <w:rFonts w:ascii="Arial" w:eastAsia="Calibri" w:hAnsi="Arial" w:cs="Arial"/>
          <w:kern w:val="2"/>
          <w:sz w:val="20"/>
          <w:szCs w:val="20"/>
          <w:vertAlign w:val="superscript"/>
          <w14:ligatures w14:val="standardContextual"/>
        </w:rPr>
        <w:t>8</w:t>
      </w:r>
      <w:r w:rsidR="005B326A" w:rsidRPr="00B01F9E">
        <w:rPr>
          <w:rFonts w:ascii="Arial" w:eastAsia="Calibri" w:hAnsi="Arial" w:cs="Arial"/>
          <w:kern w:val="2"/>
          <w:sz w:val="20"/>
          <w:szCs w:val="20"/>
          <w:vertAlign w:val="superscript"/>
          <w14:ligatures w14:val="standardContextual"/>
        </w:rPr>
        <w:t xml:space="preserve"> </w:t>
      </w:r>
      <w:r w:rsidRPr="00B01F9E">
        <w:rPr>
          <w:rFonts w:ascii="Arial" w:eastAsia="Calibri" w:hAnsi="Arial" w:cs="Arial"/>
          <w:kern w:val="2"/>
          <w:sz w:val="20"/>
          <w:szCs w:val="20"/>
          <w14:ligatures w14:val="standardContextual"/>
        </w:rPr>
        <w:t xml:space="preserve">to engage in in-depth discussion about the current model. The focus was on applying the existing ANF data elements to the clinical narratives and identifying any modifications or additions that could enhance the model’s relevance to pathology. The group reached a consensus on the recommendations, which are summarized in the table below. </w:t>
      </w:r>
    </w:p>
    <w:p w14:paraId="082A9289" w14:textId="6AFEBD70" w:rsidR="00CC6C11" w:rsidRPr="00B01F9E" w:rsidRDefault="00CC6C11" w:rsidP="00CC6C11">
      <w:pPr>
        <w:spacing w:after="0"/>
        <w:rPr>
          <w:rFonts w:ascii="Arial" w:eastAsia="Calibri" w:hAnsi="Arial" w:cs="Arial"/>
          <w:kern w:val="2"/>
          <w:sz w:val="20"/>
          <w:szCs w:val="20"/>
          <w14:ligatures w14:val="standardContextual"/>
        </w:rPr>
      </w:pPr>
      <w:r w:rsidRPr="00B01F9E">
        <w:rPr>
          <w:rFonts w:ascii="Arial" w:eastAsia="Calibri" w:hAnsi="Arial" w:cs="Arial"/>
          <w:b/>
          <w:color w:val="009BBF"/>
          <w:kern w:val="2"/>
          <w:sz w:val="20"/>
          <w:szCs w:val="20"/>
          <w14:ligatures w14:val="standardContextual"/>
        </w:rPr>
        <w:t xml:space="preserve">Table </w:t>
      </w:r>
      <w:r w:rsidR="007430D5" w:rsidRPr="00B01F9E">
        <w:rPr>
          <w:rFonts w:ascii="Arial" w:eastAsia="Calibri" w:hAnsi="Arial" w:cs="Arial"/>
          <w:b/>
          <w:color w:val="009BBF"/>
          <w:kern w:val="2"/>
          <w:sz w:val="20"/>
          <w:szCs w:val="20"/>
          <w14:ligatures w14:val="standardContextual"/>
        </w:rPr>
        <w:t>2</w:t>
      </w:r>
      <w:r w:rsidR="00FF6AE3" w:rsidRPr="00B01F9E">
        <w:rPr>
          <w:rFonts w:ascii="Arial" w:eastAsia="Calibri" w:hAnsi="Arial" w:cs="Arial"/>
          <w:b/>
          <w:color w:val="009BBF"/>
          <w:kern w:val="2"/>
          <w:sz w:val="20"/>
          <w:szCs w:val="20"/>
          <w14:ligatures w14:val="standardContextual"/>
        </w:rPr>
        <w:t>7</w:t>
      </w:r>
      <w:r w:rsidRPr="00B01F9E">
        <w:rPr>
          <w:rFonts w:ascii="Arial" w:eastAsia="Calibri" w:hAnsi="Arial" w:cs="Arial"/>
          <w:b/>
          <w:color w:val="009BBF"/>
          <w:kern w:val="2"/>
          <w:sz w:val="20"/>
          <w:szCs w:val="20"/>
          <w14:ligatures w14:val="standardContextual"/>
        </w:rPr>
        <w:t xml:space="preserve">: Recommended Additional ANF Data Elements </w:t>
      </w:r>
    </w:p>
    <w:tbl>
      <w:tblPr>
        <w:tblW w:w="957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615"/>
        <w:gridCol w:w="4001"/>
        <w:gridCol w:w="3957"/>
      </w:tblGrid>
      <w:tr w:rsidR="00CC6C11" w:rsidRPr="00B01F9E" w14:paraId="0BA56C95" w14:textId="77777777" w:rsidTr="00F51F6A">
        <w:trPr>
          <w:trHeight w:val="144"/>
        </w:trPr>
        <w:tc>
          <w:tcPr>
            <w:tcW w:w="1615" w:type="dxa"/>
            <w:tcBorders>
              <w:top w:val="single" w:sz="4" w:space="0" w:color="auto"/>
              <w:left w:val="single" w:sz="4" w:space="0" w:color="auto"/>
              <w:bottom w:val="single" w:sz="4" w:space="0" w:color="auto"/>
              <w:right w:val="single" w:sz="4" w:space="0" w:color="auto"/>
            </w:tcBorders>
            <w:shd w:val="clear" w:color="auto" w:fill="E7E6E6"/>
            <w:hideMark/>
          </w:tcPr>
          <w:p w14:paraId="644438F5" w14:textId="77777777" w:rsidR="00CC6C11" w:rsidRPr="00B01F9E" w:rsidRDefault="00CC6C11" w:rsidP="00F1012A">
            <w:pPr>
              <w:spacing w:after="0"/>
              <w:rPr>
                <w:rFonts w:ascii="Arial" w:eastAsia="Calibri" w:hAnsi="Arial" w:cs="Arial"/>
                <w:b/>
                <w:bCs/>
                <w:kern w:val="2"/>
                <w:sz w:val="20"/>
                <w:szCs w:val="20"/>
                <w14:ligatures w14:val="standardContextual"/>
              </w:rPr>
            </w:pPr>
            <w:r w:rsidRPr="00B01F9E">
              <w:rPr>
                <w:rFonts w:ascii="Arial" w:eastAsia="Calibri" w:hAnsi="Arial" w:cs="Arial"/>
                <w:b/>
                <w:bCs/>
                <w:kern w:val="2"/>
                <w:sz w:val="20"/>
                <w:szCs w:val="20"/>
                <w14:ligatures w14:val="standardContextual"/>
              </w:rPr>
              <w:t>Data Element</w:t>
            </w:r>
          </w:p>
        </w:tc>
        <w:tc>
          <w:tcPr>
            <w:tcW w:w="4001" w:type="dxa"/>
            <w:tcBorders>
              <w:top w:val="single" w:sz="4" w:space="0" w:color="auto"/>
              <w:left w:val="single" w:sz="4" w:space="0" w:color="auto"/>
              <w:bottom w:val="single" w:sz="4" w:space="0" w:color="auto"/>
              <w:right w:val="single" w:sz="4" w:space="0" w:color="auto"/>
            </w:tcBorders>
            <w:shd w:val="clear" w:color="auto" w:fill="E7E6E6"/>
            <w:hideMark/>
          </w:tcPr>
          <w:p w14:paraId="2849E8C5" w14:textId="77777777" w:rsidR="00CC6C11" w:rsidRPr="00B01F9E" w:rsidRDefault="00CC6C11" w:rsidP="00F1012A">
            <w:pPr>
              <w:spacing w:after="0"/>
              <w:rPr>
                <w:rFonts w:ascii="Arial" w:eastAsia="Calibri" w:hAnsi="Arial" w:cs="Arial"/>
                <w:b/>
                <w:bCs/>
                <w:kern w:val="2"/>
                <w:sz w:val="20"/>
                <w:szCs w:val="20"/>
                <w14:ligatures w14:val="standardContextual"/>
              </w:rPr>
            </w:pPr>
            <w:r w:rsidRPr="00B01F9E">
              <w:rPr>
                <w:rFonts w:ascii="Arial" w:eastAsia="Calibri" w:hAnsi="Arial" w:cs="Arial"/>
                <w:b/>
                <w:bCs/>
                <w:kern w:val="2"/>
                <w:sz w:val="20"/>
                <w:szCs w:val="20"/>
                <w14:ligatures w14:val="standardContextual"/>
              </w:rPr>
              <w:t>Description</w:t>
            </w:r>
          </w:p>
        </w:tc>
        <w:tc>
          <w:tcPr>
            <w:tcW w:w="3957" w:type="dxa"/>
            <w:tcBorders>
              <w:top w:val="single" w:sz="4" w:space="0" w:color="auto"/>
              <w:left w:val="single" w:sz="4" w:space="0" w:color="auto"/>
              <w:bottom w:val="single" w:sz="4" w:space="0" w:color="auto"/>
              <w:right w:val="single" w:sz="4" w:space="0" w:color="auto"/>
            </w:tcBorders>
            <w:shd w:val="clear" w:color="auto" w:fill="E7E6E6"/>
            <w:hideMark/>
          </w:tcPr>
          <w:p w14:paraId="36739845" w14:textId="77777777" w:rsidR="00CC6C11" w:rsidRPr="00B01F9E" w:rsidRDefault="00CC6C11" w:rsidP="00F1012A">
            <w:pPr>
              <w:spacing w:after="0"/>
              <w:rPr>
                <w:rFonts w:ascii="Arial" w:eastAsia="Calibri" w:hAnsi="Arial" w:cs="Arial"/>
                <w:b/>
                <w:bCs/>
                <w:kern w:val="2"/>
                <w:sz w:val="20"/>
                <w:szCs w:val="20"/>
                <w14:ligatures w14:val="standardContextual"/>
              </w:rPr>
            </w:pPr>
            <w:r w:rsidRPr="00B01F9E">
              <w:rPr>
                <w:rFonts w:ascii="Arial" w:eastAsia="Calibri" w:hAnsi="Arial" w:cs="Arial"/>
                <w:b/>
                <w:bCs/>
                <w:kern w:val="2"/>
                <w:sz w:val="20"/>
                <w:szCs w:val="20"/>
                <w14:ligatures w14:val="standardContextual"/>
              </w:rPr>
              <w:t xml:space="preserve">Allowable Values </w:t>
            </w:r>
          </w:p>
        </w:tc>
      </w:tr>
      <w:tr w:rsidR="00CC6C11" w:rsidRPr="00B01F9E" w14:paraId="455D8530"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hideMark/>
          </w:tcPr>
          <w:p w14:paraId="6443379D"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Facility Identifier for the Requestor</w:t>
            </w:r>
          </w:p>
        </w:tc>
        <w:tc>
          <w:tcPr>
            <w:tcW w:w="4001" w:type="dxa"/>
            <w:tcBorders>
              <w:top w:val="single" w:sz="4" w:space="0" w:color="auto"/>
              <w:left w:val="single" w:sz="4" w:space="0" w:color="auto"/>
              <w:bottom w:val="single" w:sz="4" w:space="0" w:color="auto"/>
              <w:right w:val="single" w:sz="4" w:space="0" w:color="auto"/>
            </w:tcBorders>
            <w:hideMark/>
          </w:tcPr>
          <w:p w14:paraId="01B977AD"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Identifies the facility or practice setting of the requesting provider</w:t>
            </w:r>
          </w:p>
        </w:tc>
        <w:tc>
          <w:tcPr>
            <w:tcW w:w="3957" w:type="dxa"/>
            <w:tcBorders>
              <w:top w:val="single" w:sz="4" w:space="0" w:color="auto"/>
              <w:left w:val="single" w:sz="4" w:space="0" w:color="auto"/>
              <w:bottom w:val="single" w:sz="4" w:space="0" w:color="auto"/>
              <w:right w:val="single" w:sz="4" w:space="0" w:color="auto"/>
            </w:tcBorders>
            <w:hideMark/>
          </w:tcPr>
          <w:p w14:paraId="4330E211"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National Healthcare Safety Network (NHSN) Healthcare Facility Patient Care Location (HSLOC) Version 2022</w:t>
            </w:r>
          </w:p>
        </w:tc>
      </w:tr>
      <w:tr w:rsidR="00CC6C11" w:rsidRPr="00B01F9E" w14:paraId="0089A8AD"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hideMark/>
          </w:tcPr>
          <w:p w14:paraId="2FCB5935"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Facility Identifier for the Service Provider</w:t>
            </w:r>
          </w:p>
        </w:tc>
        <w:tc>
          <w:tcPr>
            <w:tcW w:w="4001" w:type="dxa"/>
            <w:tcBorders>
              <w:top w:val="single" w:sz="4" w:space="0" w:color="auto"/>
              <w:left w:val="single" w:sz="4" w:space="0" w:color="auto"/>
              <w:bottom w:val="single" w:sz="4" w:space="0" w:color="auto"/>
              <w:right w:val="single" w:sz="4" w:space="0" w:color="auto"/>
            </w:tcBorders>
            <w:hideMark/>
          </w:tcPr>
          <w:p w14:paraId="272A06C5"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Identifies the facility or practice setting of the service provider</w:t>
            </w:r>
          </w:p>
        </w:tc>
        <w:tc>
          <w:tcPr>
            <w:tcW w:w="3957" w:type="dxa"/>
            <w:tcBorders>
              <w:top w:val="single" w:sz="4" w:space="0" w:color="auto"/>
              <w:left w:val="single" w:sz="4" w:space="0" w:color="auto"/>
              <w:bottom w:val="single" w:sz="4" w:space="0" w:color="auto"/>
              <w:right w:val="single" w:sz="4" w:space="0" w:color="auto"/>
            </w:tcBorders>
            <w:hideMark/>
          </w:tcPr>
          <w:p w14:paraId="1252761B"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CLIA Identifier</w:t>
            </w:r>
          </w:p>
        </w:tc>
      </w:tr>
      <w:tr w:rsidR="00CC6C11" w:rsidRPr="00B01F9E" w14:paraId="41AF30A3" w14:textId="77777777" w:rsidTr="00F51F6A">
        <w:trPr>
          <w:trHeight w:val="1440"/>
        </w:trPr>
        <w:tc>
          <w:tcPr>
            <w:tcW w:w="1615" w:type="dxa"/>
            <w:tcBorders>
              <w:top w:val="single" w:sz="4" w:space="0" w:color="auto"/>
              <w:left w:val="single" w:sz="4" w:space="0" w:color="auto"/>
              <w:bottom w:val="single" w:sz="4" w:space="0" w:color="auto"/>
              <w:right w:val="single" w:sz="4" w:space="0" w:color="auto"/>
            </w:tcBorders>
            <w:hideMark/>
          </w:tcPr>
          <w:p w14:paraId="3C18B789"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Relevant Co-Morbidities</w:t>
            </w:r>
          </w:p>
        </w:tc>
        <w:tc>
          <w:tcPr>
            <w:tcW w:w="4001" w:type="dxa"/>
            <w:tcBorders>
              <w:top w:val="single" w:sz="4" w:space="0" w:color="auto"/>
              <w:left w:val="single" w:sz="4" w:space="0" w:color="auto"/>
              <w:bottom w:val="single" w:sz="4" w:space="0" w:color="auto"/>
              <w:right w:val="single" w:sz="4" w:space="0" w:color="auto"/>
            </w:tcBorders>
            <w:hideMark/>
          </w:tcPr>
          <w:p w14:paraId="1B45CF93"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Information on relevant co-morbidities that may impact the performance of the action or test or affect the interpretation of results</w:t>
            </w:r>
          </w:p>
          <w:p w14:paraId="6039004F"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This information should be supplied by the test requester</w:t>
            </w:r>
          </w:p>
        </w:tc>
        <w:tc>
          <w:tcPr>
            <w:tcW w:w="3957" w:type="dxa"/>
            <w:tcBorders>
              <w:top w:val="single" w:sz="4" w:space="0" w:color="auto"/>
              <w:left w:val="single" w:sz="4" w:space="0" w:color="auto"/>
              <w:bottom w:val="single" w:sz="4" w:space="0" w:color="auto"/>
              <w:right w:val="single" w:sz="4" w:space="0" w:color="auto"/>
            </w:tcBorders>
            <w:hideMark/>
          </w:tcPr>
          <w:p w14:paraId="05CDC29A"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International Classification of Diseases, Tenth Revision, Clinical Modification (ICD-10) </w:t>
            </w:r>
          </w:p>
        </w:tc>
      </w:tr>
      <w:tr w:rsidR="00CC6C11" w:rsidRPr="00B01F9E" w14:paraId="7A819915" w14:textId="77777777" w:rsidTr="00F51F6A">
        <w:trPr>
          <w:trHeight w:val="1152"/>
        </w:trPr>
        <w:tc>
          <w:tcPr>
            <w:tcW w:w="1615" w:type="dxa"/>
            <w:tcBorders>
              <w:top w:val="single" w:sz="4" w:space="0" w:color="auto"/>
              <w:left w:val="single" w:sz="4" w:space="0" w:color="auto"/>
              <w:bottom w:val="single" w:sz="4" w:space="0" w:color="auto"/>
              <w:right w:val="single" w:sz="4" w:space="0" w:color="auto"/>
            </w:tcBorders>
            <w:hideMark/>
          </w:tcPr>
          <w:p w14:paraId="78E9BADF"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Method</w:t>
            </w:r>
          </w:p>
        </w:tc>
        <w:tc>
          <w:tcPr>
            <w:tcW w:w="4001" w:type="dxa"/>
            <w:tcBorders>
              <w:top w:val="single" w:sz="4" w:space="0" w:color="auto"/>
              <w:left w:val="single" w:sz="4" w:space="0" w:color="auto"/>
              <w:bottom w:val="single" w:sz="4" w:space="0" w:color="auto"/>
              <w:right w:val="single" w:sz="4" w:space="0" w:color="auto"/>
            </w:tcBorders>
            <w:hideMark/>
          </w:tcPr>
          <w:p w14:paraId="39B2FF2A"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Comprehensive Approach or Protocol that employs or is inclusive of individual technique or steps (e.g., flow cytometry, electron microscopy, next generation sequencing)</w:t>
            </w:r>
          </w:p>
        </w:tc>
        <w:tc>
          <w:tcPr>
            <w:tcW w:w="3957" w:type="dxa"/>
            <w:tcBorders>
              <w:top w:val="single" w:sz="4" w:space="0" w:color="auto"/>
              <w:left w:val="single" w:sz="4" w:space="0" w:color="auto"/>
              <w:bottom w:val="single" w:sz="4" w:space="0" w:color="auto"/>
              <w:right w:val="single" w:sz="4" w:space="0" w:color="auto"/>
            </w:tcBorders>
            <w:hideMark/>
          </w:tcPr>
          <w:p w14:paraId="22F3B55E" w14:textId="7B138B30"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SNOMED CT</w:t>
            </w:r>
          </w:p>
        </w:tc>
      </w:tr>
      <w:tr w:rsidR="00CC6C11" w:rsidRPr="00B01F9E" w14:paraId="5465A36E"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hideMark/>
          </w:tcPr>
          <w:p w14:paraId="58DAB4D6"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Instrument Identifier</w:t>
            </w:r>
          </w:p>
        </w:tc>
        <w:tc>
          <w:tcPr>
            <w:tcW w:w="4001" w:type="dxa"/>
            <w:tcBorders>
              <w:top w:val="single" w:sz="4" w:space="0" w:color="auto"/>
              <w:left w:val="single" w:sz="4" w:space="0" w:color="auto"/>
              <w:bottom w:val="single" w:sz="4" w:space="0" w:color="auto"/>
              <w:right w:val="single" w:sz="4" w:space="0" w:color="auto"/>
            </w:tcBorders>
            <w:hideMark/>
          </w:tcPr>
          <w:p w14:paraId="59585978"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Identifies the instrument used to produce the result</w:t>
            </w:r>
          </w:p>
        </w:tc>
        <w:tc>
          <w:tcPr>
            <w:tcW w:w="3957" w:type="dxa"/>
            <w:tcBorders>
              <w:top w:val="single" w:sz="4" w:space="0" w:color="auto"/>
              <w:left w:val="single" w:sz="4" w:space="0" w:color="auto"/>
              <w:bottom w:val="single" w:sz="4" w:space="0" w:color="auto"/>
              <w:right w:val="single" w:sz="4" w:space="0" w:color="auto"/>
            </w:tcBorders>
            <w:hideMark/>
          </w:tcPr>
          <w:p w14:paraId="2D6D47BB" w14:textId="5007A5EF"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GUDID</w:t>
            </w:r>
          </w:p>
        </w:tc>
      </w:tr>
      <w:tr w:rsidR="00CC6C11" w:rsidRPr="00B01F9E" w14:paraId="3137F230"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hideMark/>
          </w:tcPr>
          <w:p w14:paraId="5A3B8C46"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Reagent Kit Identifier</w:t>
            </w:r>
          </w:p>
        </w:tc>
        <w:tc>
          <w:tcPr>
            <w:tcW w:w="4001" w:type="dxa"/>
            <w:tcBorders>
              <w:top w:val="single" w:sz="4" w:space="0" w:color="auto"/>
              <w:left w:val="single" w:sz="4" w:space="0" w:color="auto"/>
              <w:bottom w:val="single" w:sz="4" w:space="0" w:color="auto"/>
              <w:right w:val="single" w:sz="4" w:space="0" w:color="auto"/>
            </w:tcBorders>
            <w:hideMark/>
          </w:tcPr>
          <w:p w14:paraId="3981470D"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Identifies the reagent kit or system used to produce the result</w:t>
            </w:r>
          </w:p>
        </w:tc>
        <w:tc>
          <w:tcPr>
            <w:tcW w:w="3957" w:type="dxa"/>
            <w:tcBorders>
              <w:top w:val="single" w:sz="4" w:space="0" w:color="auto"/>
              <w:left w:val="single" w:sz="4" w:space="0" w:color="auto"/>
              <w:bottom w:val="single" w:sz="4" w:space="0" w:color="auto"/>
              <w:right w:val="single" w:sz="4" w:space="0" w:color="auto"/>
            </w:tcBorders>
            <w:hideMark/>
          </w:tcPr>
          <w:p w14:paraId="2F8F8D99"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GUDID</w:t>
            </w:r>
          </w:p>
        </w:tc>
      </w:tr>
      <w:tr w:rsidR="00CC6C11" w:rsidRPr="00B01F9E" w14:paraId="4F5842C3" w14:textId="77777777" w:rsidTr="00F51F6A">
        <w:trPr>
          <w:trHeight w:val="1008"/>
        </w:trPr>
        <w:tc>
          <w:tcPr>
            <w:tcW w:w="1615" w:type="dxa"/>
            <w:tcBorders>
              <w:top w:val="single" w:sz="4" w:space="0" w:color="auto"/>
              <w:left w:val="single" w:sz="4" w:space="0" w:color="auto"/>
              <w:bottom w:val="single" w:sz="4" w:space="0" w:color="auto"/>
              <w:right w:val="single" w:sz="4" w:space="0" w:color="auto"/>
            </w:tcBorders>
            <w:hideMark/>
          </w:tcPr>
          <w:p w14:paraId="4A52D97A"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Specimen Type </w:t>
            </w:r>
          </w:p>
        </w:tc>
        <w:tc>
          <w:tcPr>
            <w:tcW w:w="4001" w:type="dxa"/>
            <w:tcBorders>
              <w:top w:val="single" w:sz="4" w:space="0" w:color="auto"/>
              <w:left w:val="single" w:sz="4" w:space="0" w:color="auto"/>
              <w:bottom w:val="single" w:sz="4" w:space="0" w:color="auto"/>
              <w:right w:val="single" w:sz="4" w:space="0" w:color="auto"/>
            </w:tcBorders>
            <w:hideMark/>
          </w:tcPr>
          <w:p w14:paraId="676E0671"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Substance or tissue being sampled or tested. (e.g., nasopharyngeal swab, whole blood, serum, urine, wound swab, smear)</w:t>
            </w:r>
          </w:p>
        </w:tc>
        <w:tc>
          <w:tcPr>
            <w:tcW w:w="3957" w:type="dxa"/>
            <w:tcBorders>
              <w:top w:val="single" w:sz="4" w:space="0" w:color="auto"/>
              <w:left w:val="single" w:sz="4" w:space="0" w:color="auto"/>
              <w:bottom w:val="single" w:sz="4" w:space="0" w:color="auto"/>
              <w:right w:val="single" w:sz="4" w:space="0" w:color="auto"/>
            </w:tcBorders>
            <w:hideMark/>
          </w:tcPr>
          <w:p w14:paraId="02FA1730"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SNOMED CT (Specimen Hierarchy)</w:t>
            </w:r>
          </w:p>
        </w:tc>
      </w:tr>
      <w:tr w:rsidR="00CC6C11" w:rsidRPr="00B01F9E" w14:paraId="05A89732" w14:textId="77777777" w:rsidTr="00F51F6A">
        <w:trPr>
          <w:trHeight w:val="1440"/>
        </w:trPr>
        <w:tc>
          <w:tcPr>
            <w:tcW w:w="1615" w:type="dxa"/>
            <w:tcBorders>
              <w:top w:val="single" w:sz="4" w:space="0" w:color="auto"/>
              <w:left w:val="single" w:sz="4" w:space="0" w:color="auto"/>
              <w:bottom w:val="single" w:sz="4" w:space="0" w:color="auto"/>
              <w:right w:val="single" w:sz="4" w:space="0" w:color="auto"/>
            </w:tcBorders>
            <w:hideMark/>
          </w:tcPr>
          <w:p w14:paraId="080600C5"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Collection Method</w:t>
            </w:r>
          </w:p>
        </w:tc>
        <w:tc>
          <w:tcPr>
            <w:tcW w:w="4001" w:type="dxa"/>
            <w:tcBorders>
              <w:top w:val="single" w:sz="4" w:space="0" w:color="auto"/>
              <w:left w:val="single" w:sz="4" w:space="0" w:color="auto"/>
              <w:bottom w:val="single" w:sz="4" w:space="0" w:color="auto"/>
              <w:right w:val="single" w:sz="4" w:space="0" w:color="auto"/>
            </w:tcBorders>
            <w:hideMark/>
          </w:tcPr>
          <w:p w14:paraId="69584C72"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Technique used to obtain the specimen for testing (e.g., venipuncture, fine needle aspiration biopsy, core biopsy, incisional biopsy, excisional biopsy, or resection). Procedure to include imaging method if utilized</w:t>
            </w:r>
          </w:p>
        </w:tc>
        <w:tc>
          <w:tcPr>
            <w:tcW w:w="3957" w:type="dxa"/>
            <w:tcBorders>
              <w:top w:val="single" w:sz="4" w:space="0" w:color="auto"/>
              <w:left w:val="single" w:sz="4" w:space="0" w:color="auto"/>
              <w:bottom w:val="single" w:sz="4" w:space="0" w:color="auto"/>
              <w:right w:val="single" w:sz="4" w:space="0" w:color="auto"/>
            </w:tcBorders>
            <w:hideMark/>
          </w:tcPr>
          <w:p w14:paraId="7B79AB2B"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SNOMED CT (Procedure Hierarchy)</w:t>
            </w:r>
          </w:p>
        </w:tc>
      </w:tr>
      <w:tr w:rsidR="00CC6C11" w:rsidRPr="00B01F9E" w14:paraId="107EF254"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hideMark/>
          </w:tcPr>
          <w:p w14:paraId="2FBD1555"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lastRenderedPageBreak/>
              <w:t>Specimen Collection Device</w:t>
            </w:r>
          </w:p>
        </w:tc>
        <w:tc>
          <w:tcPr>
            <w:tcW w:w="4001" w:type="dxa"/>
            <w:tcBorders>
              <w:top w:val="single" w:sz="4" w:space="0" w:color="auto"/>
              <w:left w:val="single" w:sz="4" w:space="0" w:color="auto"/>
              <w:bottom w:val="single" w:sz="4" w:space="0" w:color="auto"/>
              <w:right w:val="single" w:sz="4" w:space="0" w:color="auto"/>
            </w:tcBorders>
            <w:hideMark/>
          </w:tcPr>
          <w:p w14:paraId="03E83241"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Container or device used in collecting and transporting the specimen to the laboratory for testing (e.g., purple top test tube with EDTA additive, blood culture bottle, Universal Transport Media)</w:t>
            </w:r>
          </w:p>
        </w:tc>
        <w:tc>
          <w:tcPr>
            <w:tcW w:w="3957" w:type="dxa"/>
            <w:tcBorders>
              <w:top w:val="single" w:sz="4" w:space="0" w:color="auto"/>
              <w:left w:val="single" w:sz="4" w:space="0" w:color="auto"/>
              <w:bottom w:val="single" w:sz="4" w:space="0" w:color="auto"/>
              <w:right w:val="single" w:sz="4" w:space="0" w:color="auto"/>
            </w:tcBorders>
            <w:hideMark/>
          </w:tcPr>
          <w:p w14:paraId="7DDC88F4"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SNOMED CT (Physical Object Hierarchy) </w:t>
            </w:r>
          </w:p>
        </w:tc>
      </w:tr>
      <w:tr w:rsidR="00CC6C11" w:rsidRPr="00B01F9E" w14:paraId="3478EDC2"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hideMark/>
          </w:tcPr>
          <w:p w14:paraId="71233364"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Specimen Source</w:t>
            </w:r>
          </w:p>
        </w:tc>
        <w:tc>
          <w:tcPr>
            <w:tcW w:w="4001" w:type="dxa"/>
            <w:tcBorders>
              <w:top w:val="single" w:sz="4" w:space="0" w:color="auto"/>
              <w:left w:val="single" w:sz="4" w:space="0" w:color="auto"/>
              <w:bottom w:val="single" w:sz="4" w:space="0" w:color="auto"/>
              <w:right w:val="single" w:sz="4" w:space="0" w:color="auto"/>
            </w:tcBorders>
            <w:hideMark/>
          </w:tcPr>
          <w:p w14:paraId="6E7769FA"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Body site from which a specimen was obtained</w:t>
            </w:r>
          </w:p>
        </w:tc>
        <w:tc>
          <w:tcPr>
            <w:tcW w:w="3957" w:type="dxa"/>
            <w:tcBorders>
              <w:top w:val="single" w:sz="4" w:space="0" w:color="auto"/>
              <w:left w:val="single" w:sz="4" w:space="0" w:color="auto"/>
              <w:bottom w:val="single" w:sz="4" w:space="0" w:color="auto"/>
              <w:right w:val="single" w:sz="4" w:space="0" w:color="auto"/>
            </w:tcBorders>
            <w:hideMark/>
          </w:tcPr>
          <w:p w14:paraId="76299653"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SNOMED CT (Body Structure Hierarchy for solid tissues, Substance Hierarchy for fluids)</w:t>
            </w:r>
          </w:p>
        </w:tc>
      </w:tr>
      <w:tr w:rsidR="00CC6C11" w:rsidRPr="00B01F9E" w14:paraId="6E1B1950" w14:textId="77777777" w:rsidTr="00F51F6A">
        <w:trPr>
          <w:trHeight w:val="2569"/>
        </w:trPr>
        <w:tc>
          <w:tcPr>
            <w:tcW w:w="1615" w:type="dxa"/>
            <w:tcBorders>
              <w:top w:val="single" w:sz="4" w:space="0" w:color="auto"/>
              <w:left w:val="single" w:sz="4" w:space="0" w:color="auto"/>
              <w:bottom w:val="single" w:sz="4" w:space="0" w:color="auto"/>
              <w:right w:val="single" w:sz="4" w:space="0" w:color="auto"/>
            </w:tcBorders>
          </w:tcPr>
          <w:p w14:paraId="1E45EBD8"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Specimen Rejection Criteria / Adequacy Condition</w:t>
            </w:r>
          </w:p>
        </w:tc>
        <w:tc>
          <w:tcPr>
            <w:tcW w:w="4001" w:type="dxa"/>
            <w:tcBorders>
              <w:top w:val="single" w:sz="4" w:space="0" w:color="auto"/>
              <w:left w:val="single" w:sz="4" w:space="0" w:color="auto"/>
              <w:bottom w:val="single" w:sz="4" w:space="0" w:color="auto"/>
              <w:right w:val="single" w:sz="4" w:space="0" w:color="auto"/>
            </w:tcBorders>
          </w:tcPr>
          <w:p w14:paraId="7B757211"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Result might be insufficient for diagnosis in which case Rejection Criteria/Adequacy Condition should be used to indicate any information regarding the condition and disposition of specimens that do not meet the laboratory's criteria for acceptability or compromise an observation or exam (e.g., hemolyzed specimen, inadequate bowel prep, inadequate fixation, or sample size)</w:t>
            </w:r>
          </w:p>
        </w:tc>
        <w:tc>
          <w:tcPr>
            <w:tcW w:w="3957" w:type="dxa"/>
            <w:tcBorders>
              <w:top w:val="single" w:sz="4" w:space="0" w:color="auto"/>
              <w:left w:val="single" w:sz="4" w:space="0" w:color="auto"/>
              <w:bottom w:val="single" w:sz="4" w:space="0" w:color="auto"/>
              <w:right w:val="single" w:sz="4" w:space="0" w:color="auto"/>
            </w:tcBorders>
          </w:tcPr>
          <w:p w14:paraId="63A5E3A5"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SNOMED CT, HL7 Code System Specimen Condition</w:t>
            </w:r>
          </w:p>
        </w:tc>
      </w:tr>
      <w:tr w:rsidR="00CC6C11" w:rsidRPr="00B01F9E" w14:paraId="68A1C990"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tcPr>
          <w:p w14:paraId="20A7133E"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Target </w:t>
            </w:r>
          </w:p>
        </w:tc>
        <w:tc>
          <w:tcPr>
            <w:tcW w:w="4001" w:type="dxa"/>
            <w:tcBorders>
              <w:top w:val="single" w:sz="4" w:space="0" w:color="auto"/>
              <w:left w:val="single" w:sz="4" w:space="0" w:color="auto"/>
              <w:bottom w:val="single" w:sz="4" w:space="0" w:color="auto"/>
              <w:right w:val="single" w:sz="4" w:space="0" w:color="auto"/>
            </w:tcBorders>
          </w:tcPr>
          <w:p w14:paraId="4499EAB2"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Manufacturer defined elements that are evaluated by the assay to produce a result</w:t>
            </w:r>
          </w:p>
        </w:tc>
        <w:tc>
          <w:tcPr>
            <w:tcW w:w="3957" w:type="dxa"/>
            <w:tcBorders>
              <w:top w:val="single" w:sz="4" w:space="0" w:color="auto"/>
              <w:left w:val="single" w:sz="4" w:space="0" w:color="auto"/>
              <w:bottom w:val="single" w:sz="4" w:space="0" w:color="auto"/>
              <w:right w:val="single" w:sz="4" w:space="0" w:color="auto"/>
            </w:tcBorders>
          </w:tcPr>
          <w:p w14:paraId="5FCD78D7"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SNOMED CT (e.g., Substance Hierarchy, Organism Hierarchy) </w:t>
            </w:r>
          </w:p>
        </w:tc>
      </w:tr>
      <w:tr w:rsidR="00CC6C11" w:rsidRPr="00B01F9E" w14:paraId="6C1370FB" w14:textId="77777777" w:rsidTr="00F51F6A">
        <w:trPr>
          <w:trHeight w:val="20"/>
        </w:trPr>
        <w:tc>
          <w:tcPr>
            <w:tcW w:w="1615" w:type="dxa"/>
            <w:tcBorders>
              <w:top w:val="single" w:sz="4" w:space="0" w:color="auto"/>
              <w:left w:val="single" w:sz="4" w:space="0" w:color="auto"/>
              <w:bottom w:val="single" w:sz="4" w:space="0" w:color="auto"/>
              <w:right w:val="single" w:sz="4" w:space="0" w:color="auto"/>
            </w:tcBorders>
          </w:tcPr>
          <w:p w14:paraId="21BE8403"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Cutoff Value </w:t>
            </w:r>
          </w:p>
        </w:tc>
        <w:tc>
          <w:tcPr>
            <w:tcW w:w="4001" w:type="dxa"/>
            <w:tcBorders>
              <w:top w:val="single" w:sz="4" w:space="0" w:color="auto"/>
              <w:left w:val="single" w:sz="4" w:space="0" w:color="auto"/>
              <w:bottom w:val="single" w:sz="4" w:space="0" w:color="auto"/>
              <w:right w:val="single" w:sz="4" w:space="0" w:color="auto"/>
            </w:tcBorders>
          </w:tcPr>
          <w:p w14:paraId="24DB33BE"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Manufacturer defined numerical value used to determine the reporting of qualitative tests</w:t>
            </w:r>
          </w:p>
        </w:tc>
        <w:tc>
          <w:tcPr>
            <w:tcW w:w="3957" w:type="dxa"/>
            <w:tcBorders>
              <w:top w:val="single" w:sz="4" w:space="0" w:color="auto"/>
              <w:left w:val="single" w:sz="4" w:space="0" w:color="auto"/>
              <w:bottom w:val="single" w:sz="4" w:space="0" w:color="auto"/>
              <w:right w:val="single" w:sz="4" w:space="0" w:color="auto"/>
            </w:tcBorders>
          </w:tcPr>
          <w:p w14:paraId="085CD2E6" w14:textId="77777777" w:rsidR="00CC6C11" w:rsidRPr="00B01F9E" w:rsidRDefault="00CC6C11" w:rsidP="00F1012A">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Unified Code for Units of Measure (UCUM)</w:t>
            </w:r>
          </w:p>
        </w:tc>
      </w:tr>
    </w:tbl>
    <w:p w14:paraId="4DE1BF3A" w14:textId="0C14C4DA" w:rsidR="00B118CB" w:rsidRPr="00B01F9E" w:rsidRDefault="00B118CB" w:rsidP="006820CE">
      <w:pPr>
        <w:spacing w:before="40" w:after="120" w:line="240" w:lineRule="auto"/>
        <w:textAlignment w:val="baseline"/>
        <w:rPr>
          <w:rFonts w:ascii="Arial" w:eastAsia="Times New Roman" w:hAnsi="Arial" w:cs="Arial"/>
          <w:color w:val="000000"/>
          <w:sz w:val="20"/>
          <w:szCs w:val="20"/>
        </w:rPr>
      </w:pPr>
      <w:r w:rsidRPr="00B01F9E">
        <w:rPr>
          <w:rFonts w:ascii="Arial" w:eastAsia="Times New Roman" w:hAnsi="Arial" w:cs="Arial"/>
          <w:bCs/>
          <w:color w:val="000000"/>
          <w:sz w:val="20"/>
          <w:szCs w:val="20"/>
        </w:rPr>
        <w:t xml:space="preserve">To complete the evaluation of the ANF model and the integration of new data elements, the team incorporated the proposed ANF data elements for AP and CP (Table </w:t>
      </w:r>
      <w:r w:rsidR="007430D5" w:rsidRPr="00B01F9E">
        <w:rPr>
          <w:rFonts w:ascii="Arial" w:eastAsia="Times New Roman" w:hAnsi="Arial" w:cs="Arial"/>
          <w:bCs/>
          <w:color w:val="000000"/>
          <w:sz w:val="20"/>
          <w:szCs w:val="20"/>
        </w:rPr>
        <w:t>2</w:t>
      </w:r>
      <w:r w:rsidR="00FF6AE3" w:rsidRPr="00B01F9E">
        <w:rPr>
          <w:rFonts w:ascii="Arial" w:eastAsia="Times New Roman" w:hAnsi="Arial" w:cs="Arial"/>
          <w:bCs/>
          <w:color w:val="000000"/>
          <w:sz w:val="20"/>
          <w:szCs w:val="20"/>
        </w:rPr>
        <w:t>7</w:t>
      </w:r>
      <w:r w:rsidRPr="00B01F9E">
        <w:rPr>
          <w:rFonts w:ascii="Arial" w:eastAsia="Times New Roman" w:hAnsi="Arial" w:cs="Arial"/>
          <w:bCs/>
          <w:color w:val="000000"/>
          <w:sz w:val="20"/>
          <w:szCs w:val="20"/>
        </w:rPr>
        <w:t>) into the existing ANF Reference Model (Health Level Seven International, 2020, p. 15)</w:t>
      </w:r>
      <w:r w:rsidR="00FF215B" w:rsidRPr="00B01F9E">
        <w:rPr>
          <w:rFonts w:ascii="Arial" w:eastAsia="Times New Roman" w:hAnsi="Arial" w:cs="Arial"/>
          <w:bCs/>
          <w:color w:val="000000"/>
          <w:sz w:val="20"/>
          <w:szCs w:val="20"/>
          <w:vertAlign w:val="superscript"/>
        </w:rPr>
        <w:t>8</w:t>
      </w:r>
      <w:r w:rsidRPr="00B01F9E">
        <w:rPr>
          <w:rFonts w:ascii="Arial" w:eastAsia="Times New Roman" w:hAnsi="Arial" w:cs="Arial"/>
          <w:bCs/>
          <w:color w:val="000000"/>
          <w:sz w:val="20"/>
          <w:szCs w:val="20"/>
        </w:rPr>
        <w:t xml:space="preserve">. This integration aimed to assess compatibility and functionality, resulting in the generation of Figure </w:t>
      </w:r>
      <w:r w:rsidR="00F71485" w:rsidRPr="00B01F9E">
        <w:rPr>
          <w:rFonts w:ascii="Arial" w:eastAsia="Times New Roman" w:hAnsi="Arial" w:cs="Arial"/>
          <w:bCs/>
          <w:color w:val="000000"/>
          <w:sz w:val="20"/>
          <w:szCs w:val="20"/>
        </w:rPr>
        <w:t>2</w:t>
      </w:r>
      <w:r w:rsidR="00476D19" w:rsidRPr="00B01F9E">
        <w:rPr>
          <w:rFonts w:ascii="Arial" w:eastAsia="Times New Roman" w:hAnsi="Arial" w:cs="Arial"/>
          <w:bCs/>
          <w:color w:val="000000"/>
          <w:sz w:val="20"/>
          <w:szCs w:val="20"/>
        </w:rPr>
        <w:t>7</w:t>
      </w:r>
      <w:r w:rsidRPr="00B01F9E">
        <w:rPr>
          <w:rFonts w:ascii="Arial" w:eastAsia="Times New Roman" w:hAnsi="Arial" w:cs="Arial"/>
          <w:bCs/>
          <w:color w:val="000000"/>
          <w:sz w:val="20"/>
          <w:szCs w:val="20"/>
        </w:rPr>
        <w:t xml:space="preserve"> below. </w:t>
      </w:r>
      <w:r w:rsidRPr="00B01F9E">
        <w:rPr>
          <w:rFonts w:ascii="Arial" w:eastAsia="Times New Roman" w:hAnsi="Arial" w:cs="Arial"/>
          <w:color w:val="000000"/>
          <w:sz w:val="20"/>
          <w:szCs w:val="20"/>
        </w:rPr>
        <w:t>According to the CIMI</w:t>
      </w:r>
      <w:r w:rsidR="00FF215B" w:rsidRPr="00B01F9E">
        <w:rPr>
          <w:rFonts w:ascii="Arial" w:eastAsia="Times New Roman" w:hAnsi="Arial" w:cs="Arial"/>
          <w:color w:val="000000"/>
          <w:sz w:val="20"/>
          <w:szCs w:val="20"/>
          <w:vertAlign w:val="superscript"/>
        </w:rPr>
        <w:t>8</w:t>
      </w:r>
      <w:r w:rsidRPr="00B01F9E">
        <w:rPr>
          <w:rFonts w:ascii="Arial" w:eastAsia="Calibri" w:hAnsi="Arial" w:cs="Arial"/>
          <w:kern w:val="2"/>
          <w:sz w:val="20"/>
          <w:szCs w:val="20"/>
          <w14:ligatures w14:val="standardContextual"/>
        </w:rPr>
        <w:t xml:space="preserve">: </w:t>
      </w:r>
    </w:p>
    <w:p w14:paraId="68720489" w14:textId="7DC160FB" w:rsidR="00B118CB" w:rsidRPr="00B01F9E" w:rsidRDefault="00B118CB" w:rsidP="00163CA6">
      <w:pPr>
        <w:spacing w:after="120" w:line="240" w:lineRule="auto"/>
        <w:ind w:left="720"/>
        <w:textAlignment w:val="baseline"/>
        <w:rPr>
          <w:rFonts w:ascii="Arial" w:eastAsia="Times New Roman" w:hAnsi="Arial" w:cs="Arial"/>
          <w:color w:val="000000"/>
          <w:sz w:val="20"/>
          <w:szCs w:val="20"/>
        </w:rPr>
      </w:pPr>
      <w:r w:rsidRPr="00B01F9E">
        <w:rPr>
          <w:rFonts w:ascii="Arial" w:eastAsia="Times New Roman" w:hAnsi="Arial" w:cs="Arial"/>
          <w:color w:val="000000"/>
          <w:sz w:val="20"/>
          <w:szCs w:val="20"/>
        </w:rPr>
        <w:t>The ANF Reference Model is a logical model described herein using the Object Management Group (OMG) Unified Modeling Language (UML) statements 2.0 notation to describe the structure of normalized clinical for computational analysis. This logical model may be implemented using any programming language, database technology, or interoperability specification (e.g., FHIR) suitable for analysis. ANF is intended to normalize approaches and methodologies in use across the industry and provide a uniform representation of data to enable analysis. The following diagram describes the logical structure of a clinical statement that conforms to the Analysis Normal Form specification. At a high-level an ANF statement defines the topic (WHAT happened, was observed, requested, measured, asserted, etc.) and under what circumstances-(HOW, WHY, WHEN, and with what RESULT) (Health Level Seven Internation</w:t>
      </w:r>
      <w:r w:rsidR="001D246F" w:rsidRPr="00B01F9E">
        <w:rPr>
          <w:rFonts w:ascii="Arial" w:eastAsia="Times New Roman" w:hAnsi="Arial" w:cs="Arial"/>
          <w:color w:val="000000"/>
          <w:sz w:val="20"/>
          <w:szCs w:val="20"/>
        </w:rPr>
        <w:t>al</w:t>
      </w:r>
      <w:r w:rsidRPr="00B01F9E">
        <w:rPr>
          <w:rFonts w:ascii="Arial" w:eastAsia="Times New Roman" w:hAnsi="Arial" w:cs="Arial"/>
          <w:color w:val="000000"/>
          <w:sz w:val="20"/>
          <w:szCs w:val="20"/>
        </w:rPr>
        <w:t>, 2020, pg.14)</w:t>
      </w:r>
      <w:r w:rsidR="0005707C" w:rsidRPr="00B01F9E">
        <w:rPr>
          <w:rFonts w:ascii="Arial" w:eastAsia="Times New Roman" w:hAnsi="Arial" w:cs="Arial"/>
          <w:color w:val="000000"/>
          <w:sz w:val="20"/>
          <w:szCs w:val="20"/>
        </w:rPr>
        <w:t>.</w:t>
      </w:r>
      <w:r w:rsidR="00FF215B" w:rsidRPr="00B01F9E">
        <w:rPr>
          <w:rFonts w:ascii="Arial" w:eastAsia="Times New Roman" w:hAnsi="Arial" w:cs="Arial"/>
          <w:bCs/>
          <w:color w:val="000000"/>
          <w:sz w:val="20"/>
          <w:szCs w:val="20"/>
          <w:vertAlign w:val="superscript"/>
        </w:rPr>
        <w:t>8</w:t>
      </w:r>
      <w:r w:rsidRPr="00B01F9E">
        <w:rPr>
          <w:rFonts w:ascii="Arial" w:eastAsia="Times New Roman" w:hAnsi="Arial" w:cs="Arial"/>
          <w:color w:val="000000"/>
          <w:sz w:val="20"/>
          <w:szCs w:val="20"/>
        </w:rPr>
        <w:t xml:space="preserve"> </w:t>
      </w:r>
    </w:p>
    <w:p w14:paraId="2F5FA44E" w14:textId="494C0C5A" w:rsidR="00CC6C11" w:rsidRPr="00B01F9E" w:rsidRDefault="006820CE" w:rsidP="00B90822">
      <w:pPr>
        <w:rPr>
          <w:rFonts w:ascii="Arial" w:eastAsia="Calibri" w:hAnsi="Arial" w:cs="Arial"/>
          <w:b/>
          <w:color w:val="009BBF"/>
          <w:kern w:val="2"/>
          <w:sz w:val="20"/>
          <w:szCs w:val="20"/>
          <w14:ligatures w14:val="standardContextual"/>
        </w:rPr>
      </w:pPr>
      <w:r w:rsidRPr="00B01F9E">
        <w:rPr>
          <w:rFonts w:ascii="Arial" w:eastAsia="Calibri" w:hAnsi="Arial" w:cs="Arial"/>
          <w:b/>
          <w:color w:val="009BBF"/>
          <w:kern w:val="2"/>
          <w:sz w:val="20"/>
          <w:szCs w:val="20"/>
          <w14:ligatures w14:val="standardContextual"/>
        </w:rPr>
        <w:br w:type="page"/>
      </w:r>
      <w:r w:rsidR="00CC6C11" w:rsidRPr="00B01F9E">
        <w:rPr>
          <w:rFonts w:ascii="Arial" w:eastAsia="Calibri" w:hAnsi="Arial" w:cs="Arial"/>
          <w:b/>
          <w:color w:val="009BBF"/>
          <w:kern w:val="2"/>
          <w:sz w:val="20"/>
          <w:szCs w:val="20"/>
          <w14:ligatures w14:val="standardContextual"/>
        </w:rPr>
        <w:lastRenderedPageBreak/>
        <w:t xml:space="preserve">Figure </w:t>
      </w:r>
      <w:r w:rsidR="00F71485" w:rsidRPr="00B01F9E">
        <w:rPr>
          <w:rFonts w:ascii="Arial" w:eastAsia="Calibri" w:hAnsi="Arial" w:cs="Arial"/>
          <w:b/>
          <w:color w:val="009BBF"/>
          <w:kern w:val="2"/>
          <w:sz w:val="20"/>
          <w:szCs w:val="20"/>
          <w14:ligatures w14:val="standardContextual"/>
        </w:rPr>
        <w:t>2</w:t>
      </w:r>
      <w:r w:rsidR="00476D19" w:rsidRPr="00B01F9E">
        <w:rPr>
          <w:rFonts w:ascii="Arial" w:eastAsia="Calibri" w:hAnsi="Arial" w:cs="Arial"/>
          <w:b/>
          <w:color w:val="009BBF"/>
          <w:kern w:val="2"/>
          <w:sz w:val="20"/>
          <w:szCs w:val="20"/>
          <w14:ligatures w14:val="standardContextual"/>
        </w:rPr>
        <w:t>7</w:t>
      </w:r>
      <w:r w:rsidR="00CC6C11" w:rsidRPr="00B01F9E">
        <w:rPr>
          <w:rFonts w:ascii="Arial" w:eastAsia="Calibri" w:hAnsi="Arial" w:cs="Arial"/>
          <w:b/>
          <w:color w:val="009BBF"/>
          <w:kern w:val="2"/>
          <w:sz w:val="20"/>
          <w:szCs w:val="20"/>
          <w14:ligatures w14:val="standardContextual"/>
        </w:rPr>
        <w:t xml:space="preserve">: ANF Model </w:t>
      </w:r>
      <w:proofErr w:type="gramStart"/>
      <w:r w:rsidR="008214F1" w:rsidRPr="00B01F9E">
        <w:rPr>
          <w:rFonts w:ascii="Arial" w:eastAsia="Calibri" w:hAnsi="Arial" w:cs="Arial"/>
          <w:b/>
          <w:color w:val="009BBF"/>
          <w:kern w:val="2"/>
          <w:sz w:val="20"/>
          <w:szCs w:val="20"/>
          <w14:ligatures w14:val="standardContextual"/>
        </w:rPr>
        <w:t>W</w:t>
      </w:r>
      <w:r w:rsidR="00CC6C11" w:rsidRPr="00B01F9E">
        <w:rPr>
          <w:rFonts w:ascii="Arial" w:eastAsia="Calibri" w:hAnsi="Arial" w:cs="Arial"/>
          <w:b/>
          <w:color w:val="009BBF"/>
          <w:kern w:val="2"/>
          <w:sz w:val="20"/>
          <w:szCs w:val="20"/>
          <w14:ligatures w14:val="standardContextual"/>
        </w:rPr>
        <w:t>ith</w:t>
      </w:r>
      <w:proofErr w:type="gramEnd"/>
      <w:r w:rsidR="00CC6C11" w:rsidRPr="00B01F9E">
        <w:rPr>
          <w:rFonts w:ascii="Arial" w:eastAsia="Calibri" w:hAnsi="Arial" w:cs="Arial"/>
          <w:b/>
          <w:color w:val="009BBF"/>
          <w:kern w:val="2"/>
          <w:sz w:val="20"/>
          <w:szCs w:val="20"/>
          <w14:ligatures w14:val="standardContextual"/>
        </w:rPr>
        <w:t xml:space="preserve"> Proposed New Data Elements </w:t>
      </w:r>
    </w:p>
    <w:p w14:paraId="02E85E69" w14:textId="277A958C" w:rsidR="00F878E5" w:rsidRPr="00B01F9E" w:rsidRDefault="00F878E5" w:rsidP="00CC6C11">
      <w:pPr>
        <w:spacing w:after="0"/>
        <w:rPr>
          <w:rFonts w:ascii="Arial" w:eastAsia="Calibri" w:hAnsi="Arial" w:cs="Arial"/>
          <w:noProof/>
          <w:kern w:val="2"/>
          <w:sz w:val="20"/>
          <w:szCs w:val="20"/>
          <w14:ligatures w14:val="standardContextual"/>
        </w:rPr>
      </w:pPr>
      <w:r w:rsidRPr="00B01F9E">
        <w:rPr>
          <w:rFonts w:ascii="Arial" w:hAnsi="Arial" w:cs="Arial"/>
          <w:noProof/>
          <w:sz w:val="20"/>
          <w:szCs w:val="20"/>
        </w:rPr>
        <w:drawing>
          <wp:inline distT="0" distB="0" distL="0" distR="0" wp14:anchorId="24C7E691" wp14:editId="23E516D4">
            <wp:extent cx="5668886" cy="6453187"/>
            <wp:effectExtent l="0" t="0" r="8255" b="5080"/>
            <wp:docPr id="456717054"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17054" name="Graphic 456717054"/>
                    <pic:cNvPicPr/>
                  </pic:nvPicPr>
                  <pic:blipFill rotWithShape="1">
                    <a:blip r:embed="rId89">
                      <a:extLst>
                        <a:ext uri="{96DAC541-7B7A-43D3-8B79-37D633B846F1}">
                          <asvg:svgBlip xmlns:asvg="http://schemas.microsoft.com/office/drawing/2016/SVG/main" r:embed="rId90"/>
                        </a:ext>
                      </a:extLst>
                    </a:blip>
                    <a:srcRect b="19214"/>
                    <a:stretch/>
                  </pic:blipFill>
                  <pic:spPr bwMode="auto">
                    <a:xfrm>
                      <a:off x="0" y="0"/>
                      <a:ext cx="5675438" cy="6460645"/>
                    </a:xfrm>
                    <a:prstGeom prst="rect">
                      <a:avLst/>
                    </a:prstGeom>
                    <a:ln>
                      <a:noFill/>
                    </a:ln>
                    <a:extLst>
                      <a:ext uri="{53640926-AAD7-44D8-BBD7-CCE9431645EC}">
                        <a14:shadowObscured xmlns:a14="http://schemas.microsoft.com/office/drawing/2010/main"/>
                      </a:ext>
                    </a:extLst>
                  </pic:spPr>
                </pic:pic>
              </a:graphicData>
            </a:graphic>
          </wp:inline>
        </w:drawing>
      </w:r>
    </w:p>
    <w:p w14:paraId="151E4A1D" w14:textId="77777777" w:rsidR="00486CB8" w:rsidRPr="00B01F9E" w:rsidRDefault="00486CB8" w:rsidP="00CC6C11">
      <w:pPr>
        <w:spacing w:after="0"/>
        <w:rPr>
          <w:rFonts w:ascii="Arial" w:eastAsia="Calibri" w:hAnsi="Arial" w:cs="Arial"/>
          <w:kern w:val="2"/>
          <w:sz w:val="20"/>
          <w:szCs w:val="20"/>
          <w14:ligatures w14:val="standardContextual"/>
        </w:rPr>
      </w:pPr>
    </w:p>
    <w:p w14:paraId="032F1078" w14:textId="3EECF7E3" w:rsidR="00CC6C11" w:rsidRPr="00B01F9E" w:rsidRDefault="00CC6C11" w:rsidP="00CC6C11">
      <w:pPr>
        <w:spacing w:after="0"/>
        <w:rPr>
          <w:rFonts w:ascii="Arial" w:eastAsia="Calibri" w:hAnsi="Arial" w:cs="Arial"/>
          <w:kern w:val="2"/>
          <w:sz w:val="20"/>
          <w:szCs w:val="20"/>
          <w14:ligatures w14:val="standardContextual"/>
        </w:rPr>
      </w:pPr>
      <w:r w:rsidRPr="00B01F9E">
        <w:rPr>
          <w:rFonts w:ascii="Arial" w:eastAsia="Calibri" w:hAnsi="Arial" w:cs="Arial"/>
          <w:kern w:val="2"/>
          <w:sz w:val="20"/>
          <w:szCs w:val="20"/>
          <w14:ligatures w14:val="standardContextual"/>
        </w:rPr>
        <w:t xml:space="preserve">Note: A high resolution version of Figure </w:t>
      </w:r>
      <w:r w:rsidR="00F71485" w:rsidRPr="00B01F9E">
        <w:rPr>
          <w:rFonts w:ascii="Arial" w:eastAsia="Calibri" w:hAnsi="Arial" w:cs="Arial"/>
          <w:kern w:val="2"/>
          <w:sz w:val="20"/>
          <w:szCs w:val="20"/>
          <w14:ligatures w14:val="standardContextual"/>
        </w:rPr>
        <w:t>2</w:t>
      </w:r>
      <w:r w:rsidR="00476D19" w:rsidRPr="00B01F9E">
        <w:rPr>
          <w:rFonts w:ascii="Arial" w:eastAsia="Calibri" w:hAnsi="Arial" w:cs="Arial"/>
          <w:kern w:val="2"/>
          <w:sz w:val="20"/>
          <w:szCs w:val="20"/>
          <w14:ligatures w14:val="standardContextual"/>
        </w:rPr>
        <w:t>7</w:t>
      </w:r>
      <w:r w:rsidRPr="00B01F9E">
        <w:rPr>
          <w:rFonts w:ascii="Arial" w:eastAsia="Calibri" w:hAnsi="Arial" w:cs="Arial"/>
          <w:kern w:val="2"/>
          <w:sz w:val="20"/>
          <w:szCs w:val="20"/>
          <w14:ligatures w14:val="standardContextual"/>
        </w:rPr>
        <w:t xml:space="preserve"> is included with this deliverable submission. </w:t>
      </w:r>
    </w:p>
    <w:p w14:paraId="7E07F8ED" w14:textId="62024BF3" w:rsidR="00624C74" w:rsidRPr="00B01F9E" w:rsidRDefault="009F1F82" w:rsidP="00163CA6">
      <w:pPr>
        <w:pStyle w:val="Heading2"/>
        <w:spacing w:before="0" w:after="120"/>
        <w:rPr>
          <w:rFonts w:ascii="Arial" w:hAnsi="Arial" w:cs="Arial"/>
          <w:b/>
          <w:bCs/>
          <w:color w:val="009BBF"/>
          <w:sz w:val="20"/>
          <w:szCs w:val="20"/>
        </w:rPr>
      </w:pPr>
      <w:bookmarkStart w:id="386" w:name="_Toc177137023"/>
      <w:r w:rsidRPr="00B01F9E">
        <w:rPr>
          <w:rFonts w:ascii="Arial" w:hAnsi="Arial" w:cs="Arial"/>
          <w:b/>
          <w:color w:val="009BBF"/>
          <w:sz w:val="20"/>
          <w:szCs w:val="20"/>
        </w:rPr>
        <w:lastRenderedPageBreak/>
        <w:t>5</w:t>
      </w:r>
      <w:r w:rsidR="00624C74" w:rsidRPr="00B01F9E">
        <w:rPr>
          <w:rFonts w:ascii="Arial" w:hAnsi="Arial" w:cs="Arial"/>
          <w:b/>
          <w:color w:val="009BBF"/>
          <w:sz w:val="20"/>
          <w:szCs w:val="20"/>
        </w:rPr>
        <w:t>.4</w:t>
      </w:r>
      <w:r w:rsidR="00EC24DC" w:rsidRPr="00B01F9E">
        <w:rPr>
          <w:rFonts w:ascii="Arial" w:hAnsi="Arial" w:cs="Arial"/>
          <w:b/>
          <w:color w:val="009BBF"/>
          <w:sz w:val="20"/>
          <w:szCs w:val="20"/>
        </w:rPr>
        <w:t xml:space="preserve"> ANF</w:t>
      </w:r>
      <w:r w:rsidR="00624C74" w:rsidRPr="00B01F9E">
        <w:rPr>
          <w:rFonts w:ascii="Arial" w:hAnsi="Arial" w:cs="Arial"/>
          <w:b/>
          <w:color w:val="009BBF"/>
          <w:sz w:val="20"/>
          <w:szCs w:val="20"/>
        </w:rPr>
        <w:t xml:space="preserve"> Lessons Learned</w:t>
      </w:r>
      <w:bookmarkEnd w:id="386"/>
      <w:r w:rsidR="00624C74" w:rsidRPr="00B01F9E">
        <w:rPr>
          <w:rFonts w:ascii="Arial" w:hAnsi="Arial" w:cs="Arial"/>
          <w:b/>
          <w:bCs/>
          <w:color w:val="009BBF"/>
          <w:sz w:val="20"/>
          <w:szCs w:val="20"/>
        </w:rPr>
        <w:t xml:space="preserve"> </w:t>
      </w:r>
    </w:p>
    <w:p w14:paraId="439987AE" w14:textId="50DACCF9" w:rsidR="00325C56" w:rsidRPr="00B01F9E" w:rsidRDefault="00325C56" w:rsidP="00163CA6">
      <w:pPr>
        <w:spacing w:after="120"/>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t xml:space="preserve">The exercise to develop the ANF Request and Performance Statement </w:t>
      </w:r>
      <w:r w:rsidR="001521B8" w:rsidRPr="00B01F9E">
        <w:rPr>
          <w:rFonts w:ascii="Arial" w:eastAsia="Calibri" w:hAnsi="Arial" w:cs="Arial"/>
          <w:color w:val="000000"/>
          <w:kern w:val="2"/>
          <w:sz w:val="20"/>
          <w:szCs w:val="20"/>
          <w14:ligatures w14:val="standardContextual"/>
        </w:rPr>
        <w:t xml:space="preserve">ANF </w:t>
      </w:r>
      <w:r w:rsidRPr="00B01F9E">
        <w:rPr>
          <w:rFonts w:ascii="Arial" w:eastAsia="Calibri" w:hAnsi="Arial" w:cs="Arial"/>
          <w:color w:val="000000"/>
          <w:kern w:val="2"/>
          <w:sz w:val="20"/>
          <w:szCs w:val="20"/>
          <w14:ligatures w14:val="standardContextual"/>
        </w:rPr>
        <w:t xml:space="preserve">data elements for multiple anatomic pathology and clinical pathology use cases led to two conclusions. First, the concept of ANF is applicable to both anatomic pathology and clinical pathology. However, there were terms derived from the user guide that produced a lack of consensus when applied to the laboratory use cases. </w:t>
      </w:r>
      <w:r w:rsidR="000D4BE1" w:rsidRPr="00B01F9E">
        <w:rPr>
          <w:rFonts w:ascii="Arial" w:eastAsia="Calibri" w:hAnsi="Arial" w:cs="Arial"/>
          <w:color w:val="000000"/>
          <w:kern w:val="2"/>
          <w:sz w:val="20"/>
          <w:szCs w:val="20"/>
          <w14:ligatures w14:val="standardContextual"/>
        </w:rPr>
        <w:t xml:space="preserve">This was </w:t>
      </w:r>
      <w:r w:rsidRPr="00B01F9E">
        <w:rPr>
          <w:rFonts w:ascii="Arial" w:eastAsia="Calibri" w:hAnsi="Arial" w:cs="Arial"/>
          <w:color w:val="000000"/>
          <w:kern w:val="2"/>
          <w:sz w:val="20"/>
          <w:szCs w:val="20"/>
          <w14:ligatures w14:val="standardContextual"/>
        </w:rPr>
        <w:t>particularly</w:t>
      </w:r>
      <w:r w:rsidR="000D4BE1" w:rsidRPr="00B01F9E">
        <w:rPr>
          <w:rFonts w:ascii="Arial" w:eastAsia="Calibri" w:hAnsi="Arial" w:cs="Arial"/>
          <w:color w:val="000000"/>
          <w:kern w:val="2"/>
          <w:sz w:val="20"/>
          <w:szCs w:val="20"/>
          <w14:ligatures w14:val="standardContextual"/>
        </w:rPr>
        <w:t xml:space="preserve"> evident</w:t>
      </w:r>
      <w:r w:rsidRPr="00B01F9E">
        <w:rPr>
          <w:rFonts w:ascii="Arial" w:eastAsia="Calibri" w:hAnsi="Arial" w:cs="Arial"/>
          <w:color w:val="000000"/>
          <w:kern w:val="2"/>
          <w:sz w:val="20"/>
          <w:szCs w:val="20"/>
          <w14:ligatures w14:val="standardContextual"/>
        </w:rPr>
        <w:t xml:space="preserve"> when discussing the meaning of “</w:t>
      </w:r>
      <w:r w:rsidR="006307BD" w:rsidRPr="00B01F9E">
        <w:rPr>
          <w:rFonts w:ascii="Arial" w:eastAsia="Calibri" w:hAnsi="Arial" w:cs="Arial"/>
          <w:color w:val="000000"/>
          <w:kern w:val="2"/>
          <w:sz w:val="20"/>
          <w:szCs w:val="20"/>
          <w14:ligatures w14:val="standardContextual"/>
        </w:rPr>
        <w:t>T</w:t>
      </w:r>
      <w:r w:rsidRPr="00B01F9E">
        <w:rPr>
          <w:rFonts w:ascii="Arial" w:eastAsia="Calibri" w:hAnsi="Arial" w:cs="Arial"/>
          <w:color w:val="000000"/>
          <w:kern w:val="2"/>
          <w:sz w:val="20"/>
          <w:szCs w:val="20"/>
          <w14:ligatures w14:val="standardContextual"/>
        </w:rPr>
        <w:t>echnique” versus “</w:t>
      </w:r>
      <w:r w:rsidR="006307BD" w:rsidRPr="00B01F9E">
        <w:rPr>
          <w:rFonts w:ascii="Arial" w:eastAsia="Calibri" w:hAnsi="Arial" w:cs="Arial"/>
          <w:color w:val="000000"/>
          <w:kern w:val="2"/>
          <w:sz w:val="20"/>
          <w:szCs w:val="20"/>
          <w14:ligatures w14:val="standardContextual"/>
        </w:rPr>
        <w:t>M</w:t>
      </w:r>
      <w:r w:rsidRPr="00B01F9E">
        <w:rPr>
          <w:rFonts w:ascii="Arial" w:eastAsia="Calibri" w:hAnsi="Arial" w:cs="Arial"/>
          <w:color w:val="000000"/>
          <w:kern w:val="2"/>
          <w:sz w:val="20"/>
          <w:szCs w:val="20"/>
          <w14:ligatures w14:val="standardContextual"/>
        </w:rPr>
        <w:t>ethod” and “</w:t>
      </w:r>
      <w:r w:rsidR="006307BD" w:rsidRPr="00B01F9E">
        <w:rPr>
          <w:rFonts w:ascii="Arial" w:eastAsia="Calibri" w:hAnsi="Arial" w:cs="Arial"/>
          <w:color w:val="000000"/>
          <w:kern w:val="2"/>
          <w:sz w:val="20"/>
          <w:szCs w:val="20"/>
          <w14:ligatures w14:val="standardContextual"/>
        </w:rPr>
        <w:t>T</w:t>
      </w:r>
      <w:r w:rsidRPr="00B01F9E">
        <w:rPr>
          <w:rFonts w:ascii="Arial" w:eastAsia="Calibri" w:hAnsi="Arial" w:cs="Arial"/>
          <w:color w:val="000000"/>
          <w:kern w:val="2"/>
          <w:sz w:val="20"/>
          <w:szCs w:val="20"/>
          <w14:ligatures w14:val="standardContextual"/>
        </w:rPr>
        <w:t>arget” versus “</w:t>
      </w:r>
      <w:r w:rsidR="006307BD" w:rsidRPr="00B01F9E">
        <w:rPr>
          <w:rFonts w:ascii="Arial" w:eastAsia="Calibri" w:hAnsi="Arial" w:cs="Arial"/>
          <w:color w:val="000000"/>
          <w:kern w:val="2"/>
          <w:sz w:val="20"/>
          <w:szCs w:val="20"/>
          <w14:ligatures w14:val="standardContextual"/>
        </w:rPr>
        <w:t>C</w:t>
      </w:r>
      <w:r w:rsidRPr="00B01F9E">
        <w:rPr>
          <w:rFonts w:ascii="Arial" w:eastAsia="Calibri" w:hAnsi="Arial" w:cs="Arial"/>
          <w:color w:val="000000"/>
          <w:kern w:val="2"/>
          <w:sz w:val="20"/>
          <w:szCs w:val="20"/>
          <w14:ligatures w14:val="standardContextual"/>
        </w:rPr>
        <w:t>omponent”.</w:t>
      </w:r>
    </w:p>
    <w:p w14:paraId="2662DF78" w14:textId="3AFEBEBA" w:rsidR="00325C56" w:rsidRPr="00B01F9E" w:rsidRDefault="00325C56" w:rsidP="00163CA6">
      <w:pPr>
        <w:spacing w:after="120"/>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t>The divergence was attributed to two factors. Terms such as “</w:t>
      </w:r>
      <w:r w:rsidR="00B63A39" w:rsidRPr="00B01F9E">
        <w:rPr>
          <w:rFonts w:ascii="Arial" w:eastAsia="Calibri" w:hAnsi="Arial" w:cs="Arial"/>
          <w:color w:val="000000"/>
          <w:kern w:val="2"/>
          <w:sz w:val="20"/>
          <w:szCs w:val="20"/>
          <w14:ligatures w14:val="standardContextual"/>
        </w:rPr>
        <w:t>T</w:t>
      </w:r>
      <w:r w:rsidRPr="00B01F9E">
        <w:rPr>
          <w:rFonts w:ascii="Arial" w:eastAsia="Calibri" w:hAnsi="Arial" w:cs="Arial"/>
          <w:color w:val="000000"/>
          <w:kern w:val="2"/>
          <w:sz w:val="20"/>
          <w:szCs w:val="20"/>
          <w14:ligatures w14:val="standardContextual"/>
        </w:rPr>
        <w:t>echnique” and “</w:t>
      </w:r>
      <w:r w:rsidR="00B63A39" w:rsidRPr="00B01F9E">
        <w:rPr>
          <w:rFonts w:ascii="Arial" w:eastAsia="Calibri" w:hAnsi="Arial" w:cs="Arial"/>
          <w:color w:val="000000"/>
          <w:kern w:val="2"/>
          <w:sz w:val="20"/>
          <w:szCs w:val="20"/>
          <w14:ligatures w14:val="standardContextual"/>
        </w:rPr>
        <w:t>T</w:t>
      </w:r>
      <w:r w:rsidRPr="00B01F9E">
        <w:rPr>
          <w:rFonts w:ascii="Arial" w:eastAsia="Calibri" w:hAnsi="Arial" w:cs="Arial"/>
          <w:color w:val="000000"/>
          <w:kern w:val="2"/>
          <w:sz w:val="20"/>
          <w:szCs w:val="20"/>
          <w14:ligatures w14:val="standardContextual"/>
        </w:rPr>
        <w:t>arget” are routinely used in the laboratory and therefore elicit implicit bias in their interpretation. Additionally, they are not captured discretely in current pathology LI</w:t>
      </w:r>
      <w:r w:rsidR="005D1AD3" w:rsidRPr="00B01F9E">
        <w:rPr>
          <w:rFonts w:ascii="Arial" w:eastAsia="Calibri" w:hAnsi="Arial" w:cs="Arial"/>
          <w:color w:val="000000"/>
          <w:kern w:val="2"/>
          <w:sz w:val="20"/>
          <w:szCs w:val="20"/>
          <w14:ligatures w14:val="standardContextual"/>
        </w:rPr>
        <w:t>S</w:t>
      </w:r>
      <w:r w:rsidRPr="00B01F9E">
        <w:rPr>
          <w:rFonts w:ascii="Arial" w:eastAsia="Calibri" w:hAnsi="Arial" w:cs="Arial"/>
          <w:color w:val="000000"/>
          <w:kern w:val="2"/>
          <w:sz w:val="20"/>
          <w:szCs w:val="20"/>
          <w14:ligatures w14:val="standardContextual"/>
        </w:rPr>
        <w:t xml:space="preserve"> and therefore have no precedent to apply a fixed and unique definition. </w:t>
      </w:r>
    </w:p>
    <w:p w14:paraId="3A23C673" w14:textId="627506F8" w:rsidR="00325C56" w:rsidRPr="00B01F9E" w:rsidRDefault="00325C56" w:rsidP="00163CA6">
      <w:pPr>
        <w:spacing w:after="120"/>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t>ANF is a framework for gathering informational elements in a standardized fashion</w:t>
      </w:r>
      <w:r w:rsidR="00846EEB" w:rsidRPr="00B01F9E">
        <w:rPr>
          <w:rFonts w:ascii="Arial" w:eastAsia="Calibri" w:hAnsi="Arial" w:cs="Arial"/>
          <w:color w:val="000000"/>
          <w:kern w:val="2"/>
          <w:sz w:val="20"/>
          <w:szCs w:val="20"/>
          <w14:ligatures w14:val="standardContextual"/>
        </w:rPr>
        <w:t>.</w:t>
      </w:r>
      <w:r w:rsidRPr="00B01F9E">
        <w:rPr>
          <w:rFonts w:ascii="Arial" w:eastAsia="Calibri" w:hAnsi="Arial" w:cs="Arial"/>
          <w:color w:val="000000"/>
          <w:kern w:val="2"/>
          <w:sz w:val="20"/>
          <w:szCs w:val="20"/>
          <w14:ligatures w14:val="standardContextual"/>
        </w:rPr>
        <w:t xml:space="preserve"> </w:t>
      </w:r>
      <w:r w:rsidR="00846EEB" w:rsidRPr="00B01F9E">
        <w:rPr>
          <w:rFonts w:ascii="Arial" w:eastAsia="Calibri" w:hAnsi="Arial" w:cs="Arial"/>
          <w:color w:val="000000"/>
          <w:kern w:val="2"/>
          <w:sz w:val="20"/>
          <w:szCs w:val="20"/>
          <w14:ligatures w14:val="standardContextual"/>
        </w:rPr>
        <w:t>T</w:t>
      </w:r>
      <w:r w:rsidRPr="00B01F9E">
        <w:rPr>
          <w:rFonts w:ascii="Arial" w:eastAsia="Calibri" w:hAnsi="Arial" w:cs="Arial"/>
          <w:color w:val="000000"/>
          <w:kern w:val="2"/>
          <w:sz w:val="20"/>
          <w:szCs w:val="20"/>
          <w14:ligatures w14:val="standardContextual"/>
        </w:rPr>
        <w:t>herefore</w:t>
      </w:r>
      <w:r w:rsidR="00846EEB" w:rsidRPr="00B01F9E">
        <w:rPr>
          <w:rFonts w:ascii="Arial" w:eastAsia="Calibri" w:hAnsi="Arial" w:cs="Arial"/>
          <w:color w:val="000000"/>
          <w:kern w:val="2"/>
          <w:sz w:val="20"/>
          <w:szCs w:val="20"/>
          <w14:ligatures w14:val="standardContextual"/>
        </w:rPr>
        <w:t>,</w:t>
      </w:r>
      <w:r w:rsidRPr="00B01F9E">
        <w:rPr>
          <w:rFonts w:ascii="Arial" w:eastAsia="Calibri" w:hAnsi="Arial" w:cs="Arial"/>
          <w:color w:val="000000"/>
          <w:kern w:val="2"/>
          <w:sz w:val="20"/>
          <w:szCs w:val="20"/>
          <w14:ligatures w14:val="standardContextual"/>
        </w:rPr>
        <w:t xml:space="preserve"> the terms need to be of sufficient clarity to guide future ANF users on how best to encode the </w:t>
      </w:r>
      <w:r w:rsidR="001521B8" w:rsidRPr="00B01F9E">
        <w:rPr>
          <w:rFonts w:ascii="Arial" w:eastAsia="Calibri" w:hAnsi="Arial" w:cs="Arial"/>
          <w:color w:val="000000"/>
          <w:kern w:val="2"/>
          <w:sz w:val="20"/>
          <w:szCs w:val="20"/>
          <w14:ligatures w14:val="standardContextual"/>
        </w:rPr>
        <w:t xml:space="preserve">ANF </w:t>
      </w:r>
      <w:r w:rsidRPr="00B01F9E">
        <w:rPr>
          <w:rFonts w:ascii="Arial" w:eastAsia="Calibri" w:hAnsi="Arial" w:cs="Arial"/>
          <w:color w:val="000000"/>
          <w:kern w:val="2"/>
          <w:sz w:val="20"/>
          <w:szCs w:val="20"/>
          <w14:ligatures w14:val="standardContextual"/>
        </w:rPr>
        <w:t>data elements and identify what pieces of information would suffice to represent them. The intent of ANF is to be broadly applied and act as an intuitive model across many medical disciplines. Ideally, it would be achieved by automated population of the fields from the medical record systems, including pathology LIS. The team’s efforts were most successful when considering WHO, WHAT, WHEN, WHERE, WHY, and HOW (W</w:t>
      </w:r>
      <w:r w:rsidRPr="00B01F9E">
        <w:rPr>
          <w:rFonts w:ascii="Arial" w:eastAsia="Calibri" w:hAnsi="Arial" w:cs="Arial"/>
          <w:color w:val="000000"/>
          <w:kern w:val="2"/>
          <w:sz w:val="20"/>
          <w:szCs w:val="20"/>
          <w:vertAlign w:val="subscript"/>
          <w14:ligatures w14:val="standardContextual"/>
        </w:rPr>
        <w:t>5</w:t>
      </w:r>
      <w:r w:rsidRPr="00B01F9E">
        <w:rPr>
          <w:rFonts w:ascii="Arial" w:eastAsia="Calibri" w:hAnsi="Arial" w:cs="Arial"/>
          <w:color w:val="000000"/>
          <w:kern w:val="2"/>
          <w:sz w:val="20"/>
          <w:szCs w:val="20"/>
          <w14:ligatures w14:val="standardContextual"/>
        </w:rPr>
        <w:t xml:space="preserve">H) as the overarching </w:t>
      </w:r>
      <w:r w:rsidR="001B16F8" w:rsidRPr="00B01F9E">
        <w:rPr>
          <w:rFonts w:ascii="Arial" w:eastAsia="Calibri" w:hAnsi="Arial" w:cs="Arial"/>
          <w:color w:val="000000"/>
          <w:kern w:val="2"/>
          <w:sz w:val="20"/>
          <w:szCs w:val="20"/>
          <w14:ligatures w14:val="standardContextual"/>
        </w:rPr>
        <w:t>questions used to develop the elements</w:t>
      </w:r>
      <w:r w:rsidRPr="00B01F9E">
        <w:rPr>
          <w:rFonts w:ascii="Arial" w:eastAsia="Calibri" w:hAnsi="Arial" w:cs="Arial"/>
          <w:color w:val="000000"/>
          <w:kern w:val="2"/>
          <w:sz w:val="20"/>
          <w:szCs w:val="20"/>
          <w14:ligatures w14:val="standardContextual"/>
        </w:rPr>
        <w:t xml:space="preserve"> of ANF. Each of the AP and CP SMEs were able to generate underlying questions that were more meaningful to the different laboratories and did not conflict. </w:t>
      </w:r>
      <w:r w:rsidR="001521B8" w:rsidRPr="00B01F9E">
        <w:rPr>
          <w:rFonts w:ascii="Arial" w:eastAsia="Calibri" w:hAnsi="Arial" w:cs="Arial"/>
          <w:color w:val="000000"/>
          <w:kern w:val="2"/>
          <w:sz w:val="20"/>
          <w:szCs w:val="20"/>
          <w14:ligatures w14:val="standardContextual"/>
        </w:rPr>
        <w:t>ANF d</w:t>
      </w:r>
      <w:r w:rsidRPr="00B01F9E">
        <w:rPr>
          <w:rFonts w:ascii="Arial" w:eastAsia="Calibri" w:hAnsi="Arial" w:cs="Arial"/>
          <w:color w:val="000000"/>
          <w:kern w:val="2"/>
          <w:sz w:val="20"/>
          <w:szCs w:val="20"/>
          <w14:ligatures w14:val="standardContextual"/>
        </w:rPr>
        <w:t xml:space="preserve">ata elements could be defined uniquely for the appropriate laboratory setting. </w:t>
      </w:r>
    </w:p>
    <w:p w14:paraId="47D529DA" w14:textId="2EF5D092" w:rsidR="00EF47AA" w:rsidRPr="00B01F9E" w:rsidRDefault="00BE573D" w:rsidP="00163CA6">
      <w:pPr>
        <w:spacing w:after="120"/>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t xml:space="preserve">The conclusion at this stage was that while terms and definitions are important for the ANF data model, rules for the appropriate application of the terms are essential for their usage and adoption. These rules need to be developed with clinical and anatomic pathology as well as other medical specialties in mind. </w:t>
      </w:r>
    </w:p>
    <w:p w14:paraId="588D32FA" w14:textId="68740DF6" w:rsidR="008340A1" w:rsidRPr="00B01F9E" w:rsidRDefault="009F1F82" w:rsidP="00163CA6">
      <w:pPr>
        <w:pStyle w:val="Heading3"/>
        <w:spacing w:before="0" w:after="120"/>
        <w:rPr>
          <w:rFonts w:ascii="Arial" w:hAnsi="Arial" w:cs="Arial"/>
          <w:b/>
          <w:color w:val="009BBF"/>
          <w:sz w:val="20"/>
          <w:szCs w:val="20"/>
        </w:rPr>
      </w:pPr>
      <w:bookmarkStart w:id="387" w:name="_Toc177137024"/>
      <w:r w:rsidRPr="00B01F9E">
        <w:rPr>
          <w:rFonts w:ascii="Arial" w:hAnsi="Arial" w:cs="Arial"/>
          <w:b/>
          <w:color w:val="009BBF"/>
          <w:sz w:val="20"/>
          <w:szCs w:val="20"/>
        </w:rPr>
        <w:t>5</w:t>
      </w:r>
      <w:r w:rsidR="00F343DB" w:rsidRPr="00B01F9E">
        <w:rPr>
          <w:rFonts w:ascii="Arial" w:hAnsi="Arial" w:cs="Arial"/>
          <w:b/>
          <w:color w:val="009BBF"/>
          <w:sz w:val="20"/>
          <w:szCs w:val="20"/>
        </w:rPr>
        <w:t>.4.1 Recommended Next Steps</w:t>
      </w:r>
      <w:bookmarkEnd w:id="387"/>
      <w:r w:rsidR="00F343DB" w:rsidRPr="00B01F9E">
        <w:rPr>
          <w:rFonts w:ascii="Arial" w:hAnsi="Arial" w:cs="Arial"/>
          <w:b/>
          <w:color w:val="009BBF"/>
          <w:sz w:val="20"/>
          <w:szCs w:val="20"/>
        </w:rPr>
        <w:t xml:space="preserve"> </w:t>
      </w:r>
    </w:p>
    <w:p w14:paraId="02A93DCD" w14:textId="78420702" w:rsidR="007F1E03" w:rsidRPr="00B01F9E" w:rsidRDefault="008340A1" w:rsidP="00163CA6">
      <w:pPr>
        <w:spacing w:after="120"/>
        <w:rPr>
          <w:rFonts w:ascii="Arial" w:eastAsia="Calibri" w:hAnsi="Arial" w:cs="Arial"/>
          <w:color w:val="000000"/>
          <w:kern w:val="2"/>
          <w:sz w:val="20"/>
          <w:szCs w:val="20"/>
          <w14:ligatures w14:val="standardContextual"/>
        </w:rPr>
      </w:pPr>
      <w:r w:rsidRPr="00B01F9E">
        <w:rPr>
          <w:rFonts w:ascii="Arial" w:eastAsia="Calibri" w:hAnsi="Arial" w:cs="Arial"/>
          <w:kern w:val="2"/>
          <w:sz w:val="20"/>
          <w:szCs w:val="20"/>
          <w14:ligatures w14:val="standardContextual"/>
        </w:rPr>
        <w:t xml:space="preserve">The CAP </w:t>
      </w:r>
      <w:r w:rsidR="006C0C4F" w:rsidRPr="00B01F9E">
        <w:rPr>
          <w:rFonts w:ascii="Arial" w:eastAsia="Calibri" w:hAnsi="Arial" w:cs="Arial"/>
          <w:kern w:val="2"/>
          <w:sz w:val="20"/>
          <w:szCs w:val="20"/>
          <w14:ligatures w14:val="standardContextual"/>
        </w:rPr>
        <w:t>has</w:t>
      </w:r>
      <w:r w:rsidRPr="00B01F9E">
        <w:rPr>
          <w:rFonts w:ascii="Arial" w:eastAsia="Calibri" w:hAnsi="Arial" w:cs="Arial"/>
          <w:kern w:val="2"/>
          <w:sz w:val="20"/>
          <w:szCs w:val="20"/>
          <w14:ligatures w14:val="standardContextual"/>
        </w:rPr>
        <w:t xml:space="preserve"> transfer</w:t>
      </w:r>
      <w:r w:rsidR="006C0C4F" w:rsidRPr="00B01F9E">
        <w:rPr>
          <w:rFonts w:ascii="Arial" w:eastAsia="Calibri" w:hAnsi="Arial" w:cs="Arial"/>
          <w:kern w:val="2"/>
          <w:sz w:val="20"/>
          <w:szCs w:val="20"/>
          <w14:ligatures w14:val="standardContextual"/>
        </w:rPr>
        <w:t>red</w:t>
      </w:r>
      <w:r w:rsidRPr="00B01F9E">
        <w:rPr>
          <w:rFonts w:ascii="Arial" w:eastAsia="Calibri" w:hAnsi="Arial" w:cs="Arial"/>
          <w:kern w:val="2"/>
          <w:sz w:val="20"/>
          <w:szCs w:val="20"/>
          <w14:ligatures w14:val="standardContextual"/>
        </w:rPr>
        <w:t xml:space="preserve"> the clinical narratives to the FDA and other contributors</w:t>
      </w:r>
      <w:r w:rsidR="001A6304" w:rsidRPr="00B01F9E">
        <w:rPr>
          <w:rFonts w:ascii="Arial" w:eastAsia="Calibri" w:hAnsi="Arial" w:cs="Arial"/>
          <w:kern w:val="2"/>
          <w:sz w:val="20"/>
          <w:szCs w:val="20"/>
          <w14:ligatures w14:val="standardContextual"/>
        </w:rPr>
        <w:t xml:space="preserve"> to </w:t>
      </w:r>
      <w:r w:rsidRPr="00B01F9E">
        <w:rPr>
          <w:rFonts w:ascii="Arial" w:eastAsia="Calibri" w:hAnsi="Arial" w:cs="Arial"/>
          <w:kern w:val="2"/>
          <w:sz w:val="20"/>
          <w:szCs w:val="20"/>
          <w14:ligatures w14:val="standardContextual"/>
        </w:rPr>
        <w:t>serve as a foundational tool for refining ANF statements.</w:t>
      </w:r>
      <w:r w:rsidR="00115DA4" w:rsidRPr="00B01F9E">
        <w:rPr>
          <w:rFonts w:ascii="Arial" w:eastAsia="Calibri" w:hAnsi="Arial" w:cs="Arial"/>
          <w:kern w:val="2"/>
          <w:sz w:val="20"/>
          <w:szCs w:val="20"/>
          <w14:ligatures w14:val="standardContextual"/>
        </w:rPr>
        <w:t xml:space="preserve"> The CAP recommends that</w:t>
      </w:r>
      <w:r w:rsidRPr="00B01F9E">
        <w:rPr>
          <w:rFonts w:ascii="Arial" w:eastAsia="Calibri" w:hAnsi="Arial" w:cs="Arial"/>
          <w:kern w:val="2"/>
          <w:sz w:val="20"/>
          <w:szCs w:val="20"/>
          <w14:ligatures w14:val="standardContextual"/>
        </w:rPr>
        <w:t xml:space="preserve"> </w:t>
      </w:r>
      <w:r w:rsidR="00115DA4" w:rsidRPr="00B01F9E">
        <w:rPr>
          <w:rFonts w:ascii="Arial" w:eastAsia="Calibri" w:hAnsi="Arial" w:cs="Arial"/>
          <w:kern w:val="2"/>
          <w:sz w:val="20"/>
          <w:szCs w:val="20"/>
          <w14:ligatures w14:val="standardContextual"/>
        </w:rPr>
        <w:t>p</w:t>
      </w:r>
      <w:r w:rsidR="00411629" w:rsidRPr="00B01F9E">
        <w:rPr>
          <w:rFonts w:ascii="Arial" w:eastAsia="Calibri" w:hAnsi="Arial" w:cs="Arial"/>
          <w:kern w:val="2"/>
          <w:sz w:val="20"/>
          <w:szCs w:val="20"/>
          <w14:ligatures w14:val="standardContextual"/>
        </w:rPr>
        <w:t xml:space="preserve">athologists and laboratory SMEs be embedded in ANF development teams moving forward </w:t>
      </w:r>
      <w:r w:rsidR="00411629" w:rsidRPr="00B01F9E">
        <w:rPr>
          <w:rFonts w:ascii="Arial" w:eastAsia="Calibri" w:hAnsi="Arial" w:cs="Arial"/>
          <w:color w:val="000000"/>
          <w:kern w:val="2"/>
          <w:sz w:val="20"/>
          <w:szCs w:val="20"/>
          <w14:ligatures w14:val="standardContextual"/>
        </w:rPr>
        <w:t xml:space="preserve">to ensure applicability to both clinical and anatomic pathology. </w:t>
      </w:r>
    </w:p>
    <w:p w14:paraId="1813CA4B" w14:textId="77777777" w:rsidR="007F1E03" w:rsidRPr="00B01F9E" w:rsidRDefault="007F1E03">
      <w:pPr>
        <w:rPr>
          <w:rFonts w:ascii="Arial" w:eastAsia="Calibri" w:hAnsi="Arial" w:cs="Arial"/>
          <w:color w:val="000000"/>
          <w:kern w:val="2"/>
          <w:sz w:val="20"/>
          <w:szCs w:val="20"/>
          <w14:ligatures w14:val="standardContextual"/>
        </w:rPr>
      </w:pPr>
      <w:r w:rsidRPr="00B01F9E">
        <w:rPr>
          <w:rFonts w:ascii="Arial" w:eastAsia="Calibri" w:hAnsi="Arial" w:cs="Arial"/>
          <w:color w:val="000000"/>
          <w:kern w:val="2"/>
          <w:sz w:val="20"/>
          <w:szCs w:val="20"/>
          <w14:ligatures w14:val="standardContextual"/>
        </w:rPr>
        <w:br w:type="page"/>
      </w:r>
    </w:p>
    <w:p w14:paraId="78622D1F" w14:textId="10D36F68" w:rsidR="00E130A6" w:rsidRPr="00B01F9E" w:rsidRDefault="006E7EA5" w:rsidP="007E7BDD">
      <w:pPr>
        <w:pStyle w:val="Heading1"/>
        <w:numPr>
          <w:ilvl w:val="0"/>
          <w:numId w:val="60"/>
        </w:numPr>
        <w:spacing w:after="120"/>
        <w:ind w:left="270" w:hanging="270"/>
        <w:rPr>
          <w:color w:val="009ABF" w:themeColor="text1"/>
          <w:sz w:val="20"/>
          <w:szCs w:val="20"/>
        </w:rPr>
      </w:pPr>
      <w:bookmarkStart w:id="388" w:name="_Toc177137025"/>
      <w:r w:rsidRPr="00B01F9E">
        <w:rPr>
          <w:color w:val="009ABF" w:themeColor="text1"/>
          <w:sz w:val="20"/>
          <w:szCs w:val="20"/>
        </w:rPr>
        <w:lastRenderedPageBreak/>
        <w:t>REFERENCES</w:t>
      </w:r>
      <w:bookmarkEnd w:id="388"/>
    </w:p>
    <w:p w14:paraId="09100102"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Centers for Disease Control and Prevention. LOINC In Vitro Diagnostic (LIVD) Test Code Mapping. https://www.cdc.gov/csels/dls/livd-codes.html. Published 2024. Accessed date unknown.</w:t>
      </w:r>
    </w:p>
    <w:p w14:paraId="46035662"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proofErr w:type="spellStart"/>
      <w:r w:rsidRPr="00B01F9E">
        <w:rPr>
          <w:rFonts w:ascii="Arial" w:hAnsi="Arial" w:cs="Arial"/>
          <w:sz w:val="20"/>
          <w:szCs w:val="20"/>
        </w:rPr>
        <w:t>Regenstrief</w:t>
      </w:r>
      <w:proofErr w:type="spellEnd"/>
      <w:r w:rsidRPr="00B01F9E">
        <w:rPr>
          <w:rFonts w:ascii="Arial" w:hAnsi="Arial" w:cs="Arial"/>
          <w:sz w:val="20"/>
          <w:szCs w:val="20"/>
        </w:rPr>
        <w:t xml:space="preserve"> Institute. The international standard for identifying health measurements, observations, and documents. LOINC from </w:t>
      </w:r>
      <w:proofErr w:type="spellStart"/>
      <w:r w:rsidRPr="00B01F9E">
        <w:rPr>
          <w:rFonts w:ascii="Arial" w:hAnsi="Arial" w:cs="Arial"/>
          <w:sz w:val="20"/>
          <w:szCs w:val="20"/>
        </w:rPr>
        <w:t>Regenstrief</w:t>
      </w:r>
      <w:proofErr w:type="spellEnd"/>
      <w:r w:rsidRPr="00B01F9E">
        <w:rPr>
          <w:rFonts w:ascii="Arial" w:hAnsi="Arial" w:cs="Arial"/>
          <w:sz w:val="20"/>
          <w:szCs w:val="20"/>
        </w:rPr>
        <w:t>. https://loinc.org/. Published 2024. Accessed date unknown.</w:t>
      </w:r>
    </w:p>
    <w:p w14:paraId="0915D156"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SNOMED International. SNOMED CT Browser. https://browser.ihtsdotools.org/?perspective=full&amp;conceptId1=404684003&amp;edition=MAIN/SNOMEDCT-US/2024-03-01&amp;release=&amp;languages=en. Published 2024. Accessed date unknown.</w:t>
      </w:r>
    </w:p>
    <w:p w14:paraId="250C7AA7"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 xml:space="preserve">National Library of Medicine. </w:t>
      </w:r>
      <w:proofErr w:type="spellStart"/>
      <w:r w:rsidRPr="00B01F9E">
        <w:rPr>
          <w:rFonts w:ascii="Arial" w:hAnsi="Arial" w:cs="Arial"/>
          <w:sz w:val="20"/>
          <w:szCs w:val="20"/>
        </w:rPr>
        <w:t>AccessGUDID</w:t>
      </w:r>
      <w:proofErr w:type="spellEnd"/>
      <w:r w:rsidRPr="00B01F9E">
        <w:rPr>
          <w:rFonts w:ascii="Arial" w:hAnsi="Arial" w:cs="Arial"/>
          <w:sz w:val="20"/>
          <w:szCs w:val="20"/>
        </w:rPr>
        <w:t>. https://accessgudid.nlm.nih.gov/. Published 2024. Accessed date unknown.</w:t>
      </w:r>
    </w:p>
    <w:p w14:paraId="6ACA2B29"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Nichols E. Ultimate Guide to UDI for Medical Devices. Greenlight Guru. https://www.greenlight.guru/blog/udi-medical-devices. Published 2022. Accessed date unknown.</w:t>
      </w:r>
    </w:p>
    <w:p w14:paraId="68E6C392" w14:textId="3D08C392"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Health Level Seven International. HL7 CIMI Logical Model for Analysis: Analysis Normal Form (ANF), Release 1. HL7 Informative Ballot. Clinical Decision Support Work Group. Published 2019.</w:t>
      </w:r>
    </w:p>
    <w:p w14:paraId="77E9A5A8"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Campbell KE, M, PhD. Building Analysis Normal Form (ANF) Clinical Statements. US Department of Veterans Affairs. April 2021.</w:t>
      </w:r>
    </w:p>
    <w:p w14:paraId="59851444" w14:textId="33DDFCCB"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Health Level Seven International. HL7 CIMI Logical Model for Analysis: Analysis Normal Form (ANF), Release 1. HL7 Informative Publication. Clinical Decision Support Work Group. https://www.hl7.org/. Published 2020. Accessed date unknown.</w:t>
      </w:r>
    </w:p>
    <w:p w14:paraId="616766D1"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 xml:space="preserve">Chang A, Gibson IW, Cohen AH, et al. A position paper on standardizing the nonneoplastic kidney biopsy report. Hum </w:t>
      </w:r>
      <w:proofErr w:type="spellStart"/>
      <w:r w:rsidRPr="00B01F9E">
        <w:rPr>
          <w:rFonts w:ascii="Arial" w:hAnsi="Arial" w:cs="Arial"/>
          <w:sz w:val="20"/>
          <w:szCs w:val="20"/>
        </w:rPr>
        <w:t>Pathol</w:t>
      </w:r>
      <w:proofErr w:type="spellEnd"/>
      <w:r w:rsidRPr="00B01F9E">
        <w:rPr>
          <w:rFonts w:ascii="Arial" w:hAnsi="Arial" w:cs="Arial"/>
          <w:sz w:val="20"/>
          <w:szCs w:val="20"/>
        </w:rPr>
        <w:t xml:space="preserve">. </w:t>
      </w:r>
      <w:proofErr w:type="gramStart"/>
      <w:r w:rsidRPr="00B01F9E">
        <w:rPr>
          <w:rFonts w:ascii="Arial" w:hAnsi="Arial" w:cs="Arial"/>
          <w:sz w:val="20"/>
          <w:szCs w:val="20"/>
        </w:rPr>
        <w:t>2012;43:1192</w:t>
      </w:r>
      <w:proofErr w:type="gramEnd"/>
      <w:r w:rsidRPr="00B01F9E">
        <w:rPr>
          <w:rFonts w:ascii="Arial" w:hAnsi="Arial" w:cs="Arial"/>
          <w:sz w:val="20"/>
          <w:szCs w:val="20"/>
        </w:rPr>
        <w:t>-1196.</w:t>
      </w:r>
    </w:p>
    <w:p w14:paraId="56E05244"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 xml:space="preserve">Walker P, Cavallo T, </w:t>
      </w:r>
      <w:proofErr w:type="spellStart"/>
      <w:r w:rsidRPr="00B01F9E">
        <w:rPr>
          <w:rFonts w:ascii="Arial" w:hAnsi="Arial" w:cs="Arial"/>
          <w:sz w:val="20"/>
          <w:szCs w:val="20"/>
        </w:rPr>
        <w:t>Bonsib</w:t>
      </w:r>
      <w:proofErr w:type="spellEnd"/>
      <w:r w:rsidRPr="00B01F9E">
        <w:rPr>
          <w:rFonts w:ascii="Arial" w:hAnsi="Arial" w:cs="Arial"/>
          <w:sz w:val="20"/>
          <w:szCs w:val="20"/>
        </w:rPr>
        <w:t xml:space="preserve"> S, et al. Practice guidelines for the renal biopsy. Mod </w:t>
      </w:r>
      <w:proofErr w:type="spellStart"/>
      <w:r w:rsidRPr="00B01F9E">
        <w:rPr>
          <w:rFonts w:ascii="Arial" w:hAnsi="Arial" w:cs="Arial"/>
          <w:sz w:val="20"/>
          <w:szCs w:val="20"/>
        </w:rPr>
        <w:t>Pathol</w:t>
      </w:r>
      <w:proofErr w:type="spellEnd"/>
      <w:r w:rsidRPr="00B01F9E">
        <w:rPr>
          <w:rFonts w:ascii="Arial" w:hAnsi="Arial" w:cs="Arial"/>
          <w:sz w:val="20"/>
          <w:szCs w:val="20"/>
        </w:rPr>
        <w:t xml:space="preserve">. </w:t>
      </w:r>
      <w:proofErr w:type="gramStart"/>
      <w:r w:rsidRPr="00B01F9E">
        <w:rPr>
          <w:rFonts w:ascii="Arial" w:hAnsi="Arial" w:cs="Arial"/>
          <w:sz w:val="20"/>
          <w:szCs w:val="20"/>
        </w:rPr>
        <w:t>2004;17:1555</w:t>
      </w:r>
      <w:proofErr w:type="gramEnd"/>
      <w:r w:rsidRPr="00B01F9E">
        <w:rPr>
          <w:rFonts w:ascii="Arial" w:hAnsi="Arial" w:cs="Arial"/>
          <w:sz w:val="20"/>
          <w:szCs w:val="20"/>
        </w:rPr>
        <w:t>-1563. https://doi.org/10.1038/modpathol.3800239. Accessed date unknown.</w:t>
      </w:r>
    </w:p>
    <w:p w14:paraId="76C0DB95" w14:textId="77777777" w:rsidR="007E7BDD"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ARUP Laboratories. Comprehensive Kidney Biopsy Workup. https://ltd.aruplab.com/Tests/Pub/2013259. Accessed date unknown.</w:t>
      </w:r>
    </w:p>
    <w:p w14:paraId="5FB4DE02" w14:textId="2145685E" w:rsidR="007F1E03" w:rsidRPr="00B01F9E" w:rsidRDefault="007E7BDD" w:rsidP="000E5FC0">
      <w:pPr>
        <w:pStyle w:val="ListParagraph"/>
        <w:numPr>
          <w:ilvl w:val="0"/>
          <w:numId w:val="96"/>
        </w:numPr>
        <w:spacing w:after="120"/>
        <w:ind w:left="360"/>
        <w:contextualSpacing w:val="0"/>
        <w:rPr>
          <w:rFonts w:ascii="Arial" w:hAnsi="Arial" w:cs="Arial"/>
          <w:sz w:val="20"/>
          <w:szCs w:val="20"/>
        </w:rPr>
      </w:pPr>
      <w:r w:rsidRPr="00B01F9E">
        <w:rPr>
          <w:rFonts w:ascii="Arial" w:hAnsi="Arial" w:cs="Arial"/>
          <w:sz w:val="20"/>
          <w:szCs w:val="20"/>
        </w:rPr>
        <w:t xml:space="preserve">Wilbur DC, Smith ML, Cornell LD, </w:t>
      </w:r>
      <w:proofErr w:type="spellStart"/>
      <w:r w:rsidRPr="00B01F9E">
        <w:rPr>
          <w:rFonts w:ascii="Arial" w:hAnsi="Arial" w:cs="Arial"/>
          <w:sz w:val="20"/>
          <w:szCs w:val="20"/>
        </w:rPr>
        <w:t>Andryushkin</w:t>
      </w:r>
      <w:proofErr w:type="spellEnd"/>
      <w:r w:rsidRPr="00B01F9E">
        <w:rPr>
          <w:rFonts w:ascii="Arial" w:hAnsi="Arial" w:cs="Arial"/>
          <w:sz w:val="20"/>
          <w:szCs w:val="20"/>
        </w:rPr>
        <w:t xml:space="preserve"> A, Pettus JR. Automated identification of glomeruli and </w:t>
      </w:r>
      <w:proofErr w:type="spellStart"/>
      <w:r w:rsidRPr="00B01F9E">
        <w:rPr>
          <w:rFonts w:ascii="Arial" w:hAnsi="Arial" w:cs="Arial"/>
          <w:sz w:val="20"/>
          <w:szCs w:val="20"/>
        </w:rPr>
        <w:t>synchronised</w:t>
      </w:r>
      <w:proofErr w:type="spellEnd"/>
      <w:r w:rsidRPr="00B01F9E">
        <w:rPr>
          <w:rFonts w:ascii="Arial" w:hAnsi="Arial" w:cs="Arial"/>
          <w:sz w:val="20"/>
          <w:szCs w:val="20"/>
        </w:rPr>
        <w:t xml:space="preserve"> review of special stains in renal biopsies by machine learning and slide registration: A cross-institutional study. Histopathology. 2021. https://doi.org/10.1111/his.14376. Accessed date unknown.</w:t>
      </w:r>
    </w:p>
    <w:p w14:paraId="6EA73FBF" w14:textId="14EE9F7B" w:rsidR="007E7BDD" w:rsidRPr="00B01F9E" w:rsidRDefault="007F1E03" w:rsidP="007F1E03">
      <w:pPr>
        <w:rPr>
          <w:rFonts w:ascii="Arial" w:hAnsi="Arial" w:cs="Arial"/>
          <w:sz w:val="20"/>
          <w:szCs w:val="20"/>
        </w:rPr>
      </w:pPr>
      <w:r w:rsidRPr="00B01F9E">
        <w:rPr>
          <w:rFonts w:ascii="Arial" w:hAnsi="Arial" w:cs="Arial"/>
          <w:sz w:val="20"/>
          <w:szCs w:val="20"/>
        </w:rPr>
        <w:br w:type="page"/>
      </w:r>
    </w:p>
    <w:p w14:paraId="1F78C1B0" w14:textId="1BF76C48" w:rsidR="00490A50" w:rsidRPr="00B01F9E" w:rsidRDefault="00BB62D3" w:rsidP="008703EE">
      <w:pPr>
        <w:pStyle w:val="Heading1"/>
        <w:spacing w:after="120"/>
        <w:rPr>
          <w:color w:val="009BBF"/>
          <w:sz w:val="20"/>
          <w:szCs w:val="20"/>
        </w:rPr>
      </w:pPr>
      <w:bookmarkStart w:id="389" w:name="_Toc177137026"/>
      <w:r w:rsidRPr="00B01F9E">
        <w:rPr>
          <w:color w:val="009BBF"/>
          <w:sz w:val="20"/>
          <w:szCs w:val="20"/>
        </w:rPr>
        <w:lastRenderedPageBreak/>
        <w:t>7</w:t>
      </w:r>
      <w:r w:rsidR="00C0123E" w:rsidRPr="00B01F9E">
        <w:rPr>
          <w:color w:val="009BBF"/>
          <w:sz w:val="20"/>
          <w:szCs w:val="20"/>
        </w:rPr>
        <w:t>. APPENDIX</w:t>
      </w:r>
      <w:bookmarkEnd w:id="389"/>
      <w:r w:rsidR="00C0123E" w:rsidRPr="00B01F9E">
        <w:rPr>
          <w:color w:val="009BBF"/>
          <w:sz w:val="20"/>
          <w:szCs w:val="20"/>
        </w:rPr>
        <w:t xml:space="preserve"> </w:t>
      </w:r>
    </w:p>
    <w:p w14:paraId="43A51BEA" w14:textId="27575E31" w:rsidR="009C6A7C" w:rsidRPr="00B01F9E" w:rsidRDefault="00BB62D3" w:rsidP="009C6A7C">
      <w:pPr>
        <w:pStyle w:val="Heading2"/>
        <w:spacing w:before="0" w:after="120"/>
        <w:rPr>
          <w:rFonts w:ascii="Arial" w:hAnsi="Arial" w:cs="Arial"/>
          <w:b/>
          <w:bCs/>
          <w:color w:val="009BBF"/>
          <w:sz w:val="20"/>
          <w:szCs w:val="20"/>
        </w:rPr>
      </w:pPr>
      <w:bookmarkStart w:id="390" w:name="_Toc177137027"/>
      <w:r w:rsidRPr="00B01F9E">
        <w:rPr>
          <w:rFonts w:ascii="Arial" w:hAnsi="Arial" w:cs="Arial"/>
          <w:b/>
          <w:bCs/>
          <w:color w:val="009BBF"/>
          <w:sz w:val="20"/>
          <w:szCs w:val="20"/>
        </w:rPr>
        <w:t>7</w:t>
      </w:r>
      <w:r w:rsidR="009C6A7C" w:rsidRPr="00B01F9E">
        <w:rPr>
          <w:rFonts w:ascii="Arial" w:hAnsi="Arial" w:cs="Arial"/>
          <w:b/>
          <w:bCs/>
          <w:color w:val="009BBF"/>
          <w:sz w:val="20"/>
          <w:szCs w:val="20"/>
        </w:rPr>
        <w:t>.1 Success Metrics</w:t>
      </w:r>
      <w:bookmarkEnd w:id="390"/>
    </w:p>
    <w:p w14:paraId="302CC8C2" w14:textId="77777777" w:rsidR="009C6A7C" w:rsidRPr="00B01F9E" w:rsidRDefault="009C6A7C" w:rsidP="00163CA6">
      <w:pPr>
        <w:spacing w:after="120"/>
        <w:rPr>
          <w:rFonts w:ascii="Arial" w:hAnsi="Arial" w:cs="Arial"/>
          <w:sz w:val="20"/>
          <w:szCs w:val="20"/>
        </w:rPr>
      </w:pPr>
      <w:r w:rsidRPr="00B01F9E">
        <w:rPr>
          <w:rFonts w:ascii="Arial" w:hAnsi="Arial" w:cs="Arial"/>
          <w:sz w:val="20"/>
          <w:szCs w:val="20"/>
        </w:rPr>
        <w:t xml:space="preserve">To guide the Year 2 efforts of the FDA BAA, the CAP established specific success criteria for each task within the project. These success criteria served as essential milestones, ensuring that each phase of the project was completed successfully and in alignment with the overall objectives. </w:t>
      </w:r>
    </w:p>
    <w:p w14:paraId="411E91C5" w14:textId="698AF440" w:rsidR="009C6A7C" w:rsidRPr="00B01F9E" w:rsidRDefault="009C6A7C" w:rsidP="005B0C2B">
      <w:pPr>
        <w:spacing w:after="0"/>
        <w:rPr>
          <w:rFonts w:ascii="Arial" w:hAnsi="Arial" w:cs="Arial"/>
          <w:b/>
          <w:color w:val="009BBF"/>
          <w:sz w:val="20"/>
          <w:szCs w:val="20"/>
        </w:rPr>
      </w:pPr>
      <w:r w:rsidRPr="00B01F9E">
        <w:rPr>
          <w:rFonts w:ascii="Arial" w:hAnsi="Arial" w:cs="Arial"/>
          <w:b/>
          <w:color w:val="009BBF"/>
          <w:sz w:val="20"/>
          <w:szCs w:val="20"/>
        </w:rPr>
        <w:t xml:space="preserve">Table </w:t>
      </w:r>
      <w:r w:rsidR="007430D5" w:rsidRPr="00B01F9E">
        <w:rPr>
          <w:rFonts w:ascii="Arial" w:hAnsi="Arial" w:cs="Arial"/>
          <w:b/>
          <w:color w:val="009BBF"/>
          <w:sz w:val="20"/>
          <w:szCs w:val="20"/>
        </w:rPr>
        <w:t>2</w:t>
      </w:r>
      <w:r w:rsidR="00FF6AE3" w:rsidRPr="00B01F9E">
        <w:rPr>
          <w:rFonts w:ascii="Arial" w:hAnsi="Arial" w:cs="Arial"/>
          <w:b/>
          <w:color w:val="009BBF"/>
          <w:sz w:val="20"/>
          <w:szCs w:val="20"/>
        </w:rPr>
        <w:t>8</w:t>
      </w:r>
      <w:r w:rsidRPr="00B01F9E">
        <w:rPr>
          <w:rFonts w:ascii="Arial" w:hAnsi="Arial" w:cs="Arial"/>
          <w:b/>
          <w:color w:val="009BBF"/>
          <w:sz w:val="20"/>
          <w:szCs w:val="20"/>
        </w:rPr>
        <w:t>: Project Success Metrics</w:t>
      </w:r>
    </w:p>
    <w:tbl>
      <w:tblPr>
        <w:tblStyle w:val="TableGrid"/>
        <w:tblW w:w="0" w:type="auto"/>
        <w:tblLook w:val="04A0" w:firstRow="1" w:lastRow="0" w:firstColumn="1" w:lastColumn="0" w:noHBand="0" w:noVBand="1"/>
      </w:tblPr>
      <w:tblGrid>
        <w:gridCol w:w="1705"/>
        <w:gridCol w:w="4538"/>
        <w:gridCol w:w="3107"/>
      </w:tblGrid>
      <w:tr w:rsidR="009C6A7C" w:rsidRPr="00B01F9E" w14:paraId="1A45C24A" w14:textId="4FD09D3C" w:rsidTr="00F1012A">
        <w:tc>
          <w:tcPr>
            <w:tcW w:w="1705" w:type="dxa"/>
            <w:shd w:val="clear" w:color="auto" w:fill="009BBF"/>
          </w:tcPr>
          <w:p w14:paraId="4CCAFD7F" w14:textId="77777777" w:rsidR="009C6A7C" w:rsidRPr="00B01F9E" w:rsidRDefault="009C6A7C" w:rsidP="00F1012A">
            <w:pPr>
              <w:rPr>
                <w:rFonts w:ascii="Arial" w:hAnsi="Arial" w:cs="Arial"/>
                <w:b/>
                <w:bCs/>
                <w:color w:val="FFFFFF"/>
                <w:sz w:val="20"/>
                <w:szCs w:val="20"/>
              </w:rPr>
            </w:pPr>
            <w:r w:rsidRPr="00B01F9E">
              <w:rPr>
                <w:rFonts w:ascii="Arial" w:hAnsi="Arial" w:cs="Arial"/>
                <w:b/>
                <w:bCs/>
                <w:color w:val="FFFFFF"/>
                <w:sz w:val="20"/>
                <w:szCs w:val="20"/>
              </w:rPr>
              <w:t>Task Name</w:t>
            </w:r>
          </w:p>
        </w:tc>
        <w:tc>
          <w:tcPr>
            <w:tcW w:w="4538" w:type="dxa"/>
            <w:shd w:val="clear" w:color="auto" w:fill="009BBF"/>
          </w:tcPr>
          <w:p w14:paraId="226BBD31" w14:textId="77777777" w:rsidR="009C6A7C" w:rsidRPr="00B01F9E" w:rsidRDefault="009C6A7C" w:rsidP="00F1012A">
            <w:pPr>
              <w:rPr>
                <w:rFonts w:ascii="Arial" w:hAnsi="Arial" w:cs="Arial"/>
                <w:b/>
                <w:bCs/>
                <w:color w:val="FFFFFF"/>
                <w:sz w:val="20"/>
                <w:szCs w:val="20"/>
              </w:rPr>
            </w:pPr>
            <w:r w:rsidRPr="00B01F9E">
              <w:rPr>
                <w:rFonts w:ascii="Arial" w:hAnsi="Arial" w:cs="Arial"/>
                <w:b/>
                <w:bCs/>
                <w:color w:val="FFFFFF"/>
                <w:sz w:val="20"/>
                <w:szCs w:val="20"/>
              </w:rPr>
              <w:t>Success Metrics</w:t>
            </w:r>
          </w:p>
        </w:tc>
        <w:tc>
          <w:tcPr>
            <w:tcW w:w="3107" w:type="dxa"/>
            <w:shd w:val="clear" w:color="auto" w:fill="009BBF"/>
          </w:tcPr>
          <w:p w14:paraId="112CF685" w14:textId="79CE30BD" w:rsidR="009C6A7C" w:rsidRPr="00B01F9E" w:rsidRDefault="0093418C" w:rsidP="00F1012A">
            <w:pPr>
              <w:rPr>
                <w:rFonts w:ascii="Arial" w:hAnsi="Arial" w:cs="Arial"/>
                <w:b/>
                <w:bCs/>
                <w:color w:val="FFFFFF"/>
                <w:sz w:val="20"/>
                <w:szCs w:val="20"/>
              </w:rPr>
            </w:pPr>
            <w:r w:rsidRPr="00B01F9E">
              <w:rPr>
                <w:rFonts w:ascii="Arial" w:hAnsi="Arial" w:cs="Arial"/>
                <w:b/>
                <w:bCs/>
                <w:color w:val="FFFFFF"/>
                <w:sz w:val="20"/>
                <w:szCs w:val="20"/>
              </w:rPr>
              <w:t xml:space="preserve">Link to </w:t>
            </w:r>
            <w:r w:rsidR="00E57143" w:rsidRPr="00B01F9E">
              <w:rPr>
                <w:rFonts w:ascii="Arial" w:hAnsi="Arial" w:cs="Arial"/>
                <w:b/>
                <w:bCs/>
                <w:color w:val="FFFFFF"/>
                <w:sz w:val="20"/>
                <w:szCs w:val="20"/>
              </w:rPr>
              <w:t xml:space="preserve">Section </w:t>
            </w:r>
            <w:r w:rsidRPr="00B01F9E">
              <w:rPr>
                <w:rFonts w:ascii="Arial" w:hAnsi="Arial" w:cs="Arial"/>
                <w:b/>
                <w:bCs/>
                <w:color w:val="FFFFFF"/>
                <w:sz w:val="20"/>
                <w:szCs w:val="20"/>
              </w:rPr>
              <w:t xml:space="preserve">Addressed </w:t>
            </w:r>
          </w:p>
        </w:tc>
      </w:tr>
      <w:tr w:rsidR="009C6A7C" w:rsidRPr="00B01F9E" w14:paraId="21A4CEE8" w14:textId="48F171FE" w:rsidTr="00F1012A">
        <w:tc>
          <w:tcPr>
            <w:tcW w:w="1705" w:type="dxa"/>
          </w:tcPr>
          <w:p w14:paraId="013B6149" w14:textId="77777777" w:rsidR="009C6A7C" w:rsidRPr="00B01F9E" w:rsidRDefault="009C6A7C" w:rsidP="00F1012A">
            <w:pPr>
              <w:rPr>
                <w:rFonts w:ascii="Arial" w:hAnsi="Arial" w:cs="Arial"/>
                <w:sz w:val="20"/>
                <w:szCs w:val="20"/>
              </w:rPr>
            </w:pPr>
            <w:r w:rsidRPr="00B01F9E">
              <w:rPr>
                <w:rFonts w:ascii="Arial" w:hAnsi="Arial" w:cs="Arial"/>
                <w:sz w:val="20"/>
                <w:szCs w:val="20"/>
              </w:rPr>
              <w:t xml:space="preserve">Year 2 – Proof of Concept </w:t>
            </w:r>
          </w:p>
        </w:tc>
        <w:tc>
          <w:tcPr>
            <w:tcW w:w="4538" w:type="dxa"/>
          </w:tcPr>
          <w:p w14:paraId="5E0FDD2C" w14:textId="2B52BA04" w:rsidR="009C6A7C" w:rsidRPr="00B01F9E" w:rsidRDefault="009C6A7C" w:rsidP="00F1012A">
            <w:pPr>
              <w:pStyle w:val="ListParagraph"/>
              <w:numPr>
                <w:ilvl w:val="0"/>
                <w:numId w:val="39"/>
              </w:numPr>
              <w:rPr>
                <w:rFonts w:ascii="Arial" w:hAnsi="Arial" w:cs="Arial"/>
                <w:sz w:val="20"/>
                <w:szCs w:val="20"/>
              </w:rPr>
            </w:pPr>
            <w:r w:rsidRPr="00B01F9E">
              <w:rPr>
                <w:rFonts w:ascii="Arial" w:hAnsi="Arial" w:cs="Arial"/>
                <w:sz w:val="20"/>
                <w:szCs w:val="20"/>
              </w:rPr>
              <w:t xml:space="preserve">Completion of </w:t>
            </w:r>
            <w:r w:rsidR="00322663" w:rsidRPr="00B01F9E">
              <w:rPr>
                <w:rFonts w:ascii="Arial" w:hAnsi="Arial" w:cs="Arial"/>
                <w:sz w:val="20"/>
                <w:szCs w:val="20"/>
              </w:rPr>
              <w:t>QA</w:t>
            </w:r>
            <w:r w:rsidRPr="00B01F9E">
              <w:rPr>
                <w:rFonts w:ascii="Arial" w:hAnsi="Arial" w:cs="Arial"/>
                <w:sz w:val="20"/>
                <w:szCs w:val="20"/>
              </w:rPr>
              <w:t xml:space="preserve"> Program POC and analysis </w:t>
            </w:r>
          </w:p>
        </w:tc>
        <w:tc>
          <w:tcPr>
            <w:tcW w:w="3107" w:type="dxa"/>
          </w:tcPr>
          <w:p w14:paraId="71AEF084" w14:textId="6D961B4C" w:rsidR="009C6A7C" w:rsidRPr="00B01F9E" w:rsidRDefault="00000000" w:rsidP="00F1012A">
            <w:pPr>
              <w:rPr>
                <w:rFonts w:ascii="Arial" w:hAnsi="Arial" w:cs="Arial"/>
                <w:sz w:val="20"/>
                <w:szCs w:val="20"/>
              </w:rPr>
            </w:pPr>
            <w:hyperlink w:anchor="_3._IN_VITRO" w:history="1">
              <w:r w:rsidR="0093418C" w:rsidRPr="00B01F9E">
                <w:rPr>
                  <w:rStyle w:val="Hyperlink"/>
                  <w:rFonts w:ascii="Arial" w:hAnsi="Arial" w:cs="Arial"/>
                  <w:sz w:val="20"/>
                  <w:szCs w:val="20"/>
                </w:rPr>
                <w:t xml:space="preserve">Section </w:t>
              </w:r>
              <w:r w:rsidR="00532686" w:rsidRPr="00B01F9E">
                <w:rPr>
                  <w:rStyle w:val="Hyperlink"/>
                  <w:rFonts w:ascii="Arial" w:hAnsi="Arial" w:cs="Arial"/>
                  <w:sz w:val="20"/>
                  <w:szCs w:val="20"/>
                </w:rPr>
                <w:t>3</w:t>
              </w:r>
              <w:r w:rsidR="0093418C" w:rsidRPr="00B01F9E">
                <w:rPr>
                  <w:rStyle w:val="Hyperlink"/>
                  <w:rFonts w:ascii="Arial" w:hAnsi="Arial" w:cs="Arial"/>
                  <w:sz w:val="20"/>
                  <w:szCs w:val="20"/>
                </w:rPr>
                <w:t xml:space="preserve">: IVD Test Data Coding Quality Assurance Program </w:t>
              </w:r>
              <w:r w:rsidR="000B03B5" w:rsidRPr="00B01F9E">
                <w:rPr>
                  <w:rStyle w:val="Hyperlink"/>
                  <w:rFonts w:ascii="Arial" w:hAnsi="Arial" w:cs="Arial"/>
                  <w:sz w:val="20"/>
                  <w:szCs w:val="20"/>
                </w:rPr>
                <w:t>POC</w:t>
              </w:r>
            </w:hyperlink>
          </w:p>
        </w:tc>
      </w:tr>
      <w:tr w:rsidR="009C6A7C" w:rsidRPr="00B01F9E" w14:paraId="4BA8A0BA" w14:textId="2657E511" w:rsidTr="00F1012A">
        <w:tc>
          <w:tcPr>
            <w:tcW w:w="1705" w:type="dxa"/>
          </w:tcPr>
          <w:p w14:paraId="4AA26B21" w14:textId="77777777" w:rsidR="009C6A7C" w:rsidRPr="00B01F9E" w:rsidRDefault="009C6A7C" w:rsidP="00F1012A">
            <w:pPr>
              <w:rPr>
                <w:rFonts w:ascii="Arial" w:hAnsi="Arial" w:cs="Arial"/>
                <w:sz w:val="20"/>
                <w:szCs w:val="20"/>
              </w:rPr>
            </w:pPr>
            <w:r w:rsidRPr="00B01F9E">
              <w:rPr>
                <w:rFonts w:ascii="Arial" w:hAnsi="Arial" w:cs="Arial"/>
                <w:sz w:val="20"/>
                <w:szCs w:val="20"/>
              </w:rPr>
              <w:t xml:space="preserve">Create environments </w:t>
            </w:r>
          </w:p>
        </w:tc>
        <w:tc>
          <w:tcPr>
            <w:tcW w:w="4538" w:type="dxa"/>
          </w:tcPr>
          <w:p w14:paraId="53F4AA74" w14:textId="77777777" w:rsidR="009C6A7C" w:rsidRPr="00B01F9E" w:rsidRDefault="009C6A7C" w:rsidP="00F1012A">
            <w:pPr>
              <w:pStyle w:val="ListParagraph"/>
              <w:numPr>
                <w:ilvl w:val="0"/>
                <w:numId w:val="38"/>
              </w:numPr>
              <w:rPr>
                <w:rFonts w:ascii="Arial" w:hAnsi="Arial" w:cs="Arial"/>
                <w:sz w:val="20"/>
                <w:szCs w:val="20"/>
              </w:rPr>
            </w:pPr>
            <w:r w:rsidRPr="00B01F9E">
              <w:rPr>
                <w:rFonts w:ascii="Arial" w:hAnsi="Arial" w:cs="Arial"/>
                <w:sz w:val="20"/>
                <w:szCs w:val="20"/>
              </w:rPr>
              <w:t xml:space="preserve">Duke successfully updated interface pre POC specifications </w:t>
            </w:r>
          </w:p>
          <w:p w14:paraId="6C3BF955" w14:textId="72F52A97" w:rsidR="009C6A7C" w:rsidRPr="00B01F9E" w:rsidRDefault="00DB2772" w:rsidP="00F1012A">
            <w:pPr>
              <w:pStyle w:val="ListParagraph"/>
              <w:numPr>
                <w:ilvl w:val="0"/>
                <w:numId w:val="38"/>
              </w:numPr>
              <w:rPr>
                <w:rFonts w:ascii="Arial" w:hAnsi="Arial" w:cs="Arial"/>
                <w:sz w:val="20"/>
                <w:szCs w:val="20"/>
              </w:rPr>
            </w:pPr>
            <w:r w:rsidRPr="00B01F9E">
              <w:rPr>
                <w:rFonts w:ascii="Arial" w:hAnsi="Arial" w:cs="Arial"/>
                <w:sz w:val="20"/>
                <w:szCs w:val="20"/>
              </w:rPr>
              <w:t>ELLKAY</w:t>
            </w:r>
            <w:r w:rsidR="009C6A7C" w:rsidRPr="00B01F9E">
              <w:rPr>
                <w:rFonts w:ascii="Arial" w:hAnsi="Arial" w:cs="Arial"/>
                <w:sz w:val="20"/>
                <w:szCs w:val="20"/>
              </w:rPr>
              <w:t xml:space="preserve"> split HL7 interface messages into separate channel for the FDA POC (in addition to existing CAP channel) </w:t>
            </w:r>
          </w:p>
          <w:p w14:paraId="53D91FDF" w14:textId="4BC10BBF" w:rsidR="009C6A7C" w:rsidRPr="00B01F9E" w:rsidRDefault="00BD4FDB" w:rsidP="00F1012A">
            <w:pPr>
              <w:pStyle w:val="ListParagraph"/>
              <w:numPr>
                <w:ilvl w:val="0"/>
                <w:numId w:val="38"/>
              </w:numPr>
              <w:rPr>
                <w:rFonts w:ascii="Arial" w:hAnsi="Arial" w:cs="Arial"/>
                <w:sz w:val="20"/>
                <w:szCs w:val="20"/>
              </w:rPr>
            </w:pPr>
            <w:r w:rsidRPr="00B01F9E">
              <w:rPr>
                <w:rFonts w:ascii="Arial" w:hAnsi="Arial" w:cs="Arial"/>
                <w:sz w:val="20"/>
                <w:szCs w:val="20"/>
              </w:rPr>
              <w:t xml:space="preserve">The </w:t>
            </w:r>
            <w:r w:rsidR="009C6A7C" w:rsidRPr="00B01F9E">
              <w:rPr>
                <w:rFonts w:ascii="Arial" w:hAnsi="Arial" w:cs="Arial"/>
                <w:sz w:val="20"/>
                <w:szCs w:val="20"/>
              </w:rPr>
              <w:t>CAP received messages, extracted LIDR elements, and stored in POC database</w:t>
            </w:r>
          </w:p>
        </w:tc>
        <w:tc>
          <w:tcPr>
            <w:tcW w:w="3107" w:type="dxa"/>
          </w:tcPr>
          <w:p w14:paraId="14FB83B0" w14:textId="281DAADD" w:rsidR="009C6A7C" w:rsidRPr="00B01F9E" w:rsidRDefault="00000000" w:rsidP="00F1012A">
            <w:pPr>
              <w:rPr>
                <w:rFonts w:ascii="Arial" w:hAnsi="Arial" w:cs="Arial"/>
                <w:sz w:val="20"/>
                <w:szCs w:val="20"/>
              </w:rPr>
            </w:pPr>
            <w:hyperlink w:anchor="_3.2_Environment_Development" w:history="1">
              <w:r w:rsidR="000B03B5" w:rsidRPr="00B01F9E">
                <w:rPr>
                  <w:rStyle w:val="Hyperlink"/>
                  <w:rFonts w:ascii="Arial" w:hAnsi="Arial" w:cs="Arial"/>
                  <w:sz w:val="20"/>
                  <w:szCs w:val="20"/>
                </w:rPr>
                <w:t xml:space="preserve">Section </w:t>
              </w:r>
              <w:r w:rsidR="00D70484" w:rsidRPr="00B01F9E">
                <w:rPr>
                  <w:rStyle w:val="Hyperlink"/>
                  <w:rFonts w:ascii="Arial" w:hAnsi="Arial" w:cs="Arial"/>
                  <w:sz w:val="20"/>
                  <w:szCs w:val="20"/>
                </w:rPr>
                <w:t>3</w:t>
              </w:r>
              <w:r w:rsidR="000B03B5" w:rsidRPr="00B01F9E">
                <w:rPr>
                  <w:rStyle w:val="Hyperlink"/>
                  <w:rFonts w:ascii="Arial" w:hAnsi="Arial" w:cs="Arial"/>
                  <w:sz w:val="20"/>
                  <w:szCs w:val="20"/>
                </w:rPr>
                <w:t>.</w:t>
              </w:r>
              <w:r w:rsidR="00B729CE" w:rsidRPr="00B01F9E">
                <w:rPr>
                  <w:rStyle w:val="Hyperlink"/>
                  <w:rFonts w:ascii="Arial" w:hAnsi="Arial" w:cs="Arial"/>
                  <w:sz w:val="20"/>
                  <w:szCs w:val="20"/>
                </w:rPr>
                <w:t>2</w:t>
              </w:r>
              <w:r w:rsidR="000B03B5" w:rsidRPr="00B01F9E">
                <w:rPr>
                  <w:rStyle w:val="Hyperlink"/>
                  <w:rFonts w:ascii="Arial" w:hAnsi="Arial" w:cs="Arial"/>
                  <w:sz w:val="20"/>
                  <w:szCs w:val="20"/>
                </w:rPr>
                <w:t xml:space="preserve">: Environment </w:t>
              </w:r>
              <w:r w:rsidR="005E7A9F" w:rsidRPr="00B01F9E">
                <w:rPr>
                  <w:rStyle w:val="Hyperlink"/>
                  <w:rFonts w:ascii="Arial" w:hAnsi="Arial" w:cs="Arial"/>
                  <w:sz w:val="20"/>
                  <w:szCs w:val="20"/>
                </w:rPr>
                <w:t>Development</w:t>
              </w:r>
            </w:hyperlink>
            <w:r w:rsidR="005E7A9F" w:rsidRPr="00B01F9E">
              <w:rPr>
                <w:rFonts w:ascii="Arial" w:hAnsi="Arial" w:cs="Arial"/>
                <w:sz w:val="20"/>
                <w:szCs w:val="20"/>
              </w:rPr>
              <w:t xml:space="preserve"> </w:t>
            </w:r>
          </w:p>
        </w:tc>
      </w:tr>
      <w:tr w:rsidR="009C6A7C" w:rsidRPr="00B01F9E" w14:paraId="7240362C" w14:textId="22757A5E" w:rsidTr="00F1012A">
        <w:tc>
          <w:tcPr>
            <w:tcW w:w="1705" w:type="dxa"/>
          </w:tcPr>
          <w:p w14:paraId="1F2ADCEF" w14:textId="77777777" w:rsidR="009C6A7C" w:rsidRPr="00B01F9E" w:rsidRDefault="009C6A7C" w:rsidP="00F1012A">
            <w:pPr>
              <w:rPr>
                <w:rFonts w:ascii="Arial" w:hAnsi="Arial" w:cs="Arial"/>
                <w:sz w:val="20"/>
                <w:szCs w:val="20"/>
              </w:rPr>
            </w:pPr>
            <w:r w:rsidRPr="00B01F9E">
              <w:rPr>
                <w:rFonts w:ascii="Arial" w:hAnsi="Arial" w:cs="Arial"/>
                <w:sz w:val="20"/>
                <w:szCs w:val="20"/>
              </w:rPr>
              <w:t>Implement LIDR subset in LIS</w:t>
            </w:r>
          </w:p>
        </w:tc>
        <w:tc>
          <w:tcPr>
            <w:tcW w:w="4538" w:type="dxa"/>
          </w:tcPr>
          <w:p w14:paraId="4A6A7CBD" w14:textId="77777777" w:rsidR="009C6A7C" w:rsidRPr="00B01F9E" w:rsidRDefault="009C6A7C" w:rsidP="00F1012A">
            <w:pPr>
              <w:pStyle w:val="ListParagraph"/>
              <w:numPr>
                <w:ilvl w:val="0"/>
                <w:numId w:val="40"/>
              </w:numPr>
              <w:rPr>
                <w:rFonts w:ascii="Arial" w:hAnsi="Arial" w:cs="Arial"/>
                <w:sz w:val="20"/>
                <w:szCs w:val="20"/>
              </w:rPr>
            </w:pPr>
            <w:r w:rsidRPr="00B01F9E">
              <w:rPr>
                <w:rFonts w:ascii="Arial" w:hAnsi="Arial" w:cs="Arial"/>
                <w:sz w:val="20"/>
                <w:szCs w:val="20"/>
              </w:rPr>
              <w:t xml:space="preserve">Duke encoded LIDR elements into test environment and identified any build gaps </w:t>
            </w:r>
          </w:p>
        </w:tc>
        <w:tc>
          <w:tcPr>
            <w:tcW w:w="3107" w:type="dxa"/>
          </w:tcPr>
          <w:p w14:paraId="0FE427C4" w14:textId="2B42770A" w:rsidR="009C6A7C" w:rsidRPr="00B01F9E" w:rsidRDefault="00000000" w:rsidP="00F1012A">
            <w:pPr>
              <w:rPr>
                <w:rFonts w:ascii="Arial" w:hAnsi="Arial" w:cs="Arial"/>
                <w:sz w:val="20"/>
                <w:szCs w:val="20"/>
              </w:rPr>
            </w:pPr>
            <w:hyperlink w:anchor="_3.3_Implement_LIDR" w:history="1">
              <w:r w:rsidR="000B03B5" w:rsidRPr="00B01F9E">
                <w:rPr>
                  <w:rStyle w:val="Hyperlink"/>
                  <w:rFonts w:ascii="Arial" w:hAnsi="Arial" w:cs="Arial"/>
                  <w:sz w:val="20"/>
                  <w:szCs w:val="20"/>
                </w:rPr>
                <w:t xml:space="preserve">Section </w:t>
              </w:r>
              <w:r w:rsidR="00D70484" w:rsidRPr="00B01F9E">
                <w:rPr>
                  <w:rStyle w:val="Hyperlink"/>
                  <w:rFonts w:ascii="Arial" w:hAnsi="Arial" w:cs="Arial"/>
                  <w:sz w:val="20"/>
                  <w:szCs w:val="20"/>
                </w:rPr>
                <w:t>3</w:t>
              </w:r>
              <w:r w:rsidR="000B03B5" w:rsidRPr="00B01F9E">
                <w:rPr>
                  <w:rStyle w:val="Hyperlink"/>
                  <w:rFonts w:ascii="Arial" w:hAnsi="Arial" w:cs="Arial"/>
                  <w:sz w:val="20"/>
                  <w:szCs w:val="20"/>
                </w:rPr>
                <w:t>.</w:t>
              </w:r>
              <w:r w:rsidR="004713BD" w:rsidRPr="00B01F9E">
                <w:rPr>
                  <w:rStyle w:val="Hyperlink"/>
                  <w:rFonts w:ascii="Arial" w:hAnsi="Arial" w:cs="Arial"/>
                  <w:sz w:val="20"/>
                  <w:szCs w:val="20"/>
                </w:rPr>
                <w:t>3: Implement LIDR subset in LIS</w:t>
              </w:r>
            </w:hyperlink>
          </w:p>
        </w:tc>
      </w:tr>
      <w:tr w:rsidR="009C6A7C" w:rsidRPr="00B01F9E" w14:paraId="2E4A44A7" w14:textId="36618693" w:rsidTr="00F1012A">
        <w:tc>
          <w:tcPr>
            <w:tcW w:w="1705" w:type="dxa"/>
          </w:tcPr>
          <w:p w14:paraId="246B3C2F" w14:textId="77777777" w:rsidR="009C6A7C" w:rsidRPr="00B01F9E" w:rsidRDefault="009C6A7C" w:rsidP="00F1012A">
            <w:pPr>
              <w:rPr>
                <w:rFonts w:ascii="Arial" w:hAnsi="Arial" w:cs="Arial"/>
                <w:sz w:val="20"/>
                <w:szCs w:val="20"/>
              </w:rPr>
            </w:pPr>
            <w:r w:rsidRPr="00B01F9E">
              <w:rPr>
                <w:rFonts w:ascii="Arial" w:hAnsi="Arial" w:cs="Arial"/>
                <w:sz w:val="20"/>
                <w:szCs w:val="20"/>
              </w:rPr>
              <w:t xml:space="preserve">Data quality analytics </w:t>
            </w:r>
          </w:p>
        </w:tc>
        <w:tc>
          <w:tcPr>
            <w:tcW w:w="4538" w:type="dxa"/>
          </w:tcPr>
          <w:p w14:paraId="40F096D7" w14:textId="77777777" w:rsidR="009C6A7C" w:rsidRPr="00B01F9E" w:rsidRDefault="009C6A7C" w:rsidP="00F1012A">
            <w:pPr>
              <w:pStyle w:val="ListParagraph"/>
              <w:numPr>
                <w:ilvl w:val="0"/>
                <w:numId w:val="40"/>
              </w:numPr>
              <w:rPr>
                <w:rFonts w:ascii="Arial" w:hAnsi="Arial" w:cs="Arial"/>
                <w:sz w:val="20"/>
                <w:szCs w:val="20"/>
              </w:rPr>
            </w:pPr>
            <w:r w:rsidRPr="00B01F9E">
              <w:rPr>
                <w:rFonts w:ascii="Arial" w:hAnsi="Arial" w:cs="Arial"/>
                <w:sz w:val="20"/>
                <w:szCs w:val="20"/>
              </w:rPr>
              <w:t>Generate a formatted analysis report specific to the laboratory’s submitted data</w:t>
            </w:r>
          </w:p>
          <w:p w14:paraId="68D77FAF" w14:textId="74D20122" w:rsidR="009C6A7C" w:rsidRPr="00B01F9E" w:rsidRDefault="009C6A7C" w:rsidP="00F1012A">
            <w:pPr>
              <w:pStyle w:val="ListParagraph"/>
              <w:numPr>
                <w:ilvl w:val="0"/>
                <w:numId w:val="40"/>
              </w:numPr>
              <w:rPr>
                <w:rFonts w:ascii="Arial" w:hAnsi="Arial" w:cs="Arial"/>
                <w:sz w:val="20"/>
                <w:szCs w:val="20"/>
              </w:rPr>
            </w:pPr>
            <w:r w:rsidRPr="00B01F9E">
              <w:rPr>
                <w:rFonts w:ascii="Arial" w:hAnsi="Arial" w:cs="Arial"/>
                <w:sz w:val="20"/>
                <w:szCs w:val="20"/>
              </w:rPr>
              <w:t xml:space="preserve">Develop </w:t>
            </w:r>
            <w:r w:rsidR="00CC5CC4" w:rsidRPr="00B01F9E">
              <w:rPr>
                <w:rFonts w:ascii="Arial" w:hAnsi="Arial" w:cs="Arial"/>
                <w:sz w:val="20"/>
                <w:szCs w:val="20"/>
              </w:rPr>
              <w:t xml:space="preserve">QA </w:t>
            </w:r>
            <w:r w:rsidR="007B177B" w:rsidRPr="00B01F9E">
              <w:rPr>
                <w:rFonts w:ascii="Arial" w:hAnsi="Arial" w:cs="Arial"/>
                <w:sz w:val="20"/>
                <w:szCs w:val="20"/>
              </w:rPr>
              <w:t>a</w:t>
            </w:r>
            <w:r w:rsidR="00CC5CC4" w:rsidRPr="00B01F9E">
              <w:rPr>
                <w:rFonts w:ascii="Arial" w:hAnsi="Arial" w:cs="Arial"/>
                <w:sz w:val="20"/>
                <w:szCs w:val="20"/>
              </w:rPr>
              <w:t>nalysis</w:t>
            </w:r>
            <w:r w:rsidRPr="00B01F9E">
              <w:rPr>
                <w:rFonts w:ascii="Arial" w:hAnsi="Arial" w:cs="Arial"/>
                <w:sz w:val="20"/>
                <w:szCs w:val="20"/>
              </w:rPr>
              <w:t xml:space="preserve"> report based on CAP project team feedback </w:t>
            </w:r>
          </w:p>
        </w:tc>
        <w:tc>
          <w:tcPr>
            <w:tcW w:w="3107" w:type="dxa"/>
          </w:tcPr>
          <w:p w14:paraId="56748619" w14:textId="2BA54828" w:rsidR="009C6A7C" w:rsidRPr="00B01F9E" w:rsidRDefault="00000000" w:rsidP="00F1012A">
            <w:pPr>
              <w:rPr>
                <w:rFonts w:ascii="Arial" w:hAnsi="Arial" w:cs="Arial"/>
                <w:sz w:val="20"/>
                <w:szCs w:val="20"/>
              </w:rPr>
            </w:pPr>
            <w:hyperlink w:anchor="_3.6_QA_Analysis" w:history="1">
              <w:r w:rsidR="004713BD" w:rsidRPr="00B01F9E">
                <w:rPr>
                  <w:rStyle w:val="Hyperlink"/>
                  <w:rFonts w:ascii="Arial" w:hAnsi="Arial" w:cs="Arial"/>
                  <w:sz w:val="20"/>
                  <w:szCs w:val="20"/>
                </w:rPr>
                <w:t xml:space="preserve">Section </w:t>
              </w:r>
              <w:r w:rsidR="00D70484" w:rsidRPr="00B01F9E">
                <w:rPr>
                  <w:rStyle w:val="Hyperlink"/>
                  <w:rFonts w:ascii="Arial" w:hAnsi="Arial" w:cs="Arial"/>
                  <w:sz w:val="20"/>
                  <w:szCs w:val="20"/>
                </w:rPr>
                <w:t>3</w:t>
              </w:r>
              <w:r w:rsidR="004713BD" w:rsidRPr="00B01F9E">
                <w:rPr>
                  <w:rStyle w:val="Hyperlink"/>
                  <w:rFonts w:ascii="Arial" w:hAnsi="Arial" w:cs="Arial"/>
                  <w:sz w:val="20"/>
                  <w:szCs w:val="20"/>
                </w:rPr>
                <w:t xml:space="preserve">.6: </w:t>
              </w:r>
              <w:r w:rsidR="008E5E22" w:rsidRPr="00B01F9E">
                <w:rPr>
                  <w:rStyle w:val="Hyperlink"/>
                  <w:rFonts w:ascii="Arial" w:hAnsi="Arial" w:cs="Arial"/>
                  <w:sz w:val="20"/>
                  <w:szCs w:val="20"/>
                </w:rPr>
                <w:t>QA Analysis Report</w:t>
              </w:r>
              <w:r w:rsidR="00BE1464" w:rsidRPr="00B01F9E">
                <w:rPr>
                  <w:rStyle w:val="Hyperlink"/>
                  <w:rFonts w:ascii="Arial" w:hAnsi="Arial" w:cs="Arial"/>
                  <w:sz w:val="20"/>
                  <w:szCs w:val="20"/>
                </w:rPr>
                <w:t>ing</w:t>
              </w:r>
            </w:hyperlink>
            <w:r w:rsidR="004713BD" w:rsidRPr="00B01F9E">
              <w:rPr>
                <w:rFonts w:ascii="Arial" w:hAnsi="Arial" w:cs="Arial"/>
                <w:sz w:val="20"/>
                <w:szCs w:val="20"/>
              </w:rPr>
              <w:t xml:space="preserve"> </w:t>
            </w:r>
          </w:p>
        </w:tc>
      </w:tr>
      <w:tr w:rsidR="009C6A7C" w:rsidRPr="00B01F9E" w14:paraId="7C24A245" w14:textId="7C183F12" w:rsidTr="00F1012A">
        <w:tc>
          <w:tcPr>
            <w:tcW w:w="1705" w:type="dxa"/>
          </w:tcPr>
          <w:p w14:paraId="7238799B" w14:textId="77777777" w:rsidR="009C6A7C" w:rsidRPr="00B01F9E" w:rsidRDefault="009C6A7C" w:rsidP="00F1012A">
            <w:pPr>
              <w:rPr>
                <w:rFonts w:ascii="Arial" w:hAnsi="Arial" w:cs="Arial"/>
                <w:sz w:val="20"/>
                <w:szCs w:val="20"/>
              </w:rPr>
            </w:pPr>
            <w:r w:rsidRPr="00B01F9E">
              <w:rPr>
                <w:rFonts w:ascii="Arial" w:hAnsi="Arial" w:cs="Arial"/>
                <w:sz w:val="20"/>
                <w:szCs w:val="20"/>
              </w:rPr>
              <w:t>Test outgoing interface feeds</w:t>
            </w:r>
          </w:p>
        </w:tc>
        <w:tc>
          <w:tcPr>
            <w:tcW w:w="4538" w:type="dxa"/>
          </w:tcPr>
          <w:p w14:paraId="7B9E1F53" w14:textId="77777777" w:rsidR="009C6A7C" w:rsidRPr="00B01F9E" w:rsidRDefault="009C6A7C" w:rsidP="00F1012A">
            <w:pPr>
              <w:pStyle w:val="ListParagraph"/>
              <w:numPr>
                <w:ilvl w:val="0"/>
                <w:numId w:val="41"/>
              </w:numPr>
              <w:rPr>
                <w:rFonts w:ascii="Arial" w:hAnsi="Arial" w:cs="Arial"/>
                <w:sz w:val="20"/>
                <w:szCs w:val="20"/>
              </w:rPr>
            </w:pPr>
            <w:r w:rsidRPr="00B01F9E">
              <w:rPr>
                <w:rFonts w:ascii="Arial" w:hAnsi="Arial" w:cs="Arial"/>
                <w:sz w:val="20"/>
                <w:szCs w:val="20"/>
              </w:rPr>
              <w:t>Successful result message generation from Duke</w:t>
            </w:r>
          </w:p>
        </w:tc>
        <w:tc>
          <w:tcPr>
            <w:tcW w:w="3107" w:type="dxa"/>
          </w:tcPr>
          <w:p w14:paraId="49388F4C" w14:textId="63FBF372" w:rsidR="009C6A7C" w:rsidRPr="00B01F9E" w:rsidRDefault="00000000" w:rsidP="00F1012A">
            <w:pPr>
              <w:rPr>
                <w:rFonts w:ascii="Arial" w:hAnsi="Arial" w:cs="Arial"/>
                <w:sz w:val="20"/>
                <w:szCs w:val="20"/>
              </w:rPr>
            </w:pPr>
            <w:hyperlink w:anchor="_3.4_Simulate_Test" w:history="1">
              <w:r w:rsidR="004713BD" w:rsidRPr="00B01F9E">
                <w:rPr>
                  <w:rStyle w:val="Hyperlink"/>
                  <w:rFonts w:ascii="Arial" w:hAnsi="Arial" w:cs="Arial"/>
                  <w:sz w:val="20"/>
                  <w:szCs w:val="20"/>
                </w:rPr>
                <w:t xml:space="preserve">Section </w:t>
              </w:r>
              <w:r w:rsidR="00795E17" w:rsidRPr="00B01F9E">
                <w:rPr>
                  <w:rStyle w:val="Hyperlink"/>
                  <w:rFonts w:ascii="Arial" w:hAnsi="Arial" w:cs="Arial"/>
                  <w:sz w:val="20"/>
                  <w:szCs w:val="20"/>
                </w:rPr>
                <w:t>3</w:t>
              </w:r>
              <w:r w:rsidR="004713BD" w:rsidRPr="00B01F9E">
                <w:rPr>
                  <w:rStyle w:val="Hyperlink"/>
                  <w:rFonts w:ascii="Arial" w:hAnsi="Arial" w:cs="Arial"/>
                  <w:sz w:val="20"/>
                  <w:szCs w:val="20"/>
                </w:rPr>
                <w:t>.</w:t>
              </w:r>
              <w:r w:rsidR="00795E17" w:rsidRPr="00B01F9E">
                <w:rPr>
                  <w:rStyle w:val="Hyperlink"/>
                  <w:rFonts w:ascii="Arial" w:hAnsi="Arial" w:cs="Arial"/>
                  <w:sz w:val="20"/>
                  <w:szCs w:val="20"/>
                </w:rPr>
                <w:t>4</w:t>
              </w:r>
              <w:r w:rsidR="004713BD" w:rsidRPr="00B01F9E">
                <w:rPr>
                  <w:rStyle w:val="Hyperlink"/>
                  <w:rFonts w:ascii="Arial" w:hAnsi="Arial" w:cs="Arial"/>
                  <w:sz w:val="20"/>
                  <w:szCs w:val="20"/>
                </w:rPr>
                <w:t>: Simulate Test Submission</w:t>
              </w:r>
            </w:hyperlink>
            <w:r w:rsidR="004713BD" w:rsidRPr="00B01F9E">
              <w:rPr>
                <w:rFonts w:ascii="Arial" w:hAnsi="Arial" w:cs="Arial"/>
                <w:sz w:val="20"/>
                <w:szCs w:val="20"/>
              </w:rPr>
              <w:t xml:space="preserve"> </w:t>
            </w:r>
          </w:p>
        </w:tc>
      </w:tr>
      <w:tr w:rsidR="009C6A7C" w:rsidRPr="00B01F9E" w14:paraId="0556AFE9" w14:textId="1F8210C4" w:rsidTr="00F1012A">
        <w:tc>
          <w:tcPr>
            <w:tcW w:w="1705" w:type="dxa"/>
          </w:tcPr>
          <w:p w14:paraId="2472194B" w14:textId="77777777" w:rsidR="009C6A7C" w:rsidRPr="00B01F9E" w:rsidRDefault="009C6A7C" w:rsidP="00F1012A">
            <w:pPr>
              <w:rPr>
                <w:rFonts w:ascii="Arial" w:hAnsi="Arial" w:cs="Arial"/>
                <w:sz w:val="20"/>
                <w:szCs w:val="20"/>
              </w:rPr>
            </w:pPr>
            <w:r w:rsidRPr="00B01F9E">
              <w:rPr>
                <w:rFonts w:ascii="Arial" w:hAnsi="Arial" w:cs="Arial"/>
                <w:sz w:val="20"/>
                <w:szCs w:val="20"/>
              </w:rPr>
              <w:t>Analyze transmission of data</w:t>
            </w:r>
          </w:p>
        </w:tc>
        <w:tc>
          <w:tcPr>
            <w:tcW w:w="4538" w:type="dxa"/>
          </w:tcPr>
          <w:p w14:paraId="48411F33" w14:textId="77777777" w:rsidR="009C6A7C" w:rsidRPr="00B01F9E" w:rsidRDefault="009C6A7C" w:rsidP="00F1012A">
            <w:pPr>
              <w:pStyle w:val="ListParagraph"/>
              <w:numPr>
                <w:ilvl w:val="0"/>
                <w:numId w:val="41"/>
              </w:numPr>
              <w:rPr>
                <w:rFonts w:ascii="Arial" w:hAnsi="Arial" w:cs="Arial"/>
                <w:sz w:val="20"/>
                <w:szCs w:val="20"/>
              </w:rPr>
            </w:pPr>
            <w:r w:rsidRPr="00B01F9E">
              <w:rPr>
                <w:rFonts w:ascii="Arial" w:hAnsi="Arial" w:cs="Arial"/>
                <w:sz w:val="20"/>
                <w:szCs w:val="20"/>
              </w:rPr>
              <w:t xml:space="preserve">Appropriate HL7 fields populated with the encoded LIDR elements and identify build gaps </w:t>
            </w:r>
          </w:p>
        </w:tc>
        <w:tc>
          <w:tcPr>
            <w:tcW w:w="3107" w:type="dxa"/>
          </w:tcPr>
          <w:p w14:paraId="5BC9F75C" w14:textId="7B75B489" w:rsidR="009C6A7C" w:rsidRPr="00B01F9E" w:rsidRDefault="00000000" w:rsidP="00F1012A">
            <w:pPr>
              <w:rPr>
                <w:rFonts w:ascii="Arial" w:hAnsi="Arial" w:cs="Arial"/>
                <w:sz w:val="20"/>
                <w:szCs w:val="20"/>
              </w:rPr>
            </w:pPr>
            <w:hyperlink w:anchor="_3.4_Simulate_Test" w:history="1">
              <w:r w:rsidR="004713BD" w:rsidRPr="00B01F9E">
                <w:rPr>
                  <w:rStyle w:val="Hyperlink"/>
                  <w:rFonts w:ascii="Arial" w:hAnsi="Arial" w:cs="Arial"/>
                  <w:sz w:val="20"/>
                  <w:szCs w:val="20"/>
                </w:rPr>
                <w:t xml:space="preserve">Section </w:t>
              </w:r>
              <w:r w:rsidR="00795E17" w:rsidRPr="00B01F9E">
                <w:rPr>
                  <w:rStyle w:val="Hyperlink"/>
                  <w:rFonts w:ascii="Arial" w:hAnsi="Arial" w:cs="Arial"/>
                  <w:sz w:val="20"/>
                  <w:szCs w:val="20"/>
                </w:rPr>
                <w:t>3</w:t>
              </w:r>
              <w:r w:rsidR="004713BD" w:rsidRPr="00B01F9E">
                <w:rPr>
                  <w:rStyle w:val="Hyperlink"/>
                  <w:rFonts w:ascii="Arial" w:hAnsi="Arial" w:cs="Arial"/>
                  <w:sz w:val="20"/>
                  <w:szCs w:val="20"/>
                </w:rPr>
                <w:t>.</w:t>
              </w:r>
              <w:r w:rsidR="00795E17" w:rsidRPr="00B01F9E">
                <w:rPr>
                  <w:rStyle w:val="Hyperlink"/>
                  <w:rFonts w:ascii="Arial" w:hAnsi="Arial" w:cs="Arial"/>
                  <w:sz w:val="20"/>
                  <w:szCs w:val="20"/>
                </w:rPr>
                <w:t>4</w:t>
              </w:r>
              <w:r w:rsidR="004713BD" w:rsidRPr="00B01F9E">
                <w:rPr>
                  <w:rStyle w:val="Hyperlink"/>
                  <w:rFonts w:ascii="Arial" w:hAnsi="Arial" w:cs="Arial"/>
                  <w:sz w:val="20"/>
                  <w:szCs w:val="20"/>
                </w:rPr>
                <w:t>: Simulate Test Submission</w:t>
              </w:r>
            </w:hyperlink>
          </w:p>
        </w:tc>
      </w:tr>
      <w:tr w:rsidR="009C6A7C" w:rsidRPr="00B01F9E" w14:paraId="6B7F1BFA" w14:textId="65E71109" w:rsidTr="00F1012A">
        <w:tc>
          <w:tcPr>
            <w:tcW w:w="1705" w:type="dxa"/>
          </w:tcPr>
          <w:p w14:paraId="69A742F3" w14:textId="77777777" w:rsidR="009C6A7C" w:rsidRPr="00B01F9E" w:rsidRDefault="009C6A7C" w:rsidP="00F1012A">
            <w:pPr>
              <w:rPr>
                <w:rFonts w:ascii="Arial" w:hAnsi="Arial" w:cs="Arial"/>
                <w:sz w:val="20"/>
                <w:szCs w:val="20"/>
              </w:rPr>
            </w:pPr>
            <w:r w:rsidRPr="00B01F9E">
              <w:rPr>
                <w:rFonts w:ascii="Arial" w:hAnsi="Arial" w:cs="Arial"/>
                <w:sz w:val="20"/>
                <w:szCs w:val="20"/>
              </w:rPr>
              <w:t>Simulate test submission</w:t>
            </w:r>
          </w:p>
        </w:tc>
        <w:tc>
          <w:tcPr>
            <w:tcW w:w="4538" w:type="dxa"/>
          </w:tcPr>
          <w:p w14:paraId="50C06527" w14:textId="77777777" w:rsidR="009C6A7C" w:rsidRPr="00B01F9E" w:rsidRDefault="009C6A7C" w:rsidP="00F1012A">
            <w:pPr>
              <w:pStyle w:val="ListParagraph"/>
              <w:numPr>
                <w:ilvl w:val="0"/>
                <w:numId w:val="41"/>
              </w:numPr>
              <w:rPr>
                <w:rFonts w:ascii="Arial" w:hAnsi="Arial" w:cs="Arial"/>
                <w:sz w:val="20"/>
                <w:szCs w:val="20"/>
              </w:rPr>
            </w:pPr>
            <w:r w:rsidRPr="00B01F9E">
              <w:rPr>
                <w:rFonts w:ascii="Arial" w:hAnsi="Arial" w:cs="Arial"/>
                <w:sz w:val="20"/>
                <w:szCs w:val="20"/>
              </w:rPr>
              <w:t xml:space="preserve">Successful transmission of a test </w:t>
            </w:r>
          </w:p>
          <w:p w14:paraId="7FF57330" w14:textId="26179216" w:rsidR="009C6A7C" w:rsidRPr="00B01F9E" w:rsidRDefault="009241D5" w:rsidP="00F1012A">
            <w:pPr>
              <w:pStyle w:val="ListParagraph"/>
              <w:numPr>
                <w:ilvl w:val="0"/>
                <w:numId w:val="41"/>
              </w:numPr>
              <w:rPr>
                <w:rFonts w:ascii="Arial" w:hAnsi="Arial" w:cs="Arial"/>
                <w:sz w:val="20"/>
                <w:szCs w:val="20"/>
              </w:rPr>
            </w:pPr>
            <w:r w:rsidRPr="00B01F9E">
              <w:rPr>
                <w:rFonts w:ascii="Arial" w:hAnsi="Arial" w:cs="Arial"/>
                <w:sz w:val="20"/>
                <w:szCs w:val="20"/>
              </w:rPr>
              <w:t xml:space="preserve">The </w:t>
            </w:r>
            <w:r w:rsidR="009C6A7C" w:rsidRPr="00B01F9E">
              <w:rPr>
                <w:rFonts w:ascii="Arial" w:hAnsi="Arial" w:cs="Arial"/>
                <w:sz w:val="20"/>
                <w:szCs w:val="20"/>
              </w:rPr>
              <w:t>CAP processes and analyzes an HL7 message</w:t>
            </w:r>
          </w:p>
          <w:p w14:paraId="0650F978" w14:textId="438F9DFC" w:rsidR="009C6A7C" w:rsidRPr="00B01F9E" w:rsidRDefault="009241D5" w:rsidP="00F1012A">
            <w:pPr>
              <w:pStyle w:val="ListParagraph"/>
              <w:numPr>
                <w:ilvl w:val="0"/>
                <w:numId w:val="41"/>
              </w:numPr>
              <w:rPr>
                <w:rFonts w:ascii="Arial" w:hAnsi="Arial" w:cs="Arial"/>
                <w:sz w:val="20"/>
                <w:szCs w:val="20"/>
              </w:rPr>
            </w:pPr>
            <w:r w:rsidRPr="00B01F9E">
              <w:rPr>
                <w:rFonts w:ascii="Arial" w:hAnsi="Arial" w:cs="Arial"/>
                <w:sz w:val="20"/>
                <w:szCs w:val="20"/>
              </w:rPr>
              <w:t xml:space="preserve">The </w:t>
            </w:r>
            <w:r w:rsidR="009C6A7C" w:rsidRPr="00B01F9E">
              <w:rPr>
                <w:rFonts w:ascii="Arial" w:hAnsi="Arial" w:cs="Arial"/>
                <w:sz w:val="20"/>
                <w:szCs w:val="20"/>
              </w:rPr>
              <w:t xml:space="preserve">CAP produces error message for structural validity </w:t>
            </w:r>
          </w:p>
        </w:tc>
        <w:tc>
          <w:tcPr>
            <w:tcW w:w="3107" w:type="dxa"/>
          </w:tcPr>
          <w:p w14:paraId="6C857277" w14:textId="05B5FAEA" w:rsidR="009C6A7C" w:rsidRPr="00B01F9E" w:rsidRDefault="00000000" w:rsidP="00F1012A">
            <w:pPr>
              <w:rPr>
                <w:rFonts w:ascii="Arial" w:hAnsi="Arial" w:cs="Arial"/>
                <w:sz w:val="20"/>
                <w:szCs w:val="20"/>
              </w:rPr>
            </w:pPr>
            <w:hyperlink w:anchor="_3.4_Simulate_Test" w:history="1">
              <w:r w:rsidR="004713BD" w:rsidRPr="00B01F9E">
                <w:rPr>
                  <w:rStyle w:val="Hyperlink"/>
                  <w:rFonts w:ascii="Arial" w:hAnsi="Arial" w:cs="Arial"/>
                  <w:sz w:val="20"/>
                  <w:szCs w:val="20"/>
                </w:rPr>
                <w:t xml:space="preserve">Section </w:t>
              </w:r>
              <w:r w:rsidR="00795E17" w:rsidRPr="00B01F9E">
                <w:rPr>
                  <w:rStyle w:val="Hyperlink"/>
                  <w:rFonts w:ascii="Arial" w:hAnsi="Arial" w:cs="Arial"/>
                  <w:sz w:val="20"/>
                  <w:szCs w:val="20"/>
                </w:rPr>
                <w:t>3</w:t>
              </w:r>
              <w:r w:rsidR="004713BD" w:rsidRPr="00B01F9E">
                <w:rPr>
                  <w:rStyle w:val="Hyperlink"/>
                  <w:rFonts w:ascii="Arial" w:hAnsi="Arial" w:cs="Arial"/>
                  <w:sz w:val="20"/>
                  <w:szCs w:val="20"/>
                </w:rPr>
                <w:t>.</w:t>
              </w:r>
              <w:r w:rsidR="00795E17" w:rsidRPr="00B01F9E">
                <w:rPr>
                  <w:rStyle w:val="Hyperlink"/>
                  <w:rFonts w:ascii="Arial" w:hAnsi="Arial" w:cs="Arial"/>
                  <w:sz w:val="20"/>
                  <w:szCs w:val="20"/>
                </w:rPr>
                <w:t>4</w:t>
              </w:r>
              <w:r w:rsidR="004713BD" w:rsidRPr="00B01F9E">
                <w:rPr>
                  <w:rStyle w:val="Hyperlink"/>
                  <w:rFonts w:ascii="Arial" w:hAnsi="Arial" w:cs="Arial"/>
                  <w:sz w:val="20"/>
                  <w:szCs w:val="20"/>
                </w:rPr>
                <w:t>: Simulate Test Submission</w:t>
              </w:r>
            </w:hyperlink>
          </w:p>
        </w:tc>
      </w:tr>
      <w:tr w:rsidR="009C6A7C" w:rsidRPr="00B01F9E" w14:paraId="7280E9CB" w14:textId="56FD9DB2" w:rsidTr="00F1012A">
        <w:tc>
          <w:tcPr>
            <w:tcW w:w="1705" w:type="dxa"/>
          </w:tcPr>
          <w:p w14:paraId="0661262F" w14:textId="77777777" w:rsidR="009C6A7C" w:rsidRPr="00B01F9E" w:rsidRDefault="009C6A7C" w:rsidP="00F1012A">
            <w:pPr>
              <w:rPr>
                <w:rFonts w:ascii="Arial" w:hAnsi="Arial" w:cs="Arial"/>
                <w:sz w:val="20"/>
                <w:szCs w:val="20"/>
              </w:rPr>
            </w:pPr>
            <w:r w:rsidRPr="00B01F9E">
              <w:rPr>
                <w:rFonts w:ascii="Arial" w:hAnsi="Arial" w:cs="Arial"/>
                <w:sz w:val="20"/>
                <w:szCs w:val="20"/>
              </w:rPr>
              <w:t xml:space="preserve">Provide gap analysis on LIDR </w:t>
            </w:r>
          </w:p>
        </w:tc>
        <w:tc>
          <w:tcPr>
            <w:tcW w:w="4538" w:type="dxa"/>
          </w:tcPr>
          <w:p w14:paraId="58027CF7" w14:textId="77777777" w:rsidR="009C6A7C" w:rsidRPr="00B01F9E" w:rsidRDefault="009C6A7C" w:rsidP="00F1012A">
            <w:pPr>
              <w:pStyle w:val="ListParagraph"/>
              <w:numPr>
                <w:ilvl w:val="0"/>
                <w:numId w:val="41"/>
              </w:numPr>
              <w:rPr>
                <w:rFonts w:ascii="Arial" w:hAnsi="Arial" w:cs="Arial"/>
                <w:sz w:val="20"/>
                <w:szCs w:val="20"/>
              </w:rPr>
            </w:pPr>
            <w:r w:rsidRPr="00B01F9E">
              <w:rPr>
                <w:rFonts w:ascii="Arial" w:hAnsi="Arial" w:cs="Arial"/>
                <w:sz w:val="20"/>
                <w:szCs w:val="20"/>
              </w:rPr>
              <w:t xml:space="preserve">Provide complete review and documentation of LIDR implementation and data/file gaps </w:t>
            </w:r>
          </w:p>
        </w:tc>
        <w:tc>
          <w:tcPr>
            <w:tcW w:w="3107" w:type="dxa"/>
          </w:tcPr>
          <w:p w14:paraId="5A9790DA" w14:textId="13E0BD1E" w:rsidR="009C6A7C" w:rsidRPr="00B01F9E" w:rsidRDefault="00000000" w:rsidP="00F1012A">
            <w:pPr>
              <w:rPr>
                <w:rFonts w:ascii="Arial" w:hAnsi="Arial" w:cs="Arial"/>
                <w:sz w:val="20"/>
                <w:szCs w:val="20"/>
              </w:rPr>
            </w:pPr>
            <w:hyperlink w:anchor="_3.7_Gap_Analysis" w:history="1">
              <w:r w:rsidR="004713BD" w:rsidRPr="00B01F9E">
                <w:rPr>
                  <w:rStyle w:val="Hyperlink"/>
                  <w:rFonts w:ascii="Arial" w:hAnsi="Arial" w:cs="Arial"/>
                  <w:sz w:val="20"/>
                  <w:szCs w:val="20"/>
                </w:rPr>
                <w:t xml:space="preserve">Section </w:t>
              </w:r>
              <w:r w:rsidR="00795E17" w:rsidRPr="00B01F9E">
                <w:rPr>
                  <w:rStyle w:val="Hyperlink"/>
                  <w:rFonts w:ascii="Arial" w:hAnsi="Arial" w:cs="Arial"/>
                  <w:sz w:val="20"/>
                  <w:szCs w:val="20"/>
                </w:rPr>
                <w:t>3</w:t>
              </w:r>
              <w:r w:rsidR="004713BD" w:rsidRPr="00B01F9E">
                <w:rPr>
                  <w:rStyle w:val="Hyperlink"/>
                  <w:rFonts w:ascii="Arial" w:hAnsi="Arial" w:cs="Arial"/>
                  <w:sz w:val="20"/>
                  <w:szCs w:val="20"/>
                </w:rPr>
                <w:t>.7: Gap Analysis</w:t>
              </w:r>
            </w:hyperlink>
            <w:r w:rsidR="004713BD" w:rsidRPr="00B01F9E">
              <w:rPr>
                <w:rFonts w:ascii="Arial" w:hAnsi="Arial" w:cs="Arial"/>
                <w:sz w:val="20"/>
                <w:szCs w:val="20"/>
              </w:rPr>
              <w:t xml:space="preserve"> </w:t>
            </w:r>
          </w:p>
        </w:tc>
      </w:tr>
      <w:tr w:rsidR="009C6A7C" w:rsidRPr="00B01F9E" w14:paraId="2E69ABEF" w14:textId="01149A20" w:rsidTr="00F1012A">
        <w:tc>
          <w:tcPr>
            <w:tcW w:w="1705" w:type="dxa"/>
          </w:tcPr>
          <w:p w14:paraId="5695F752" w14:textId="77777777" w:rsidR="009C6A7C" w:rsidRPr="00B01F9E" w:rsidRDefault="009C6A7C" w:rsidP="00F1012A">
            <w:pPr>
              <w:rPr>
                <w:rFonts w:ascii="Arial" w:hAnsi="Arial" w:cs="Arial"/>
                <w:sz w:val="20"/>
                <w:szCs w:val="20"/>
              </w:rPr>
            </w:pPr>
            <w:r w:rsidRPr="00B01F9E">
              <w:rPr>
                <w:rFonts w:ascii="Arial" w:hAnsi="Arial" w:cs="Arial"/>
                <w:sz w:val="20"/>
                <w:szCs w:val="20"/>
              </w:rPr>
              <w:t>Training and Education development</w:t>
            </w:r>
          </w:p>
        </w:tc>
        <w:tc>
          <w:tcPr>
            <w:tcW w:w="4538" w:type="dxa"/>
          </w:tcPr>
          <w:p w14:paraId="523DF841" w14:textId="77777777" w:rsidR="009C6A7C" w:rsidRPr="00B01F9E" w:rsidRDefault="009C6A7C" w:rsidP="00F1012A">
            <w:pPr>
              <w:pStyle w:val="ListParagraph"/>
              <w:numPr>
                <w:ilvl w:val="0"/>
                <w:numId w:val="41"/>
              </w:numPr>
              <w:rPr>
                <w:rFonts w:ascii="Arial" w:hAnsi="Arial" w:cs="Arial"/>
                <w:sz w:val="20"/>
                <w:szCs w:val="20"/>
              </w:rPr>
            </w:pPr>
            <w:r w:rsidRPr="00B01F9E">
              <w:rPr>
                <w:rFonts w:ascii="Arial" w:hAnsi="Arial" w:cs="Arial"/>
                <w:sz w:val="20"/>
                <w:szCs w:val="20"/>
              </w:rPr>
              <w:t>Successful completion of Training and Education content that would assist in configuration of different systems to use LIDR</w:t>
            </w:r>
          </w:p>
        </w:tc>
        <w:tc>
          <w:tcPr>
            <w:tcW w:w="3107" w:type="dxa"/>
          </w:tcPr>
          <w:p w14:paraId="0E697B72" w14:textId="262C2E34" w:rsidR="009C6A7C" w:rsidRPr="00B01F9E" w:rsidRDefault="00000000" w:rsidP="00F1012A">
            <w:pPr>
              <w:rPr>
                <w:rFonts w:ascii="Arial" w:hAnsi="Arial" w:cs="Arial"/>
                <w:sz w:val="20"/>
                <w:szCs w:val="20"/>
              </w:rPr>
            </w:pPr>
            <w:hyperlink w:anchor="_4._TRAINING_AND" w:history="1">
              <w:r w:rsidR="004713BD" w:rsidRPr="00B01F9E">
                <w:rPr>
                  <w:rStyle w:val="Hyperlink"/>
                  <w:rFonts w:ascii="Arial" w:hAnsi="Arial" w:cs="Arial"/>
                  <w:sz w:val="20"/>
                  <w:szCs w:val="20"/>
                </w:rPr>
                <w:t xml:space="preserve">Section </w:t>
              </w:r>
              <w:r w:rsidR="00795E17" w:rsidRPr="00B01F9E">
                <w:rPr>
                  <w:rStyle w:val="Hyperlink"/>
                  <w:rFonts w:ascii="Arial" w:hAnsi="Arial" w:cs="Arial"/>
                  <w:sz w:val="20"/>
                  <w:szCs w:val="20"/>
                </w:rPr>
                <w:t>4</w:t>
              </w:r>
              <w:r w:rsidR="004713BD" w:rsidRPr="00B01F9E">
                <w:rPr>
                  <w:rStyle w:val="Hyperlink"/>
                  <w:rFonts w:ascii="Arial" w:hAnsi="Arial" w:cs="Arial"/>
                  <w:sz w:val="20"/>
                  <w:szCs w:val="20"/>
                </w:rPr>
                <w:t>: Training and Education Materials</w:t>
              </w:r>
            </w:hyperlink>
            <w:r w:rsidR="004713BD" w:rsidRPr="00B01F9E">
              <w:rPr>
                <w:rFonts w:ascii="Arial" w:hAnsi="Arial" w:cs="Arial"/>
                <w:sz w:val="20"/>
                <w:szCs w:val="20"/>
              </w:rPr>
              <w:t xml:space="preserve"> </w:t>
            </w:r>
          </w:p>
        </w:tc>
      </w:tr>
      <w:tr w:rsidR="009C6A7C" w:rsidRPr="00B01F9E" w14:paraId="40E98F56" w14:textId="37E3395A" w:rsidTr="00F1012A">
        <w:tc>
          <w:tcPr>
            <w:tcW w:w="1705" w:type="dxa"/>
          </w:tcPr>
          <w:p w14:paraId="26F5ACE5" w14:textId="6D4B7AB4" w:rsidR="009C6A7C" w:rsidRPr="00B01F9E" w:rsidRDefault="009C6A7C" w:rsidP="00F1012A">
            <w:pPr>
              <w:rPr>
                <w:rFonts w:ascii="Arial" w:hAnsi="Arial" w:cs="Arial"/>
                <w:sz w:val="20"/>
                <w:szCs w:val="20"/>
              </w:rPr>
            </w:pPr>
            <w:r w:rsidRPr="00B01F9E">
              <w:rPr>
                <w:rFonts w:ascii="Arial" w:hAnsi="Arial" w:cs="Arial"/>
                <w:sz w:val="20"/>
                <w:szCs w:val="20"/>
              </w:rPr>
              <w:t xml:space="preserve">ANF </w:t>
            </w:r>
          </w:p>
        </w:tc>
        <w:tc>
          <w:tcPr>
            <w:tcW w:w="4538" w:type="dxa"/>
          </w:tcPr>
          <w:p w14:paraId="39F68217" w14:textId="77777777" w:rsidR="009C6A7C" w:rsidRPr="00B01F9E" w:rsidRDefault="009C6A7C" w:rsidP="00F1012A">
            <w:pPr>
              <w:pStyle w:val="ListParagraph"/>
              <w:numPr>
                <w:ilvl w:val="0"/>
                <w:numId w:val="41"/>
              </w:numPr>
              <w:rPr>
                <w:rFonts w:ascii="Arial" w:hAnsi="Arial" w:cs="Arial"/>
                <w:sz w:val="20"/>
                <w:szCs w:val="20"/>
              </w:rPr>
            </w:pPr>
            <w:r w:rsidRPr="00B01F9E">
              <w:rPr>
                <w:rFonts w:ascii="Arial" w:hAnsi="Arial" w:cs="Arial"/>
                <w:sz w:val="20"/>
                <w:szCs w:val="20"/>
              </w:rPr>
              <w:t xml:space="preserve">Analyze whether ANF is fit for purpose or needs modification; identify whether it adds value or additional complexity </w:t>
            </w:r>
          </w:p>
        </w:tc>
        <w:tc>
          <w:tcPr>
            <w:tcW w:w="3107" w:type="dxa"/>
          </w:tcPr>
          <w:p w14:paraId="231C01DF" w14:textId="1E113EBC" w:rsidR="009C6A7C" w:rsidRPr="00B01F9E" w:rsidRDefault="00000000" w:rsidP="00F1012A">
            <w:pPr>
              <w:rPr>
                <w:rFonts w:ascii="Arial" w:hAnsi="Arial" w:cs="Arial"/>
                <w:sz w:val="20"/>
                <w:szCs w:val="20"/>
              </w:rPr>
            </w:pPr>
            <w:hyperlink w:anchor="_5._ANALYSIS_NORMAL" w:history="1">
              <w:r w:rsidR="004713BD" w:rsidRPr="00B01F9E">
                <w:rPr>
                  <w:rStyle w:val="Hyperlink"/>
                  <w:rFonts w:ascii="Arial" w:hAnsi="Arial" w:cs="Arial"/>
                  <w:sz w:val="20"/>
                  <w:szCs w:val="20"/>
                </w:rPr>
                <w:t xml:space="preserve">Section </w:t>
              </w:r>
              <w:r w:rsidR="00795E17" w:rsidRPr="00B01F9E">
                <w:rPr>
                  <w:rStyle w:val="Hyperlink"/>
                  <w:rFonts w:ascii="Arial" w:hAnsi="Arial" w:cs="Arial"/>
                  <w:sz w:val="20"/>
                  <w:szCs w:val="20"/>
                </w:rPr>
                <w:t>5</w:t>
              </w:r>
              <w:r w:rsidR="004713BD" w:rsidRPr="00B01F9E">
                <w:rPr>
                  <w:rStyle w:val="Hyperlink"/>
                  <w:rFonts w:ascii="Arial" w:hAnsi="Arial" w:cs="Arial"/>
                  <w:sz w:val="20"/>
                  <w:szCs w:val="20"/>
                </w:rPr>
                <w:t>: Analysis Normal Form (ANF)</w:t>
              </w:r>
            </w:hyperlink>
            <w:r w:rsidR="004713BD" w:rsidRPr="00B01F9E">
              <w:rPr>
                <w:rFonts w:ascii="Arial" w:hAnsi="Arial" w:cs="Arial"/>
                <w:sz w:val="20"/>
                <w:szCs w:val="20"/>
              </w:rPr>
              <w:t xml:space="preserve"> </w:t>
            </w:r>
          </w:p>
        </w:tc>
      </w:tr>
      <w:tr w:rsidR="009C6A7C" w:rsidRPr="00B01F9E" w14:paraId="11282351" w14:textId="3333131F" w:rsidTr="00F1012A">
        <w:tc>
          <w:tcPr>
            <w:tcW w:w="1705" w:type="dxa"/>
          </w:tcPr>
          <w:p w14:paraId="5B2CAE0F" w14:textId="77777777" w:rsidR="009C6A7C" w:rsidRPr="00B01F9E" w:rsidRDefault="009C6A7C" w:rsidP="00F1012A">
            <w:pPr>
              <w:rPr>
                <w:rFonts w:ascii="Arial" w:hAnsi="Arial" w:cs="Arial"/>
                <w:sz w:val="20"/>
                <w:szCs w:val="20"/>
              </w:rPr>
            </w:pPr>
            <w:r w:rsidRPr="00B01F9E">
              <w:rPr>
                <w:rFonts w:ascii="Arial" w:hAnsi="Arial" w:cs="Arial"/>
                <w:sz w:val="20"/>
                <w:szCs w:val="20"/>
              </w:rPr>
              <w:t xml:space="preserve">Overall Project </w:t>
            </w:r>
          </w:p>
        </w:tc>
        <w:tc>
          <w:tcPr>
            <w:tcW w:w="4538" w:type="dxa"/>
          </w:tcPr>
          <w:p w14:paraId="5C1E4ACB" w14:textId="77777777" w:rsidR="009C6A7C" w:rsidRPr="00B01F9E" w:rsidRDefault="009C6A7C" w:rsidP="00F1012A">
            <w:pPr>
              <w:pStyle w:val="ListParagraph"/>
              <w:numPr>
                <w:ilvl w:val="0"/>
                <w:numId w:val="41"/>
              </w:numPr>
              <w:rPr>
                <w:rFonts w:ascii="Arial" w:hAnsi="Arial" w:cs="Arial"/>
                <w:sz w:val="20"/>
                <w:szCs w:val="20"/>
              </w:rPr>
            </w:pPr>
            <w:r w:rsidRPr="00B01F9E">
              <w:rPr>
                <w:rFonts w:ascii="Arial" w:hAnsi="Arial" w:cs="Arial"/>
                <w:sz w:val="20"/>
                <w:szCs w:val="20"/>
              </w:rPr>
              <w:t>Provide all FDA Deliverables within the Year 2 timeline</w:t>
            </w:r>
          </w:p>
        </w:tc>
        <w:tc>
          <w:tcPr>
            <w:tcW w:w="3107" w:type="dxa"/>
          </w:tcPr>
          <w:p w14:paraId="497151F2" w14:textId="33A53BBE" w:rsidR="009C6A7C" w:rsidRPr="00B01F9E" w:rsidRDefault="00B729CE" w:rsidP="00F1012A">
            <w:pPr>
              <w:rPr>
                <w:rFonts w:ascii="Arial" w:hAnsi="Arial" w:cs="Arial"/>
                <w:sz w:val="20"/>
                <w:szCs w:val="20"/>
              </w:rPr>
            </w:pPr>
            <w:r w:rsidRPr="00B01F9E">
              <w:rPr>
                <w:rFonts w:ascii="Arial" w:hAnsi="Arial" w:cs="Arial"/>
                <w:sz w:val="20"/>
                <w:szCs w:val="20"/>
              </w:rPr>
              <w:t>N/A</w:t>
            </w:r>
          </w:p>
        </w:tc>
      </w:tr>
    </w:tbl>
    <w:p w14:paraId="5B86AFE5" w14:textId="74DD15F9" w:rsidR="00490A50" w:rsidRPr="00B01F9E" w:rsidRDefault="00BB62D3" w:rsidP="00163CA6">
      <w:pPr>
        <w:pStyle w:val="Heading2"/>
        <w:spacing w:before="120"/>
        <w:rPr>
          <w:rFonts w:ascii="Arial" w:hAnsi="Arial" w:cs="Arial"/>
          <w:b/>
          <w:bCs/>
          <w:color w:val="009BBF"/>
          <w:sz w:val="20"/>
          <w:szCs w:val="20"/>
        </w:rPr>
      </w:pPr>
      <w:bookmarkStart w:id="391" w:name="_Toc177137028"/>
      <w:r w:rsidRPr="00B01F9E">
        <w:rPr>
          <w:rFonts w:ascii="Arial" w:hAnsi="Arial" w:cs="Arial"/>
          <w:b/>
          <w:bCs/>
          <w:color w:val="009BBF"/>
          <w:sz w:val="20"/>
          <w:szCs w:val="20"/>
        </w:rPr>
        <w:lastRenderedPageBreak/>
        <w:t>7</w:t>
      </w:r>
      <w:r w:rsidR="00490A50" w:rsidRPr="00B01F9E">
        <w:rPr>
          <w:rFonts w:ascii="Arial" w:hAnsi="Arial" w:cs="Arial"/>
          <w:b/>
          <w:bCs/>
          <w:color w:val="009BBF"/>
          <w:sz w:val="20"/>
          <w:szCs w:val="20"/>
        </w:rPr>
        <w:t>.</w:t>
      </w:r>
      <w:r w:rsidR="009C6A7C" w:rsidRPr="00B01F9E">
        <w:rPr>
          <w:rFonts w:ascii="Arial" w:hAnsi="Arial" w:cs="Arial"/>
          <w:b/>
          <w:bCs/>
          <w:color w:val="009BBF"/>
          <w:sz w:val="20"/>
          <w:szCs w:val="20"/>
        </w:rPr>
        <w:t>2</w:t>
      </w:r>
      <w:r w:rsidR="00490A50" w:rsidRPr="00B01F9E">
        <w:rPr>
          <w:rFonts w:ascii="Arial" w:hAnsi="Arial" w:cs="Arial"/>
          <w:b/>
          <w:bCs/>
          <w:color w:val="009BBF"/>
          <w:sz w:val="20"/>
          <w:szCs w:val="20"/>
        </w:rPr>
        <w:t xml:space="preserve"> </w:t>
      </w:r>
      <w:r w:rsidR="00304EA1" w:rsidRPr="00B01F9E">
        <w:rPr>
          <w:rFonts w:ascii="Arial" w:hAnsi="Arial" w:cs="Arial"/>
          <w:b/>
          <w:bCs/>
          <w:color w:val="009BBF"/>
          <w:sz w:val="20"/>
          <w:szCs w:val="20"/>
        </w:rPr>
        <w:t xml:space="preserve">Terminology </w:t>
      </w:r>
      <w:r w:rsidR="00490A50" w:rsidRPr="00B01F9E">
        <w:rPr>
          <w:rFonts w:ascii="Arial" w:hAnsi="Arial" w:cs="Arial"/>
          <w:b/>
          <w:bCs/>
          <w:color w:val="009BBF"/>
          <w:sz w:val="20"/>
          <w:szCs w:val="20"/>
        </w:rPr>
        <w:t>Glossary</w:t>
      </w:r>
      <w:bookmarkEnd w:id="391"/>
      <w:r w:rsidR="00490A50" w:rsidRPr="00B01F9E">
        <w:rPr>
          <w:rFonts w:ascii="Arial" w:hAnsi="Arial" w:cs="Arial"/>
          <w:b/>
          <w:bCs/>
          <w:color w:val="009BBF"/>
          <w:sz w:val="20"/>
          <w:szCs w:val="20"/>
        </w:rPr>
        <w:t xml:space="preserve"> </w:t>
      </w:r>
    </w:p>
    <w:tbl>
      <w:tblPr>
        <w:tblStyle w:val="TableGrid"/>
        <w:tblW w:w="9350" w:type="dxa"/>
        <w:tblLook w:val="04A0" w:firstRow="1" w:lastRow="0" w:firstColumn="1" w:lastColumn="0" w:noHBand="0" w:noVBand="1"/>
      </w:tblPr>
      <w:tblGrid>
        <w:gridCol w:w="1785"/>
        <w:gridCol w:w="7565"/>
      </w:tblGrid>
      <w:tr w:rsidR="00627BF4" w:rsidRPr="00B01F9E" w14:paraId="62F1E305" w14:textId="77777777" w:rsidTr="00A40238">
        <w:trPr>
          <w:trHeight w:val="231"/>
        </w:trPr>
        <w:tc>
          <w:tcPr>
            <w:tcW w:w="1779" w:type="dxa"/>
            <w:shd w:val="clear" w:color="auto" w:fill="009ABF" w:themeFill="text1"/>
          </w:tcPr>
          <w:p w14:paraId="76507F9A" w14:textId="77777777" w:rsidR="00627BF4" w:rsidRPr="00A40238" w:rsidRDefault="00627BF4">
            <w:pPr>
              <w:rPr>
                <w:rFonts w:ascii="Arial" w:hAnsi="Arial" w:cs="Arial"/>
                <w:b/>
                <w:bCs/>
                <w:color w:val="FFFFFF"/>
                <w:sz w:val="20"/>
                <w:szCs w:val="20"/>
              </w:rPr>
            </w:pPr>
            <w:r w:rsidRPr="00A40238">
              <w:rPr>
                <w:rFonts w:ascii="Arial" w:hAnsi="Arial" w:cs="Arial"/>
                <w:b/>
                <w:bCs/>
                <w:color w:val="FFFFFF"/>
                <w:sz w:val="20"/>
                <w:szCs w:val="20"/>
              </w:rPr>
              <w:t>Term</w:t>
            </w:r>
          </w:p>
        </w:tc>
        <w:tc>
          <w:tcPr>
            <w:tcW w:w="7571" w:type="dxa"/>
            <w:shd w:val="clear" w:color="auto" w:fill="009ABF" w:themeFill="text1"/>
          </w:tcPr>
          <w:p w14:paraId="093C2206" w14:textId="77777777" w:rsidR="00627BF4" w:rsidRPr="00A40238" w:rsidRDefault="00627BF4">
            <w:pPr>
              <w:rPr>
                <w:rFonts w:ascii="Arial" w:hAnsi="Arial" w:cs="Arial"/>
                <w:b/>
                <w:bCs/>
                <w:color w:val="FFFFFF"/>
                <w:sz w:val="20"/>
                <w:szCs w:val="20"/>
              </w:rPr>
            </w:pPr>
            <w:r w:rsidRPr="00A40238">
              <w:rPr>
                <w:rFonts w:ascii="Arial" w:hAnsi="Arial" w:cs="Arial"/>
                <w:b/>
                <w:bCs/>
                <w:color w:val="FFFFFF"/>
                <w:sz w:val="20"/>
                <w:szCs w:val="20"/>
              </w:rPr>
              <w:t>Definition</w:t>
            </w:r>
          </w:p>
        </w:tc>
      </w:tr>
      <w:tr w:rsidR="009E5B07" w:rsidRPr="00B01F9E" w14:paraId="63211A2E" w14:textId="77777777" w:rsidTr="004C61C0">
        <w:trPr>
          <w:trHeight w:val="910"/>
        </w:trPr>
        <w:tc>
          <w:tcPr>
            <w:tcW w:w="1779" w:type="dxa"/>
            <w:shd w:val="clear" w:color="auto" w:fill="auto"/>
          </w:tcPr>
          <w:p w14:paraId="7824F1CE" w14:textId="57455F8E" w:rsidR="009E5B07" w:rsidRPr="00B01F9E" w:rsidRDefault="00E17391">
            <w:pPr>
              <w:rPr>
                <w:rFonts w:ascii="Arial" w:hAnsi="Arial" w:cs="Arial"/>
                <w:sz w:val="20"/>
                <w:szCs w:val="20"/>
              </w:rPr>
            </w:pPr>
            <w:r w:rsidRPr="00B01F9E">
              <w:rPr>
                <w:rFonts w:ascii="Arial" w:hAnsi="Arial" w:cs="Arial"/>
                <w:sz w:val="20"/>
                <w:szCs w:val="20"/>
              </w:rPr>
              <w:t>American Joint Committee on Cancer (AJCC)</w:t>
            </w:r>
          </w:p>
        </w:tc>
        <w:tc>
          <w:tcPr>
            <w:tcW w:w="7571" w:type="dxa"/>
            <w:shd w:val="clear" w:color="auto" w:fill="auto"/>
          </w:tcPr>
          <w:p w14:paraId="3C5D520A" w14:textId="79F82D21" w:rsidR="009E5B07" w:rsidRPr="00B01F9E" w:rsidRDefault="00A010C3">
            <w:pPr>
              <w:pStyle w:val="NormalWeb"/>
              <w:spacing w:before="0" w:beforeAutospacing="0" w:after="0" w:afterAutospacing="0"/>
              <w:rPr>
                <w:rFonts w:ascii="Arial" w:hAnsi="Arial" w:cs="Arial"/>
                <w:sz w:val="20"/>
                <w:szCs w:val="20"/>
              </w:rPr>
            </w:pPr>
            <w:r w:rsidRPr="00B01F9E">
              <w:rPr>
                <w:rFonts w:ascii="Arial" w:hAnsi="Arial" w:cs="Arial"/>
                <w:sz w:val="20"/>
                <w:szCs w:val="20"/>
              </w:rPr>
              <w:t>The American College of Surgeo</w:t>
            </w:r>
            <w:r w:rsidR="009E268C" w:rsidRPr="00B01F9E">
              <w:rPr>
                <w:rFonts w:ascii="Arial" w:hAnsi="Arial" w:cs="Arial"/>
                <w:sz w:val="20"/>
                <w:szCs w:val="20"/>
              </w:rPr>
              <w:t>n</w:t>
            </w:r>
            <w:r w:rsidRPr="00B01F9E">
              <w:rPr>
                <w:rFonts w:ascii="Arial" w:hAnsi="Arial" w:cs="Arial"/>
                <w:sz w:val="20"/>
                <w:szCs w:val="20"/>
              </w:rPr>
              <w:t>s Cancer Programs provide tools, resources, and data that enable cancer programs to deliver comprehensive, high-quality, multidisciplinary, evidence-based, patient-centered care to patients with cancer and diseases of the breast.</w:t>
            </w:r>
            <w:r w:rsidR="000158D4" w:rsidRPr="00B01F9E">
              <w:rPr>
                <w:rFonts w:ascii="Arial" w:hAnsi="Arial" w:cs="Arial"/>
                <w:sz w:val="20"/>
                <w:szCs w:val="20"/>
              </w:rPr>
              <w:t xml:space="preserve"> </w:t>
            </w:r>
            <w:hyperlink r:id="rId91" w:history="1">
              <w:r w:rsidR="000158D4" w:rsidRPr="00B01F9E">
                <w:rPr>
                  <w:rStyle w:val="Hyperlink"/>
                  <w:rFonts w:ascii="Arial" w:hAnsi="Arial" w:cs="Arial"/>
                  <w:sz w:val="20"/>
                  <w:szCs w:val="20"/>
                </w:rPr>
                <w:t>https://www.facs.org/quality-programs/cancer-programs/</w:t>
              </w:r>
            </w:hyperlink>
            <w:r w:rsidRPr="00B01F9E">
              <w:rPr>
                <w:rFonts w:ascii="Arial" w:hAnsi="Arial" w:cs="Arial"/>
                <w:sz w:val="20"/>
                <w:szCs w:val="20"/>
              </w:rPr>
              <w:t xml:space="preserve"> </w:t>
            </w:r>
          </w:p>
        </w:tc>
      </w:tr>
      <w:tr w:rsidR="000D6C9A" w:rsidRPr="00B01F9E" w14:paraId="425F720D" w14:textId="77777777" w:rsidTr="004C61C0">
        <w:trPr>
          <w:trHeight w:val="1835"/>
        </w:trPr>
        <w:tc>
          <w:tcPr>
            <w:tcW w:w="1779" w:type="dxa"/>
            <w:shd w:val="clear" w:color="auto" w:fill="auto"/>
          </w:tcPr>
          <w:p w14:paraId="73C4B121" w14:textId="1ABAD327" w:rsidR="000D6C9A" w:rsidRPr="00B01F9E" w:rsidRDefault="000D6C9A">
            <w:pPr>
              <w:rPr>
                <w:rFonts w:ascii="Arial" w:hAnsi="Arial" w:cs="Arial"/>
                <w:sz w:val="20"/>
                <w:szCs w:val="20"/>
              </w:rPr>
            </w:pPr>
            <w:r w:rsidRPr="00B01F9E">
              <w:rPr>
                <w:rFonts w:ascii="Arial" w:hAnsi="Arial" w:cs="Arial"/>
                <w:sz w:val="20"/>
                <w:szCs w:val="20"/>
              </w:rPr>
              <w:t>Analysis Normal Form (ANF)</w:t>
            </w:r>
          </w:p>
        </w:tc>
        <w:tc>
          <w:tcPr>
            <w:tcW w:w="7571" w:type="dxa"/>
            <w:shd w:val="clear" w:color="auto" w:fill="auto"/>
          </w:tcPr>
          <w:p w14:paraId="65D01D35" w14:textId="49BE700B" w:rsidR="000D6C9A" w:rsidRPr="00B01F9E" w:rsidRDefault="009E268C">
            <w:pPr>
              <w:pStyle w:val="NormalWeb"/>
              <w:spacing w:before="0" w:beforeAutospacing="0" w:after="0" w:afterAutospacing="0"/>
              <w:rPr>
                <w:rFonts w:ascii="Arial" w:hAnsi="Arial" w:cs="Arial"/>
                <w:sz w:val="20"/>
                <w:szCs w:val="20"/>
              </w:rPr>
            </w:pPr>
            <w:r w:rsidRPr="00B01F9E">
              <w:rPr>
                <w:rFonts w:ascii="Arial" w:hAnsi="Arial" w:cs="Arial"/>
                <w:sz w:val="20"/>
                <w:szCs w:val="20"/>
              </w:rPr>
              <w:t>Analysis Normal Form (ANF) is a logical model intended to represent a normalized view of aggregate clinical statements for analysis, research, clinical decision support, and other purposes. ANF can be used to represent any clinical statement irrespective of how the information was captured at its source The ANF Reference Model and methodology can be used in conjunction with other models intended to ensure that clinical information is structured and complete at the time of entry (e.g.</w:t>
            </w:r>
            <w:r w:rsidR="00F53FFA" w:rsidRPr="00B01F9E">
              <w:rPr>
                <w:rFonts w:ascii="Arial" w:hAnsi="Arial" w:cs="Arial"/>
                <w:sz w:val="20"/>
                <w:szCs w:val="20"/>
              </w:rPr>
              <w:t>,</w:t>
            </w:r>
            <w:r w:rsidRPr="00B01F9E">
              <w:rPr>
                <w:rFonts w:ascii="Arial" w:hAnsi="Arial" w:cs="Arial"/>
                <w:sz w:val="20"/>
                <w:szCs w:val="20"/>
              </w:rPr>
              <w:t xml:space="preserve"> CIMI models, ISO/TS 13972 Detailed Clinical Models) or exchanged among systems (e.g.</w:t>
            </w:r>
            <w:r w:rsidR="00F53FFA" w:rsidRPr="00B01F9E">
              <w:rPr>
                <w:rFonts w:ascii="Arial" w:hAnsi="Arial" w:cs="Arial"/>
                <w:sz w:val="20"/>
                <w:szCs w:val="20"/>
              </w:rPr>
              <w:t>,</w:t>
            </w:r>
            <w:r w:rsidRPr="00B01F9E">
              <w:rPr>
                <w:rFonts w:ascii="Arial" w:hAnsi="Arial" w:cs="Arial"/>
                <w:sz w:val="20"/>
                <w:szCs w:val="20"/>
              </w:rPr>
              <w:t xml:space="preserve"> HL7 CDA templates, HL7 V2 message profiles, FHIR profiles).</w:t>
            </w:r>
          </w:p>
          <w:p w14:paraId="5BCC2976" w14:textId="6E362D28" w:rsidR="000D6C9A" w:rsidRPr="00B01F9E" w:rsidRDefault="00000000">
            <w:pPr>
              <w:pStyle w:val="NormalWeb"/>
              <w:spacing w:before="0" w:beforeAutospacing="0" w:after="0" w:afterAutospacing="0"/>
              <w:rPr>
                <w:rFonts w:ascii="Arial" w:hAnsi="Arial" w:cs="Arial"/>
                <w:sz w:val="20"/>
                <w:szCs w:val="20"/>
              </w:rPr>
            </w:pPr>
            <w:hyperlink r:id="rId92" w:history="1">
              <w:r w:rsidR="00C8544D" w:rsidRPr="00B01F9E">
                <w:rPr>
                  <w:rStyle w:val="Hyperlink"/>
                  <w:rFonts w:ascii="Arial" w:hAnsi="Arial" w:cs="Arial"/>
                  <w:sz w:val="20"/>
                  <w:szCs w:val="20"/>
                </w:rPr>
                <w:t>https://www.hl7.org/implement/standards/product_brief.cfm?product_id=523</w:t>
              </w:r>
            </w:hyperlink>
            <w:r w:rsidR="00C8544D" w:rsidRPr="00B01F9E">
              <w:rPr>
                <w:rFonts w:ascii="Arial" w:hAnsi="Arial" w:cs="Arial"/>
                <w:sz w:val="20"/>
                <w:szCs w:val="20"/>
              </w:rPr>
              <w:t xml:space="preserve"> </w:t>
            </w:r>
          </w:p>
        </w:tc>
      </w:tr>
      <w:tr w:rsidR="00EA0666" w:rsidRPr="00B01F9E" w14:paraId="1EFAD78A" w14:textId="77777777" w:rsidTr="004C61C0">
        <w:trPr>
          <w:trHeight w:val="144"/>
        </w:trPr>
        <w:tc>
          <w:tcPr>
            <w:tcW w:w="1779" w:type="dxa"/>
            <w:shd w:val="clear" w:color="auto" w:fill="auto"/>
          </w:tcPr>
          <w:p w14:paraId="76B33BD2" w14:textId="099A21A5" w:rsidR="00EA0666" w:rsidRPr="00B01F9E" w:rsidRDefault="002C6565">
            <w:pPr>
              <w:rPr>
                <w:rFonts w:ascii="Arial" w:hAnsi="Arial" w:cs="Arial"/>
                <w:sz w:val="20"/>
                <w:szCs w:val="20"/>
              </w:rPr>
            </w:pPr>
            <w:r w:rsidRPr="00B01F9E">
              <w:rPr>
                <w:rFonts w:ascii="Arial" w:hAnsi="Arial" w:cs="Arial"/>
                <w:sz w:val="20"/>
                <w:szCs w:val="20"/>
              </w:rPr>
              <w:t>Anatomic Pathology (AP)</w:t>
            </w:r>
          </w:p>
        </w:tc>
        <w:tc>
          <w:tcPr>
            <w:tcW w:w="7571" w:type="dxa"/>
            <w:shd w:val="clear" w:color="auto" w:fill="auto"/>
          </w:tcPr>
          <w:p w14:paraId="550AEB89" w14:textId="15BBEAB2" w:rsidR="00EA0666" w:rsidRPr="00B01F9E" w:rsidRDefault="00E002BB">
            <w:pPr>
              <w:pStyle w:val="NormalWeb"/>
              <w:spacing w:before="0" w:beforeAutospacing="0" w:after="0" w:afterAutospacing="0"/>
              <w:rPr>
                <w:rFonts w:ascii="Arial" w:hAnsi="Arial" w:cs="Arial"/>
                <w:sz w:val="20"/>
                <w:szCs w:val="20"/>
              </w:rPr>
            </w:pPr>
            <w:r w:rsidRPr="00B01F9E">
              <w:rPr>
                <w:rFonts w:ascii="Arial" w:hAnsi="Arial" w:cs="Arial"/>
                <w:sz w:val="20"/>
                <w:szCs w:val="20"/>
              </w:rPr>
              <w:t>Anatomic pathology primarily consists of tissue evaluation—from individual cells from a Pap smear, a fine needle aspiration of a mass, or evaluation of the entire body in an autopsy, and everything in between.</w:t>
            </w:r>
            <w:r w:rsidR="000158D4" w:rsidRPr="00B01F9E">
              <w:rPr>
                <w:rFonts w:ascii="Arial" w:hAnsi="Arial" w:cs="Arial"/>
                <w:sz w:val="20"/>
                <w:szCs w:val="20"/>
              </w:rPr>
              <w:t xml:space="preserve"> </w:t>
            </w:r>
            <w:hyperlink r:id="rId93" w:history="1">
              <w:r w:rsidR="000158D4" w:rsidRPr="00B01F9E">
                <w:rPr>
                  <w:rStyle w:val="Hyperlink"/>
                  <w:rFonts w:ascii="Arial" w:hAnsi="Arial" w:cs="Arial"/>
                  <w:sz w:val="20"/>
                  <w:szCs w:val="20"/>
                </w:rPr>
                <w:t>https://documents.cap.org/documents/overview-anatomic-clinical-pathology-medical-students.pdf</w:t>
              </w:r>
            </w:hyperlink>
            <w:r w:rsidRPr="00B01F9E">
              <w:rPr>
                <w:rFonts w:ascii="Arial" w:hAnsi="Arial" w:cs="Arial"/>
                <w:sz w:val="20"/>
                <w:szCs w:val="20"/>
              </w:rPr>
              <w:t xml:space="preserve"> </w:t>
            </w:r>
          </w:p>
        </w:tc>
      </w:tr>
      <w:tr w:rsidR="00627BF4" w:rsidRPr="00B01F9E" w14:paraId="29020191" w14:textId="77777777" w:rsidTr="004C61C0">
        <w:trPr>
          <w:trHeight w:val="144"/>
        </w:trPr>
        <w:tc>
          <w:tcPr>
            <w:tcW w:w="1779" w:type="dxa"/>
            <w:shd w:val="clear" w:color="auto" w:fill="auto"/>
          </w:tcPr>
          <w:p w14:paraId="749F2269" w14:textId="0A762F69" w:rsidR="00627BF4" w:rsidRPr="00B01F9E" w:rsidRDefault="00627BF4">
            <w:pPr>
              <w:rPr>
                <w:rFonts w:ascii="Arial" w:hAnsi="Arial" w:cs="Arial"/>
                <w:sz w:val="20"/>
                <w:szCs w:val="20"/>
              </w:rPr>
            </w:pPr>
            <w:r w:rsidRPr="00B01F9E">
              <w:rPr>
                <w:rFonts w:ascii="Arial" w:hAnsi="Arial" w:cs="Arial"/>
                <w:sz w:val="20"/>
                <w:szCs w:val="20"/>
              </w:rPr>
              <w:t xml:space="preserve">Application </w:t>
            </w:r>
          </w:p>
          <w:p w14:paraId="17F8100E" w14:textId="77777777" w:rsidR="00627BF4" w:rsidRPr="00B01F9E" w:rsidRDefault="00627BF4">
            <w:pPr>
              <w:rPr>
                <w:rFonts w:ascii="Arial" w:hAnsi="Arial" w:cs="Arial"/>
                <w:sz w:val="20"/>
                <w:szCs w:val="20"/>
              </w:rPr>
            </w:pPr>
            <w:r w:rsidRPr="00B01F9E">
              <w:rPr>
                <w:rFonts w:ascii="Arial" w:hAnsi="Arial" w:cs="Arial"/>
                <w:sz w:val="20"/>
                <w:szCs w:val="20"/>
              </w:rPr>
              <w:t xml:space="preserve">Programming </w:t>
            </w:r>
          </w:p>
          <w:p w14:paraId="228CB0F2" w14:textId="3D712F6E" w:rsidR="00627BF4" w:rsidRPr="00B01F9E" w:rsidRDefault="00627BF4">
            <w:pPr>
              <w:rPr>
                <w:rFonts w:ascii="Arial" w:hAnsi="Arial" w:cs="Arial"/>
                <w:sz w:val="20"/>
                <w:szCs w:val="20"/>
              </w:rPr>
            </w:pPr>
            <w:r w:rsidRPr="00B01F9E">
              <w:rPr>
                <w:rFonts w:ascii="Arial" w:hAnsi="Arial" w:cs="Arial"/>
                <w:sz w:val="20"/>
                <w:szCs w:val="20"/>
              </w:rPr>
              <w:t>Interface</w:t>
            </w:r>
            <w:r w:rsidR="00A47D1D" w:rsidRPr="00B01F9E">
              <w:rPr>
                <w:rFonts w:ascii="Arial" w:hAnsi="Arial" w:cs="Arial"/>
                <w:sz w:val="20"/>
                <w:szCs w:val="20"/>
              </w:rPr>
              <w:t xml:space="preserve"> (API</w:t>
            </w:r>
            <w:r w:rsidRPr="00B01F9E">
              <w:rPr>
                <w:rFonts w:ascii="Arial" w:hAnsi="Arial" w:cs="Arial"/>
                <w:sz w:val="20"/>
                <w:szCs w:val="20"/>
              </w:rPr>
              <w:t>)</w:t>
            </w:r>
          </w:p>
        </w:tc>
        <w:tc>
          <w:tcPr>
            <w:tcW w:w="7571" w:type="dxa"/>
            <w:shd w:val="clear" w:color="auto" w:fill="auto"/>
          </w:tcPr>
          <w:p w14:paraId="0A6CEED0" w14:textId="744EAAC3" w:rsidR="00627BF4" w:rsidRPr="00B01F9E" w:rsidRDefault="00627BF4">
            <w:pPr>
              <w:pStyle w:val="NormalWeb"/>
              <w:spacing w:before="0" w:beforeAutospacing="0" w:after="0" w:afterAutospacing="0"/>
              <w:rPr>
                <w:rFonts w:ascii="Arial" w:hAnsi="Arial" w:cs="Arial"/>
                <w:sz w:val="20"/>
                <w:szCs w:val="20"/>
              </w:rPr>
            </w:pPr>
            <w:r w:rsidRPr="00B01F9E">
              <w:rPr>
                <w:rFonts w:ascii="Arial" w:hAnsi="Arial" w:cs="Arial"/>
                <w:sz w:val="20"/>
                <w:szCs w:val="20"/>
              </w:rPr>
              <w:t xml:space="preserve">A means for two or more computer applications to communicate with each other utilizing defined rules. Application programming interfaces (APIs) are powerful tools that help support interoperability in healthcare. Simply put, APIs allow a software “Application A” to interact with a software “Application B” without Application A needing to know how Application B’s software is designed internally. The adoption and use of standards for APIs (like HL7 Fast Healthcare Interoperability Resources (FHIR), OAuth 2.0, and OpenID Connect 1.0) can facilitate interoperability and serve as a catalyst for innovation and support the development of new technologies and use cases. </w:t>
            </w:r>
          </w:p>
          <w:p w14:paraId="10124C33" w14:textId="77777777" w:rsidR="00627BF4" w:rsidRPr="00B01F9E" w:rsidRDefault="00000000">
            <w:pPr>
              <w:pStyle w:val="NormalWeb"/>
              <w:spacing w:before="0" w:beforeAutospacing="0" w:after="0" w:afterAutospacing="0"/>
              <w:rPr>
                <w:rFonts w:ascii="Arial" w:hAnsi="Arial" w:cs="Arial"/>
                <w:sz w:val="20"/>
                <w:szCs w:val="20"/>
              </w:rPr>
            </w:pPr>
            <w:hyperlink r:id="rId94" w:history="1">
              <w:r w:rsidR="00627BF4" w:rsidRPr="00B01F9E">
                <w:rPr>
                  <w:rStyle w:val="Hyperlink"/>
                  <w:rFonts w:ascii="Arial" w:hAnsi="Arial" w:cs="Arial"/>
                  <w:sz w:val="20"/>
                  <w:szCs w:val="20"/>
                </w:rPr>
                <w:t>https://www.healthit.gov/buzz-blog/21st-century-cures-act/application-programming-interfaces-in-health-it</w:t>
              </w:r>
            </w:hyperlink>
          </w:p>
        </w:tc>
      </w:tr>
      <w:tr w:rsidR="0011169B" w:rsidRPr="00B01F9E" w14:paraId="4F80E07A" w14:textId="77777777" w:rsidTr="004C61C0">
        <w:trPr>
          <w:trHeight w:val="144"/>
        </w:trPr>
        <w:tc>
          <w:tcPr>
            <w:tcW w:w="1779" w:type="dxa"/>
            <w:shd w:val="clear" w:color="auto" w:fill="auto"/>
          </w:tcPr>
          <w:p w14:paraId="1962532E" w14:textId="1E3077D2" w:rsidR="0011169B" w:rsidRPr="00B01F9E" w:rsidRDefault="0011169B">
            <w:pPr>
              <w:rPr>
                <w:rFonts w:ascii="Arial" w:hAnsi="Arial" w:cs="Arial"/>
                <w:sz w:val="20"/>
                <w:szCs w:val="20"/>
              </w:rPr>
            </w:pPr>
            <w:r w:rsidRPr="00B01F9E">
              <w:rPr>
                <w:rFonts w:ascii="Arial" w:hAnsi="Arial" w:cs="Arial"/>
                <w:sz w:val="20"/>
                <w:szCs w:val="20"/>
              </w:rPr>
              <w:t>Assistant Secretary for Technology Policy/Office of the National Coordinator for Health Information Technology (</w:t>
            </w:r>
            <w:r w:rsidRPr="00B01F9E">
              <w:rPr>
                <w:rStyle w:val="normaltextrun"/>
                <w:rFonts w:ascii="Arial" w:hAnsi="Arial" w:cs="Arial"/>
                <w:sz w:val="20"/>
                <w:szCs w:val="20"/>
              </w:rPr>
              <w:t>ASTP/ONC)</w:t>
            </w:r>
          </w:p>
        </w:tc>
        <w:tc>
          <w:tcPr>
            <w:tcW w:w="7571" w:type="dxa"/>
            <w:shd w:val="clear" w:color="auto" w:fill="auto"/>
          </w:tcPr>
          <w:p w14:paraId="6C1DD4FD" w14:textId="192BA469" w:rsidR="0011169B" w:rsidRPr="00B01F9E" w:rsidRDefault="00296D6D">
            <w:pPr>
              <w:pStyle w:val="NormalWeb"/>
              <w:spacing w:before="0" w:beforeAutospacing="0" w:after="0" w:afterAutospacing="0"/>
              <w:rPr>
                <w:rFonts w:ascii="Arial" w:hAnsi="Arial" w:cs="Arial"/>
                <w:sz w:val="20"/>
                <w:szCs w:val="20"/>
              </w:rPr>
            </w:pPr>
            <w:r w:rsidRPr="00B01F9E">
              <w:rPr>
                <w:rFonts w:ascii="Arial" w:hAnsi="Arial" w:cs="Arial"/>
                <w:sz w:val="20"/>
                <w:szCs w:val="20"/>
              </w:rPr>
              <w:t xml:space="preserve">The Assistant Secretary for Technology Policy/Office of the National Coordinator for Health Information Technology is at the forefront of the administration’s health IT efforts and is a resource to the entire health system to support the adoption of health information technology and the promotion of nationwide, standards-based health information exchange to improve health care. </w:t>
            </w:r>
            <w:hyperlink r:id="rId95" w:history="1">
              <w:r w:rsidR="000158D4" w:rsidRPr="00B01F9E">
                <w:rPr>
                  <w:rStyle w:val="Hyperlink"/>
                  <w:rFonts w:ascii="Arial" w:hAnsi="Arial" w:cs="Arial"/>
                  <w:sz w:val="20"/>
                  <w:szCs w:val="20"/>
                </w:rPr>
                <w:t>https://www.healthit.gov/topic/about-astponc</w:t>
              </w:r>
            </w:hyperlink>
            <w:r w:rsidR="0079375D" w:rsidRPr="00B01F9E">
              <w:rPr>
                <w:rFonts w:ascii="Arial" w:hAnsi="Arial" w:cs="Arial"/>
                <w:sz w:val="20"/>
                <w:szCs w:val="20"/>
              </w:rPr>
              <w:t xml:space="preserve"> </w:t>
            </w:r>
          </w:p>
        </w:tc>
      </w:tr>
      <w:tr w:rsidR="00D116C0" w:rsidRPr="00B01F9E" w14:paraId="04E2F849" w14:textId="77777777" w:rsidTr="004C61C0">
        <w:trPr>
          <w:trHeight w:val="144"/>
        </w:trPr>
        <w:tc>
          <w:tcPr>
            <w:tcW w:w="1779" w:type="dxa"/>
            <w:shd w:val="clear" w:color="auto" w:fill="auto"/>
          </w:tcPr>
          <w:p w14:paraId="7FBA2BAB" w14:textId="45BCC391" w:rsidR="00D116C0" w:rsidRPr="00B01F9E" w:rsidRDefault="00185FFB" w:rsidP="0091654B">
            <w:pPr>
              <w:rPr>
                <w:rFonts w:ascii="Arial" w:hAnsi="Arial" w:cs="Arial"/>
                <w:sz w:val="20"/>
                <w:szCs w:val="20"/>
              </w:rPr>
            </w:pPr>
            <w:r w:rsidRPr="00B01F9E">
              <w:rPr>
                <w:rFonts w:ascii="Arial" w:hAnsi="Arial" w:cs="Arial"/>
                <w:sz w:val="20"/>
                <w:szCs w:val="20"/>
              </w:rPr>
              <w:t>Broad Agency Announcement</w:t>
            </w:r>
            <w:r w:rsidR="00F3087A" w:rsidRPr="00B01F9E">
              <w:rPr>
                <w:rFonts w:ascii="Arial" w:hAnsi="Arial" w:cs="Arial"/>
                <w:sz w:val="20"/>
                <w:szCs w:val="20"/>
              </w:rPr>
              <w:t xml:space="preserve"> (BAA</w:t>
            </w:r>
            <w:r w:rsidRPr="00B01F9E">
              <w:rPr>
                <w:rFonts w:ascii="Arial" w:hAnsi="Arial" w:cs="Arial"/>
                <w:sz w:val="20"/>
                <w:szCs w:val="20"/>
              </w:rPr>
              <w:t>)</w:t>
            </w:r>
          </w:p>
        </w:tc>
        <w:tc>
          <w:tcPr>
            <w:tcW w:w="7571" w:type="dxa"/>
            <w:shd w:val="clear" w:color="auto" w:fill="auto"/>
          </w:tcPr>
          <w:p w14:paraId="242A4698" w14:textId="3E206CF5" w:rsidR="00D116C0" w:rsidRPr="00B01F9E" w:rsidRDefault="009D4AC8" w:rsidP="0091654B">
            <w:pPr>
              <w:pStyle w:val="NormalWeb"/>
              <w:spacing w:before="0" w:beforeAutospacing="0" w:after="0" w:afterAutospacing="0"/>
              <w:rPr>
                <w:rFonts w:ascii="Arial" w:hAnsi="Arial" w:cs="Arial"/>
                <w:sz w:val="20"/>
                <w:szCs w:val="20"/>
              </w:rPr>
            </w:pPr>
            <w:r w:rsidRPr="00B01F9E">
              <w:rPr>
                <w:rFonts w:ascii="Arial" w:hAnsi="Arial" w:cs="Arial"/>
                <w:sz w:val="20"/>
                <w:szCs w:val="20"/>
              </w:rPr>
              <w:t>A technique for the United States government agencies to solicit proposals from outside groups for certain research and development projects.</w:t>
            </w:r>
          </w:p>
        </w:tc>
      </w:tr>
      <w:tr w:rsidR="0091654B" w:rsidRPr="00B01F9E" w14:paraId="0CFD201C" w14:textId="77777777" w:rsidTr="004C61C0">
        <w:trPr>
          <w:trHeight w:val="144"/>
        </w:trPr>
        <w:tc>
          <w:tcPr>
            <w:tcW w:w="1779" w:type="dxa"/>
            <w:shd w:val="clear" w:color="auto" w:fill="auto"/>
          </w:tcPr>
          <w:p w14:paraId="2D73D0EE" w14:textId="11AFC754" w:rsidR="0091654B" w:rsidRPr="00B01F9E" w:rsidRDefault="0091654B" w:rsidP="0091654B">
            <w:pPr>
              <w:rPr>
                <w:rFonts w:ascii="Arial" w:hAnsi="Arial" w:cs="Arial"/>
                <w:sz w:val="20"/>
                <w:szCs w:val="20"/>
              </w:rPr>
            </w:pPr>
            <w:r w:rsidRPr="00B01F9E">
              <w:rPr>
                <w:rFonts w:ascii="Arial" w:hAnsi="Arial" w:cs="Arial"/>
                <w:sz w:val="20"/>
                <w:szCs w:val="20"/>
              </w:rPr>
              <w:t xml:space="preserve">Basic Metabolic Panel (BMP) </w:t>
            </w:r>
          </w:p>
        </w:tc>
        <w:tc>
          <w:tcPr>
            <w:tcW w:w="7571" w:type="dxa"/>
            <w:shd w:val="clear" w:color="auto" w:fill="auto"/>
          </w:tcPr>
          <w:p w14:paraId="4F23017E" w14:textId="745D962A" w:rsidR="00C32A87" w:rsidRPr="00B01F9E" w:rsidRDefault="0091654B" w:rsidP="0091654B">
            <w:pPr>
              <w:pStyle w:val="NormalWeb"/>
              <w:spacing w:before="0" w:beforeAutospacing="0" w:after="0" w:afterAutospacing="0"/>
              <w:rPr>
                <w:rFonts w:ascii="Arial" w:hAnsi="Arial" w:cs="Arial"/>
                <w:sz w:val="20"/>
                <w:szCs w:val="20"/>
              </w:rPr>
            </w:pPr>
            <w:r w:rsidRPr="00B01F9E">
              <w:rPr>
                <w:rFonts w:ascii="Arial" w:hAnsi="Arial" w:cs="Arial"/>
                <w:sz w:val="20"/>
                <w:szCs w:val="20"/>
              </w:rPr>
              <w:t xml:space="preserve">A basic metabolic panel (BMP) is a test that measures eight different substances in your blood. It provides </w:t>
            </w:r>
            <w:bookmarkStart w:id="392" w:name="_Int_1rh15hSc"/>
            <w:r w:rsidRPr="00B01F9E">
              <w:rPr>
                <w:rFonts w:ascii="Arial" w:hAnsi="Arial" w:cs="Arial"/>
                <w:sz w:val="20"/>
                <w:szCs w:val="20"/>
              </w:rPr>
              <w:t>important information</w:t>
            </w:r>
            <w:bookmarkEnd w:id="392"/>
            <w:r w:rsidRPr="00B01F9E">
              <w:rPr>
                <w:rFonts w:ascii="Arial" w:hAnsi="Arial" w:cs="Arial"/>
                <w:sz w:val="20"/>
                <w:szCs w:val="20"/>
              </w:rPr>
              <w:t xml:space="preserve"> about your body's chemical balance </w:t>
            </w:r>
            <w:r w:rsidRPr="00B01F9E">
              <w:rPr>
                <w:rFonts w:ascii="Arial" w:hAnsi="Arial" w:cs="Arial"/>
                <w:sz w:val="20"/>
                <w:szCs w:val="20"/>
              </w:rPr>
              <w:lastRenderedPageBreak/>
              <w:t xml:space="preserve">and metabolism. Metabolism is the process of how the body uses food and energy. </w:t>
            </w:r>
            <w:hyperlink r:id="rId96" w:history="1">
              <w:r w:rsidR="00C32A87" w:rsidRPr="00B01F9E">
                <w:rPr>
                  <w:rStyle w:val="Hyperlink"/>
                  <w:rFonts w:ascii="Arial" w:hAnsi="Arial" w:cs="Arial"/>
                  <w:sz w:val="20"/>
                  <w:szCs w:val="20"/>
                </w:rPr>
                <w:t>https://medlineplus.gov/lab-tests/basic-metabolic-panel-bmp/</w:t>
              </w:r>
            </w:hyperlink>
          </w:p>
        </w:tc>
      </w:tr>
      <w:tr w:rsidR="00DB0DB6" w:rsidRPr="00B01F9E" w14:paraId="3874AF72" w14:textId="77777777" w:rsidTr="00335CD4">
        <w:trPr>
          <w:trHeight w:val="864"/>
        </w:trPr>
        <w:tc>
          <w:tcPr>
            <w:tcW w:w="1779" w:type="dxa"/>
            <w:shd w:val="clear" w:color="auto" w:fill="auto"/>
          </w:tcPr>
          <w:p w14:paraId="36FFDCB9" w14:textId="64DF2F4A" w:rsidR="00DB0DB6" w:rsidRPr="00B01F9E" w:rsidRDefault="00D67770" w:rsidP="0091654B">
            <w:pPr>
              <w:rPr>
                <w:rFonts w:ascii="Arial" w:hAnsi="Arial" w:cs="Arial"/>
                <w:sz w:val="20"/>
                <w:szCs w:val="20"/>
              </w:rPr>
            </w:pPr>
            <w:r w:rsidRPr="00B01F9E">
              <w:rPr>
                <w:rFonts w:ascii="Arial" w:hAnsi="Arial" w:cs="Arial"/>
                <w:sz w:val="20"/>
                <w:szCs w:val="20"/>
              </w:rPr>
              <w:lastRenderedPageBreak/>
              <w:t>CAP (College of American Pathologists)</w:t>
            </w:r>
          </w:p>
        </w:tc>
        <w:tc>
          <w:tcPr>
            <w:tcW w:w="7571" w:type="dxa"/>
            <w:shd w:val="clear" w:color="auto" w:fill="auto"/>
          </w:tcPr>
          <w:p w14:paraId="10C3893D" w14:textId="71D9F116" w:rsidR="00C32A87" w:rsidRPr="00B01F9E" w:rsidRDefault="00D116C0" w:rsidP="00347CBA">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 xml:space="preserve">The College of American Pathologists (CAP), the leading organization of board-certified pathologists, serves patients, pathologists, and the public by fostering and advocating excellence in the practice of pathology and laboratory medicine worldwide. </w:t>
            </w:r>
            <w:hyperlink r:id="rId97" w:history="1">
              <w:r w:rsidR="00C32A87" w:rsidRPr="00B01F9E">
                <w:rPr>
                  <w:rStyle w:val="Hyperlink"/>
                  <w:rFonts w:ascii="Arial" w:eastAsia="Times New Roman" w:hAnsi="Arial" w:cs="Arial"/>
                  <w:sz w:val="20"/>
                  <w:szCs w:val="20"/>
                </w:rPr>
                <w:t>https://www.cap.org/about-the-cap</w:t>
              </w:r>
            </w:hyperlink>
          </w:p>
        </w:tc>
      </w:tr>
      <w:tr w:rsidR="0091654B" w:rsidRPr="00B01F9E" w14:paraId="279F7C52" w14:textId="77777777" w:rsidTr="004C61C0">
        <w:trPr>
          <w:trHeight w:val="144"/>
        </w:trPr>
        <w:tc>
          <w:tcPr>
            <w:tcW w:w="1779" w:type="dxa"/>
            <w:shd w:val="clear" w:color="auto" w:fill="auto"/>
          </w:tcPr>
          <w:p w14:paraId="4D02E4A0" w14:textId="77777777" w:rsidR="0091654B" w:rsidRPr="00B01F9E" w:rsidRDefault="0091654B" w:rsidP="0091654B">
            <w:pPr>
              <w:rPr>
                <w:rFonts w:ascii="Arial" w:hAnsi="Arial" w:cs="Arial"/>
                <w:sz w:val="20"/>
                <w:szCs w:val="20"/>
              </w:rPr>
            </w:pPr>
            <w:r w:rsidRPr="00B01F9E">
              <w:rPr>
                <w:rFonts w:ascii="Arial" w:hAnsi="Arial" w:cs="Arial"/>
                <w:sz w:val="20"/>
                <w:szCs w:val="20"/>
              </w:rPr>
              <w:t xml:space="preserve">CAP Number </w:t>
            </w:r>
          </w:p>
        </w:tc>
        <w:tc>
          <w:tcPr>
            <w:tcW w:w="7571" w:type="dxa"/>
            <w:shd w:val="clear" w:color="auto" w:fill="auto"/>
          </w:tcPr>
          <w:p w14:paraId="0309BCE0" w14:textId="77777777" w:rsidR="0091654B" w:rsidRPr="00B01F9E" w:rsidRDefault="0091654B" w:rsidP="0091654B">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 xml:space="preserve">A custom field used to identify the laboratory that sends the test sample to the CAP. The field may also be referred to as: </w:t>
            </w:r>
            <w:proofErr w:type="spellStart"/>
            <w:r w:rsidRPr="00B01F9E">
              <w:rPr>
                <w:rFonts w:ascii="Arial" w:eastAsia="Times New Roman" w:hAnsi="Arial" w:cs="Arial"/>
                <w:sz w:val="20"/>
                <w:szCs w:val="20"/>
              </w:rPr>
              <w:t>CAP_Num</w:t>
            </w:r>
            <w:proofErr w:type="spellEnd"/>
            <w:r w:rsidRPr="00B01F9E">
              <w:rPr>
                <w:rFonts w:ascii="Arial" w:eastAsia="Times New Roman" w:hAnsi="Arial" w:cs="Arial"/>
                <w:sz w:val="20"/>
                <w:szCs w:val="20"/>
              </w:rPr>
              <w:t xml:space="preserve">, CAP #, or CAP Lab Number </w:t>
            </w:r>
          </w:p>
        </w:tc>
      </w:tr>
      <w:tr w:rsidR="001A1B82" w:rsidRPr="00B01F9E" w14:paraId="4886C276" w14:textId="77777777" w:rsidTr="004C61C0">
        <w:trPr>
          <w:trHeight w:val="144"/>
        </w:trPr>
        <w:tc>
          <w:tcPr>
            <w:tcW w:w="1779" w:type="dxa"/>
            <w:shd w:val="clear" w:color="auto" w:fill="auto"/>
          </w:tcPr>
          <w:p w14:paraId="3107ADBC" w14:textId="74DF0626" w:rsidR="001A1B82" w:rsidRPr="00B01F9E" w:rsidRDefault="001A1B82" w:rsidP="0091654B">
            <w:pPr>
              <w:rPr>
                <w:rFonts w:ascii="Arial" w:hAnsi="Arial" w:cs="Arial"/>
                <w:sz w:val="20"/>
                <w:szCs w:val="20"/>
              </w:rPr>
            </w:pPr>
            <w:r w:rsidRPr="00B01F9E">
              <w:rPr>
                <w:rFonts w:ascii="Arial" w:hAnsi="Arial" w:cs="Arial"/>
                <w:sz w:val="20"/>
                <w:szCs w:val="20"/>
              </w:rPr>
              <w:t>Clinical Information Modeling Initiative (CIMI)</w:t>
            </w:r>
          </w:p>
        </w:tc>
        <w:tc>
          <w:tcPr>
            <w:tcW w:w="7571" w:type="dxa"/>
            <w:shd w:val="clear" w:color="auto" w:fill="auto"/>
          </w:tcPr>
          <w:p w14:paraId="41CF9D54" w14:textId="77777777" w:rsidR="001A1B82" w:rsidRPr="00B01F9E" w:rsidRDefault="00202A38" w:rsidP="008B019C">
            <w:pPr>
              <w:spacing w:before="100" w:beforeAutospacing="1"/>
              <w:rPr>
                <w:rFonts w:ascii="Arial" w:eastAsia="Times New Roman" w:hAnsi="Arial" w:cs="Arial"/>
                <w:sz w:val="20"/>
                <w:szCs w:val="20"/>
              </w:rPr>
            </w:pPr>
            <w:r w:rsidRPr="00B01F9E">
              <w:rPr>
                <w:rFonts w:ascii="Arial" w:eastAsia="Times New Roman" w:hAnsi="Arial" w:cs="Arial"/>
                <w:sz w:val="20"/>
                <w:szCs w:val="20"/>
              </w:rPr>
              <w:t>Clinical Information Modeling Initiative (CIMI) is a global healthcare project aimed at improving electronic health records and data sharing. It focuses on creating standardized clinical information models for better data interoperability among healthcare providers.</w:t>
            </w:r>
          </w:p>
          <w:p w14:paraId="0EA0C3DE" w14:textId="58153CF0" w:rsidR="001A1B82" w:rsidRPr="00B01F9E" w:rsidRDefault="00000000" w:rsidP="008B019C">
            <w:pPr>
              <w:spacing w:after="100" w:afterAutospacing="1"/>
              <w:rPr>
                <w:rFonts w:ascii="Arial" w:eastAsia="Times New Roman" w:hAnsi="Arial" w:cs="Arial"/>
                <w:sz w:val="20"/>
                <w:szCs w:val="20"/>
              </w:rPr>
            </w:pPr>
            <w:hyperlink r:id="rId98" w:history="1">
              <w:r w:rsidR="00202A38" w:rsidRPr="00B01F9E">
                <w:rPr>
                  <w:rStyle w:val="Hyperlink"/>
                  <w:rFonts w:ascii="Arial" w:eastAsia="Times New Roman" w:hAnsi="Arial" w:cs="Arial"/>
                  <w:sz w:val="20"/>
                  <w:szCs w:val="20"/>
                </w:rPr>
                <w:t>https://www.devx.com/terms/clinical-information-modeling-initiative/</w:t>
              </w:r>
            </w:hyperlink>
            <w:r w:rsidR="00202A38" w:rsidRPr="00B01F9E">
              <w:rPr>
                <w:rFonts w:ascii="Arial" w:eastAsia="Times New Roman" w:hAnsi="Arial" w:cs="Arial"/>
                <w:sz w:val="20"/>
                <w:szCs w:val="20"/>
              </w:rPr>
              <w:t xml:space="preserve"> </w:t>
            </w:r>
          </w:p>
        </w:tc>
      </w:tr>
      <w:tr w:rsidR="009C6095" w:rsidRPr="00B01F9E" w14:paraId="2041067F" w14:textId="77777777" w:rsidTr="004C61C0">
        <w:trPr>
          <w:trHeight w:val="144"/>
        </w:trPr>
        <w:tc>
          <w:tcPr>
            <w:tcW w:w="1779" w:type="dxa"/>
            <w:shd w:val="clear" w:color="auto" w:fill="auto"/>
          </w:tcPr>
          <w:p w14:paraId="0A9DBF7F" w14:textId="60802627" w:rsidR="006D4FE0" w:rsidRPr="00B01F9E" w:rsidRDefault="005307AF" w:rsidP="0091654B">
            <w:pPr>
              <w:rPr>
                <w:rStyle w:val="normaltextrun"/>
                <w:rFonts w:ascii="Arial" w:hAnsi="Arial" w:cs="Arial"/>
                <w:sz w:val="20"/>
                <w:szCs w:val="20"/>
              </w:rPr>
            </w:pPr>
            <w:r w:rsidRPr="00B01F9E">
              <w:rPr>
                <w:rStyle w:val="normaltextrun"/>
                <w:rFonts w:ascii="Arial" w:hAnsi="Arial" w:cs="Arial"/>
                <w:sz w:val="20"/>
                <w:szCs w:val="20"/>
              </w:rPr>
              <w:t>Clinical Laboratory Improvement Amendments (</w:t>
            </w:r>
            <w:r w:rsidR="006D4FE0" w:rsidRPr="00B01F9E">
              <w:rPr>
                <w:rStyle w:val="normaltextrun"/>
                <w:rFonts w:ascii="Arial" w:hAnsi="Arial" w:cs="Arial"/>
                <w:sz w:val="20"/>
                <w:szCs w:val="20"/>
              </w:rPr>
              <w:t>CLIA</w:t>
            </w:r>
            <w:r w:rsidRPr="00B01F9E">
              <w:rPr>
                <w:rStyle w:val="normaltextrun"/>
                <w:rFonts w:ascii="Arial" w:hAnsi="Arial" w:cs="Arial"/>
                <w:sz w:val="20"/>
                <w:szCs w:val="20"/>
              </w:rPr>
              <w:t>)</w:t>
            </w:r>
          </w:p>
        </w:tc>
        <w:tc>
          <w:tcPr>
            <w:tcW w:w="7571" w:type="dxa"/>
            <w:shd w:val="clear" w:color="auto" w:fill="auto"/>
          </w:tcPr>
          <w:p w14:paraId="1A88B332" w14:textId="77777777" w:rsidR="005307AF" w:rsidRPr="00B01F9E" w:rsidRDefault="00EA5523" w:rsidP="00335CD4">
            <w:pPr>
              <w:rPr>
                <w:rFonts w:ascii="Arial" w:eastAsia="Times New Roman" w:hAnsi="Arial" w:cs="Arial"/>
                <w:sz w:val="20"/>
                <w:szCs w:val="20"/>
              </w:rPr>
            </w:pPr>
            <w:r w:rsidRPr="00B01F9E">
              <w:rPr>
                <w:rFonts w:ascii="Arial" w:eastAsia="Times New Roman" w:hAnsi="Arial" w:cs="Arial"/>
                <w:sz w:val="20"/>
                <w:szCs w:val="20"/>
              </w:rPr>
              <w:t>The Clinical Laboratory Improvement Amendments of 1988 (CLIA) regulations include federal standards applicable to all U.S. facilities or sites that test human specimens for health assessment or to diagnose, prevent, or treat disease.</w:t>
            </w:r>
            <w:r w:rsidR="005307AF" w:rsidRPr="00B01F9E">
              <w:rPr>
                <w:rFonts w:ascii="Arial" w:eastAsia="Times New Roman" w:hAnsi="Arial" w:cs="Arial"/>
                <w:sz w:val="20"/>
                <w:szCs w:val="20"/>
              </w:rPr>
              <w:t xml:space="preserve"> </w:t>
            </w:r>
          </w:p>
          <w:p w14:paraId="60C82667" w14:textId="1C1CDE4B" w:rsidR="00EA5523" w:rsidRPr="00B01F9E" w:rsidRDefault="00000000" w:rsidP="00FB0A3A">
            <w:pPr>
              <w:rPr>
                <w:rFonts w:ascii="Arial" w:eastAsia="Times New Roman" w:hAnsi="Arial" w:cs="Arial"/>
                <w:sz w:val="20"/>
                <w:szCs w:val="20"/>
              </w:rPr>
            </w:pPr>
            <w:hyperlink r:id="rId99" w:history="1">
              <w:r w:rsidR="005307AF" w:rsidRPr="00B01F9E">
                <w:rPr>
                  <w:rStyle w:val="Hyperlink"/>
                  <w:rFonts w:ascii="Arial" w:eastAsia="Times New Roman" w:hAnsi="Arial" w:cs="Arial"/>
                  <w:sz w:val="20"/>
                  <w:szCs w:val="20"/>
                </w:rPr>
                <w:t>Clinical Laboratory Improvement Amendments (CLIA) | CDC</w:t>
              </w:r>
            </w:hyperlink>
          </w:p>
        </w:tc>
      </w:tr>
      <w:tr w:rsidR="00B86CC9" w:rsidRPr="00B01F9E" w14:paraId="772A83F9" w14:textId="77777777" w:rsidTr="004C61C0">
        <w:trPr>
          <w:trHeight w:val="144"/>
        </w:trPr>
        <w:tc>
          <w:tcPr>
            <w:tcW w:w="1779" w:type="dxa"/>
            <w:shd w:val="clear" w:color="auto" w:fill="auto"/>
          </w:tcPr>
          <w:p w14:paraId="5849DB11" w14:textId="3515F021" w:rsidR="00B86CC9" w:rsidRPr="00B01F9E" w:rsidRDefault="00B86CC9" w:rsidP="0091654B">
            <w:pPr>
              <w:rPr>
                <w:rFonts w:ascii="Arial" w:hAnsi="Arial" w:cs="Arial"/>
                <w:sz w:val="20"/>
                <w:szCs w:val="20"/>
              </w:rPr>
            </w:pPr>
            <w:r w:rsidRPr="00B01F9E">
              <w:rPr>
                <w:rStyle w:val="normaltextrun"/>
                <w:rFonts w:ascii="Arial" w:hAnsi="Arial" w:cs="Arial"/>
                <w:sz w:val="20"/>
                <w:szCs w:val="20"/>
              </w:rPr>
              <w:t>Clinical &amp; Laboratory Standards Institute (CLSI)</w:t>
            </w:r>
          </w:p>
        </w:tc>
        <w:tc>
          <w:tcPr>
            <w:tcW w:w="7571" w:type="dxa"/>
            <w:shd w:val="clear" w:color="auto" w:fill="auto"/>
          </w:tcPr>
          <w:p w14:paraId="2465F9BD" w14:textId="3A47605D" w:rsidR="00DB0DB6" w:rsidRPr="00B01F9E" w:rsidRDefault="00DB0DB6" w:rsidP="00CA7296">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 xml:space="preserve">A not-for-profit organization that develops laboratory standards worldwide. The standards are referenced and utilized by laboratories, accreditors, and government agencies. </w:t>
            </w:r>
            <w:hyperlink r:id="rId100" w:history="1">
              <w:r w:rsidRPr="00B01F9E">
                <w:rPr>
                  <w:rStyle w:val="Hyperlink"/>
                  <w:rFonts w:ascii="Arial" w:eastAsia="Times New Roman" w:hAnsi="Arial" w:cs="Arial"/>
                  <w:sz w:val="20"/>
                  <w:szCs w:val="20"/>
                </w:rPr>
                <w:t>https://clsi.org/about/</w:t>
              </w:r>
            </w:hyperlink>
          </w:p>
        </w:tc>
      </w:tr>
      <w:tr w:rsidR="00FC3C83" w:rsidRPr="00B01F9E" w14:paraId="1DF1D589" w14:textId="77777777" w:rsidTr="004C61C0">
        <w:trPr>
          <w:trHeight w:val="144"/>
        </w:trPr>
        <w:tc>
          <w:tcPr>
            <w:tcW w:w="1779" w:type="dxa"/>
            <w:shd w:val="clear" w:color="auto" w:fill="auto"/>
          </w:tcPr>
          <w:p w14:paraId="10E117FE" w14:textId="7E9E5A31" w:rsidR="00FC3C83" w:rsidRPr="00B01F9E" w:rsidRDefault="00FC3C83" w:rsidP="0091654B">
            <w:pPr>
              <w:rPr>
                <w:rFonts w:ascii="Arial" w:hAnsi="Arial" w:cs="Arial"/>
                <w:sz w:val="20"/>
                <w:szCs w:val="20"/>
              </w:rPr>
            </w:pPr>
            <w:r w:rsidRPr="00B01F9E">
              <w:rPr>
                <w:rFonts w:ascii="Arial" w:hAnsi="Arial" w:cs="Arial"/>
                <w:sz w:val="20"/>
                <w:szCs w:val="20"/>
              </w:rPr>
              <w:t>Clinical Pathology (CP)</w:t>
            </w:r>
          </w:p>
        </w:tc>
        <w:tc>
          <w:tcPr>
            <w:tcW w:w="7571" w:type="dxa"/>
            <w:shd w:val="clear" w:color="auto" w:fill="auto"/>
          </w:tcPr>
          <w:p w14:paraId="26622352" w14:textId="0572BD18" w:rsidR="00FC3C83" w:rsidRPr="00B01F9E" w:rsidRDefault="0017746F" w:rsidP="000158D4">
            <w:pPr>
              <w:rPr>
                <w:rFonts w:ascii="Arial" w:eastAsia="Times New Roman" w:hAnsi="Arial" w:cs="Arial"/>
                <w:sz w:val="20"/>
                <w:szCs w:val="20"/>
              </w:rPr>
            </w:pPr>
            <w:r w:rsidRPr="00B01F9E">
              <w:rPr>
                <w:rFonts w:ascii="Arial" w:eastAsia="Times New Roman" w:hAnsi="Arial" w:cs="Arial"/>
                <w:sz w:val="20"/>
                <w:szCs w:val="20"/>
              </w:rPr>
              <w:t>Clinical pathology covers most of laboratory medicine—including routine tests such as glucose and sodium, up to molecular tests for cancer markers and genome sequencing.</w:t>
            </w:r>
            <w:r w:rsidR="000158D4" w:rsidRPr="00B01F9E">
              <w:rPr>
                <w:rFonts w:ascii="Arial" w:eastAsia="Times New Roman" w:hAnsi="Arial" w:cs="Arial"/>
                <w:sz w:val="20"/>
                <w:szCs w:val="20"/>
              </w:rPr>
              <w:t xml:space="preserve"> </w:t>
            </w:r>
            <w:hyperlink r:id="rId101" w:history="1">
              <w:r w:rsidR="000158D4" w:rsidRPr="00B01F9E">
                <w:rPr>
                  <w:rStyle w:val="Hyperlink"/>
                  <w:rFonts w:ascii="Arial" w:hAnsi="Arial" w:cs="Arial"/>
                  <w:sz w:val="20"/>
                  <w:szCs w:val="20"/>
                </w:rPr>
                <w:t>https://documents.cap.org/documents/overview-anatomic-clinical-pathology-medical-students.pdf</w:t>
              </w:r>
            </w:hyperlink>
          </w:p>
        </w:tc>
      </w:tr>
      <w:tr w:rsidR="00B457EE" w:rsidRPr="00B01F9E" w14:paraId="258E39A4" w14:textId="77777777" w:rsidTr="004C61C0">
        <w:trPr>
          <w:trHeight w:val="144"/>
        </w:trPr>
        <w:tc>
          <w:tcPr>
            <w:tcW w:w="1779" w:type="dxa"/>
            <w:shd w:val="clear" w:color="auto" w:fill="auto"/>
          </w:tcPr>
          <w:p w14:paraId="75B7D4C7" w14:textId="75F29B44" w:rsidR="00B457EE" w:rsidRPr="00B01F9E" w:rsidRDefault="00B457EE" w:rsidP="00B457EE">
            <w:pPr>
              <w:rPr>
                <w:rFonts w:ascii="Arial" w:hAnsi="Arial" w:cs="Arial"/>
                <w:sz w:val="20"/>
                <w:szCs w:val="20"/>
              </w:rPr>
            </w:pPr>
            <w:r w:rsidRPr="00B01F9E">
              <w:rPr>
                <w:rFonts w:ascii="Arial" w:hAnsi="Arial" w:cs="Arial"/>
                <w:sz w:val="20"/>
                <w:szCs w:val="20"/>
              </w:rPr>
              <w:t>Code / Coded / Coding</w:t>
            </w:r>
          </w:p>
        </w:tc>
        <w:tc>
          <w:tcPr>
            <w:tcW w:w="7571" w:type="dxa"/>
            <w:shd w:val="clear" w:color="auto" w:fill="auto"/>
          </w:tcPr>
          <w:p w14:paraId="286AD586" w14:textId="773B7E07" w:rsidR="00B457EE" w:rsidRPr="00B01F9E" w:rsidRDefault="00B457EE" w:rsidP="00335CD4">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 xml:space="preserve">The result </w:t>
            </w:r>
            <w:bookmarkStart w:id="393" w:name="_Int_5E76apkh"/>
            <w:r w:rsidRPr="00B01F9E">
              <w:rPr>
                <w:rFonts w:ascii="Arial" w:eastAsia="Times New Roman" w:hAnsi="Arial" w:cs="Arial"/>
                <w:sz w:val="20"/>
                <w:szCs w:val="20"/>
              </w:rPr>
              <w:t>produced</w:t>
            </w:r>
            <w:bookmarkEnd w:id="393"/>
            <w:r w:rsidRPr="00B01F9E">
              <w:rPr>
                <w:rFonts w:ascii="Arial" w:eastAsia="Times New Roman" w:hAnsi="Arial" w:cs="Arial"/>
                <w:sz w:val="20"/>
                <w:szCs w:val="20"/>
              </w:rPr>
              <w:t xml:space="preserve"> by the test encoding process. For example, a LIDR code.</w:t>
            </w:r>
          </w:p>
        </w:tc>
      </w:tr>
      <w:tr w:rsidR="00946B52" w:rsidRPr="00B01F9E" w14:paraId="7672CBF9" w14:textId="77777777" w:rsidTr="004C61C0">
        <w:trPr>
          <w:trHeight w:val="910"/>
        </w:trPr>
        <w:tc>
          <w:tcPr>
            <w:tcW w:w="1779" w:type="dxa"/>
            <w:shd w:val="clear" w:color="auto" w:fill="auto"/>
          </w:tcPr>
          <w:p w14:paraId="22468835" w14:textId="2D080240" w:rsidR="00946B52" w:rsidRPr="00B01F9E" w:rsidRDefault="00946B52" w:rsidP="00B457EE">
            <w:pPr>
              <w:rPr>
                <w:rFonts w:ascii="Arial" w:hAnsi="Arial" w:cs="Arial"/>
                <w:sz w:val="20"/>
                <w:szCs w:val="20"/>
                <w:highlight w:val="yellow"/>
              </w:rPr>
            </w:pPr>
            <w:r w:rsidRPr="00B01F9E">
              <w:rPr>
                <w:rStyle w:val="normaltextrun"/>
                <w:rFonts w:ascii="Arial" w:hAnsi="Arial" w:cs="Arial"/>
                <w:sz w:val="20"/>
                <w:szCs w:val="20"/>
              </w:rPr>
              <w:t>Commission on Cancer (COC)</w:t>
            </w:r>
          </w:p>
        </w:tc>
        <w:tc>
          <w:tcPr>
            <w:tcW w:w="7571" w:type="dxa"/>
            <w:shd w:val="clear" w:color="auto" w:fill="auto"/>
          </w:tcPr>
          <w:p w14:paraId="06E41127" w14:textId="6FC75E5F" w:rsidR="00946B52" w:rsidRPr="00B01F9E" w:rsidRDefault="000C43EC" w:rsidP="000158D4">
            <w:pPr>
              <w:spacing w:before="100" w:beforeAutospacing="1"/>
              <w:rPr>
                <w:rFonts w:ascii="Arial" w:eastAsia="Times New Roman" w:hAnsi="Arial" w:cs="Arial"/>
                <w:sz w:val="20"/>
                <w:szCs w:val="20"/>
              </w:rPr>
            </w:pPr>
            <w:r w:rsidRPr="00B01F9E">
              <w:rPr>
                <w:rFonts w:ascii="Arial" w:eastAsia="Times New Roman" w:hAnsi="Arial" w:cs="Arial"/>
                <w:sz w:val="20"/>
                <w:szCs w:val="20"/>
              </w:rPr>
              <w:t xml:space="preserve">The Commission on Cancer (CoC) is a consortium of professional organizations dedicated to improving survival and quality of life for patients with cancer by setting and raising standards. </w:t>
            </w:r>
            <w:r w:rsidR="002A1A24" w:rsidRPr="00B01F9E">
              <w:rPr>
                <w:rFonts w:ascii="Arial" w:eastAsia="Times New Roman" w:hAnsi="Arial" w:cs="Arial"/>
                <w:sz w:val="20"/>
                <w:szCs w:val="20"/>
              </w:rPr>
              <w:t>P</w:t>
            </w:r>
            <w:r w:rsidRPr="00B01F9E">
              <w:rPr>
                <w:rFonts w:ascii="Arial" w:eastAsia="Times New Roman" w:hAnsi="Arial" w:cs="Arial"/>
                <w:sz w:val="20"/>
                <w:szCs w:val="20"/>
              </w:rPr>
              <w:t>romote</w:t>
            </w:r>
            <w:r w:rsidR="002A1A24" w:rsidRPr="00B01F9E">
              <w:rPr>
                <w:rFonts w:ascii="Arial" w:eastAsia="Times New Roman" w:hAnsi="Arial" w:cs="Arial"/>
                <w:sz w:val="20"/>
                <w:szCs w:val="20"/>
              </w:rPr>
              <w:t>s</w:t>
            </w:r>
            <w:r w:rsidRPr="00B01F9E">
              <w:rPr>
                <w:rFonts w:ascii="Arial" w:eastAsia="Times New Roman" w:hAnsi="Arial" w:cs="Arial"/>
                <w:sz w:val="20"/>
                <w:szCs w:val="20"/>
              </w:rPr>
              <w:t xml:space="preserve"> cancer prevention, research, education, and monitoring of comprehensive quality care.</w:t>
            </w:r>
            <w:r w:rsidR="000158D4" w:rsidRPr="00B01F9E">
              <w:rPr>
                <w:rFonts w:ascii="Arial" w:eastAsia="Times New Roman" w:hAnsi="Arial" w:cs="Arial"/>
                <w:sz w:val="20"/>
                <w:szCs w:val="20"/>
              </w:rPr>
              <w:t xml:space="preserve"> </w:t>
            </w:r>
            <w:hyperlink r:id="rId102" w:history="1">
              <w:r w:rsidR="000158D4" w:rsidRPr="00B01F9E">
                <w:rPr>
                  <w:rStyle w:val="Hyperlink"/>
                  <w:rFonts w:ascii="Arial" w:eastAsia="Times New Roman" w:hAnsi="Arial" w:cs="Arial"/>
                  <w:sz w:val="20"/>
                  <w:szCs w:val="20"/>
                </w:rPr>
                <w:t>https://www.facs.org/quality-programs/cancer-programs/commission-on-cancer/</w:t>
              </w:r>
            </w:hyperlink>
            <w:r w:rsidR="002A1A24" w:rsidRPr="00B01F9E">
              <w:rPr>
                <w:rFonts w:ascii="Arial" w:eastAsia="Times New Roman" w:hAnsi="Arial" w:cs="Arial"/>
                <w:sz w:val="20"/>
                <w:szCs w:val="20"/>
              </w:rPr>
              <w:t xml:space="preserve"> </w:t>
            </w:r>
          </w:p>
        </w:tc>
      </w:tr>
      <w:tr w:rsidR="00B457EE" w:rsidRPr="00B01F9E" w14:paraId="129735EA" w14:textId="77777777" w:rsidTr="004C61C0">
        <w:trPr>
          <w:trHeight w:val="693"/>
        </w:trPr>
        <w:tc>
          <w:tcPr>
            <w:tcW w:w="1779" w:type="dxa"/>
            <w:shd w:val="clear" w:color="auto" w:fill="auto"/>
          </w:tcPr>
          <w:p w14:paraId="27CD5C37" w14:textId="0DAE7D70" w:rsidR="00B457EE" w:rsidRPr="00B01F9E" w:rsidRDefault="00B457EE" w:rsidP="00B457EE">
            <w:pPr>
              <w:rPr>
                <w:rFonts w:ascii="Arial" w:hAnsi="Arial" w:cs="Arial"/>
                <w:sz w:val="20"/>
                <w:szCs w:val="20"/>
              </w:rPr>
            </w:pPr>
            <w:r w:rsidRPr="00B01F9E">
              <w:rPr>
                <w:rFonts w:ascii="Arial" w:hAnsi="Arial" w:cs="Arial"/>
                <w:sz w:val="20"/>
                <w:szCs w:val="20"/>
              </w:rPr>
              <w:t xml:space="preserve">Device Identifier (DI) </w:t>
            </w:r>
          </w:p>
        </w:tc>
        <w:tc>
          <w:tcPr>
            <w:tcW w:w="7571" w:type="dxa"/>
            <w:shd w:val="clear" w:color="auto" w:fill="auto"/>
          </w:tcPr>
          <w:p w14:paraId="0C5777AF" w14:textId="69AF7977" w:rsidR="00B457EE" w:rsidRPr="00B01F9E" w:rsidRDefault="00B457EE" w:rsidP="000158D4">
            <w:pPr>
              <w:spacing w:before="100" w:beforeAutospacing="1"/>
              <w:rPr>
                <w:rFonts w:ascii="Arial" w:eastAsia="Times New Roman" w:hAnsi="Arial" w:cs="Arial"/>
                <w:sz w:val="20"/>
                <w:szCs w:val="20"/>
              </w:rPr>
            </w:pPr>
            <w:r w:rsidRPr="00B01F9E">
              <w:rPr>
                <w:rFonts w:ascii="Arial" w:eastAsia="Times New Roman" w:hAnsi="Arial" w:cs="Arial"/>
                <w:sz w:val="20"/>
                <w:szCs w:val="20"/>
              </w:rPr>
              <w:t>A mandatory, fixed portion of a UDI that identifies the labeler and the specific version or model of a device.</w:t>
            </w:r>
            <w:r w:rsidR="000158D4" w:rsidRPr="00B01F9E">
              <w:rPr>
                <w:rFonts w:ascii="Arial" w:eastAsia="Times New Roman" w:hAnsi="Arial" w:cs="Arial"/>
                <w:sz w:val="20"/>
                <w:szCs w:val="20"/>
              </w:rPr>
              <w:t xml:space="preserve"> </w:t>
            </w:r>
            <w:hyperlink r:id="rId103" w:history="1">
              <w:r w:rsidR="000158D4" w:rsidRPr="00B01F9E">
                <w:rPr>
                  <w:rStyle w:val="Hyperlink"/>
                  <w:rFonts w:ascii="Arial" w:eastAsia="Times New Roman" w:hAnsi="Arial" w:cs="Arial"/>
                  <w:sz w:val="20"/>
                  <w:szCs w:val="20"/>
                </w:rPr>
                <w:t>https://www.fda.gov/medical-devices/unique-device-identification-system-udi-system/udi-basics</w:t>
              </w:r>
            </w:hyperlink>
          </w:p>
        </w:tc>
      </w:tr>
      <w:tr w:rsidR="008348F2" w:rsidRPr="00B01F9E" w14:paraId="03A53539" w14:textId="77777777" w:rsidTr="004C61C0">
        <w:trPr>
          <w:trHeight w:val="910"/>
        </w:trPr>
        <w:tc>
          <w:tcPr>
            <w:tcW w:w="1779" w:type="dxa"/>
            <w:shd w:val="clear" w:color="auto" w:fill="auto"/>
          </w:tcPr>
          <w:p w14:paraId="613FEB23" w14:textId="4AA1BD06" w:rsidR="008348F2" w:rsidRPr="00B01F9E" w:rsidRDefault="008348F2" w:rsidP="008F0175">
            <w:pPr>
              <w:rPr>
                <w:rFonts w:ascii="Arial" w:hAnsi="Arial" w:cs="Arial"/>
                <w:sz w:val="20"/>
                <w:szCs w:val="20"/>
              </w:rPr>
            </w:pPr>
            <w:r w:rsidRPr="00B01F9E">
              <w:rPr>
                <w:rFonts w:ascii="Arial" w:hAnsi="Arial" w:cs="Arial"/>
                <w:sz w:val="20"/>
                <w:szCs w:val="20"/>
              </w:rPr>
              <w:t xml:space="preserve">Electronic Health Record </w:t>
            </w:r>
            <w:r w:rsidR="009B70A5" w:rsidRPr="00B01F9E">
              <w:rPr>
                <w:rFonts w:ascii="Arial" w:hAnsi="Arial" w:cs="Arial"/>
                <w:sz w:val="20"/>
                <w:szCs w:val="20"/>
              </w:rPr>
              <w:t>(EHR)</w:t>
            </w:r>
          </w:p>
        </w:tc>
        <w:tc>
          <w:tcPr>
            <w:tcW w:w="7571" w:type="dxa"/>
            <w:shd w:val="clear" w:color="auto" w:fill="auto"/>
          </w:tcPr>
          <w:p w14:paraId="6C2C8989" w14:textId="039AA487" w:rsidR="008348F2" w:rsidRPr="00B01F9E" w:rsidRDefault="0011025C" w:rsidP="001605A1">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 xml:space="preserve">An EHR is a more comprehensive digital record that not only contains a patient’s medical history from one practice but is also designed to be shared across different healthcare settings. It includes information from all the clinicians involved in the patient's care, and the data can be shared with other healthcare providers, such as specialists, laboratories, and pharmacies. </w:t>
            </w:r>
          </w:p>
        </w:tc>
      </w:tr>
      <w:tr w:rsidR="008348F2" w:rsidRPr="00B01F9E" w14:paraId="04436F39" w14:textId="77777777" w:rsidTr="004C61C0">
        <w:trPr>
          <w:trHeight w:val="693"/>
        </w:trPr>
        <w:tc>
          <w:tcPr>
            <w:tcW w:w="1779" w:type="dxa"/>
            <w:shd w:val="clear" w:color="auto" w:fill="auto"/>
          </w:tcPr>
          <w:p w14:paraId="5B0169AB" w14:textId="36C6D2C7" w:rsidR="008348F2" w:rsidRPr="00B01F9E" w:rsidRDefault="008348F2" w:rsidP="008F0175">
            <w:pPr>
              <w:rPr>
                <w:rFonts w:ascii="Arial" w:hAnsi="Arial" w:cs="Arial"/>
                <w:sz w:val="20"/>
                <w:szCs w:val="20"/>
              </w:rPr>
            </w:pPr>
            <w:r w:rsidRPr="00B01F9E">
              <w:rPr>
                <w:rFonts w:ascii="Arial" w:hAnsi="Arial" w:cs="Arial"/>
                <w:sz w:val="20"/>
                <w:szCs w:val="20"/>
              </w:rPr>
              <w:t>Electronic Medical Record (E</w:t>
            </w:r>
            <w:r w:rsidR="009B70A5" w:rsidRPr="00B01F9E">
              <w:rPr>
                <w:rFonts w:ascii="Arial" w:hAnsi="Arial" w:cs="Arial"/>
                <w:sz w:val="20"/>
                <w:szCs w:val="20"/>
              </w:rPr>
              <w:t>MR)</w:t>
            </w:r>
          </w:p>
        </w:tc>
        <w:tc>
          <w:tcPr>
            <w:tcW w:w="7571" w:type="dxa"/>
            <w:shd w:val="clear" w:color="auto" w:fill="auto"/>
          </w:tcPr>
          <w:p w14:paraId="603FA255" w14:textId="3C781BC1" w:rsidR="008348F2" w:rsidRPr="00B01F9E" w:rsidRDefault="00D135CF" w:rsidP="008F0175">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An EMR is a digital version of a patient's paper chart within a single healthcare organization or practice. It contains the medical and treatment history of the patients in one practice and is primarily used by clinicians for diagnosis and treatment.</w:t>
            </w:r>
            <w:r w:rsidR="008F5842" w:rsidRPr="00B01F9E">
              <w:rPr>
                <w:rFonts w:ascii="Arial" w:eastAsia="Times New Roman" w:hAnsi="Arial" w:cs="Arial"/>
                <w:sz w:val="20"/>
                <w:szCs w:val="20"/>
              </w:rPr>
              <w:t xml:space="preserve"> </w:t>
            </w:r>
          </w:p>
        </w:tc>
      </w:tr>
      <w:tr w:rsidR="008F0175" w:rsidRPr="00B01F9E" w14:paraId="7AC56FCF" w14:textId="77777777" w:rsidTr="004C61C0">
        <w:trPr>
          <w:trHeight w:val="462"/>
        </w:trPr>
        <w:tc>
          <w:tcPr>
            <w:tcW w:w="1779" w:type="dxa"/>
            <w:shd w:val="clear" w:color="auto" w:fill="auto"/>
          </w:tcPr>
          <w:p w14:paraId="04FEB94A" w14:textId="4A1B2013" w:rsidR="008F0175" w:rsidRPr="00B01F9E" w:rsidRDefault="008F0175" w:rsidP="008F0175">
            <w:pPr>
              <w:rPr>
                <w:rFonts w:ascii="Arial" w:hAnsi="Arial" w:cs="Arial"/>
                <w:sz w:val="20"/>
                <w:szCs w:val="20"/>
              </w:rPr>
            </w:pPr>
            <w:r w:rsidRPr="00B01F9E">
              <w:rPr>
                <w:rFonts w:ascii="Arial" w:hAnsi="Arial" w:cs="Arial"/>
                <w:sz w:val="20"/>
                <w:szCs w:val="20"/>
              </w:rPr>
              <w:t>Encode / Encoded / Encoding</w:t>
            </w:r>
          </w:p>
        </w:tc>
        <w:tc>
          <w:tcPr>
            <w:tcW w:w="7571" w:type="dxa"/>
            <w:shd w:val="clear" w:color="auto" w:fill="auto"/>
          </w:tcPr>
          <w:p w14:paraId="3B16F518" w14:textId="0DAA603B" w:rsidR="008F0175" w:rsidRPr="00B01F9E" w:rsidRDefault="008F0175" w:rsidP="008F0175">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 xml:space="preserve">The process of implementing codes into the system and applying the test definitions. </w:t>
            </w:r>
          </w:p>
        </w:tc>
      </w:tr>
      <w:tr w:rsidR="008F0175" w:rsidRPr="00B01F9E" w14:paraId="5CE80098" w14:textId="77777777" w:rsidTr="004C61C0">
        <w:trPr>
          <w:trHeight w:val="448"/>
        </w:trPr>
        <w:tc>
          <w:tcPr>
            <w:tcW w:w="1779" w:type="dxa"/>
            <w:shd w:val="clear" w:color="auto" w:fill="auto"/>
          </w:tcPr>
          <w:p w14:paraId="2C71304E" w14:textId="77777777" w:rsidR="008F0175" w:rsidRPr="00B01F9E" w:rsidRDefault="008F0175" w:rsidP="008F0175">
            <w:pPr>
              <w:rPr>
                <w:rFonts w:ascii="Arial" w:hAnsi="Arial" w:cs="Arial"/>
                <w:sz w:val="20"/>
                <w:szCs w:val="20"/>
              </w:rPr>
            </w:pPr>
            <w:r w:rsidRPr="00B01F9E">
              <w:rPr>
                <w:rFonts w:ascii="Arial" w:hAnsi="Arial" w:cs="Arial"/>
                <w:sz w:val="20"/>
                <w:szCs w:val="20"/>
              </w:rPr>
              <w:lastRenderedPageBreak/>
              <w:t>Enterprise Patient (EPT)</w:t>
            </w:r>
          </w:p>
        </w:tc>
        <w:tc>
          <w:tcPr>
            <w:tcW w:w="7571" w:type="dxa"/>
            <w:shd w:val="clear" w:color="auto" w:fill="auto"/>
          </w:tcPr>
          <w:p w14:paraId="0D56FB01" w14:textId="31A84B10" w:rsidR="008F0175" w:rsidRPr="00B01F9E" w:rsidRDefault="008F0175" w:rsidP="008F0175">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A patient type in Epic whose registration, test results, and other medical records are stored and managed within a standard Epic chart</w:t>
            </w:r>
            <w:r w:rsidR="00811240" w:rsidRPr="00B01F9E">
              <w:rPr>
                <w:rFonts w:ascii="Arial" w:eastAsia="Times New Roman" w:hAnsi="Arial" w:cs="Arial"/>
                <w:sz w:val="20"/>
                <w:szCs w:val="20"/>
              </w:rPr>
              <w:t>.</w:t>
            </w:r>
          </w:p>
        </w:tc>
      </w:tr>
      <w:tr w:rsidR="00F3225F" w:rsidRPr="00B01F9E" w14:paraId="0432B4A6" w14:textId="77777777" w:rsidTr="004C61C0">
        <w:trPr>
          <w:trHeight w:val="924"/>
        </w:trPr>
        <w:tc>
          <w:tcPr>
            <w:tcW w:w="1779" w:type="dxa"/>
            <w:shd w:val="clear" w:color="auto" w:fill="auto"/>
          </w:tcPr>
          <w:p w14:paraId="0A5679F3" w14:textId="19498D0F" w:rsidR="00F3225F" w:rsidRPr="00B01F9E" w:rsidRDefault="00F3225F" w:rsidP="00F3225F">
            <w:pPr>
              <w:rPr>
                <w:rFonts w:ascii="Arial" w:hAnsi="Arial" w:cs="Arial"/>
                <w:sz w:val="20"/>
                <w:szCs w:val="20"/>
              </w:rPr>
            </w:pPr>
            <w:r w:rsidRPr="00B01F9E">
              <w:rPr>
                <w:rFonts w:ascii="Arial" w:hAnsi="Arial" w:cs="Arial"/>
                <w:sz w:val="20"/>
                <w:szCs w:val="20"/>
              </w:rPr>
              <w:t xml:space="preserve">Environment </w:t>
            </w:r>
            <w:r w:rsidR="005E7A9F" w:rsidRPr="00B01F9E">
              <w:rPr>
                <w:rFonts w:ascii="Arial" w:hAnsi="Arial" w:cs="Arial"/>
                <w:sz w:val="20"/>
                <w:szCs w:val="20"/>
              </w:rPr>
              <w:t>Development</w:t>
            </w:r>
          </w:p>
        </w:tc>
        <w:tc>
          <w:tcPr>
            <w:tcW w:w="7571" w:type="dxa"/>
            <w:shd w:val="clear" w:color="auto" w:fill="auto"/>
          </w:tcPr>
          <w:p w14:paraId="32911DD8" w14:textId="1040C1AE" w:rsidR="00F3225F" w:rsidRPr="00B01F9E" w:rsidRDefault="00F3225F" w:rsidP="00F3225F">
            <w:pPr>
              <w:spacing w:before="100" w:beforeAutospacing="1" w:after="100" w:afterAutospacing="1"/>
              <w:rPr>
                <w:rFonts w:ascii="Arial" w:eastAsia="Times New Roman" w:hAnsi="Arial" w:cs="Arial"/>
                <w:sz w:val="20"/>
                <w:szCs w:val="20"/>
              </w:rPr>
            </w:pPr>
            <w:r w:rsidRPr="00B01F9E">
              <w:rPr>
                <w:rFonts w:ascii="Arial" w:hAnsi="Arial" w:cs="Arial"/>
                <w:sz w:val="20"/>
                <w:szCs w:val="20"/>
              </w:rPr>
              <w:t>The process of developing and configuring the necessary systems and interfaces for the sending laboratory, the receiving entity, and any intermediary interface engines. This enables laboratory tests encoded within the laboratory information system to transmit results, whether for proficiency testing or actual patient results, using the same data elements in the HL7 message.</w:t>
            </w:r>
          </w:p>
        </w:tc>
      </w:tr>
      <w:tr w:rsidR="00840382" w:rsidRPr="00B01F9E" w14:paraId="491B29C5" w14:textId="77777777" w:rsidTr="004C61C0">
        <w:trPr>
          <w:trHeight w:val="679"/>
        </w:trPr>
        <w:tc>
          <w:tcPr>
            <w:tcW w:w="1779" w:type="dxa"/>
            <w:shd w:val="clear" w:color="auto" w:fill="auto"/>
          </w:tcPr>
          <w:p w14:paraId="0EFD8BEC" w14:textId="2818D7E9" w:rsidR="00840382" w:rsidRPr="00B01F9E" w:rsidRDefault="00B9030F" w:rsidP="00F3225F">
            <w:pPr>
              <w:rPr>
                <w:rFonts w:ascii="Arial" w:hAnsi="Arial" w:cs="Arial"/>
                <w:sz w:val="20"/>
                <w:szCs w:val="20"/>
              </w:rPr>
            </w:pPr>
            <w:r w:rsidRPr="00B01F9E">
              <w:rPr>
                <w:rFonts w:ascii="Arial" w:hAnsi="Arial" w:cs="Arial"/>
                <w:sz w:val="20"/>
                <w:szCs w:val="20"/>
              </w:rPr>
              <w:t>FDA (Food and Drug Administration)</w:t>
            </w:r>
          </w:p>
        </w:tc>
        <w:tc>
          <w:tcPr>
            <w:tcW w:w="7571" w:type="dxa"/>
            <w:shd w:val="clear" w:color="auto" w:fill="auto"/>
          </w:tcPr>
          <w:p w14:paraId="2FED9934" w14:textId="3451D51F" w:rsidR="00840382" w:rsidRPr="00B01F9E" w:rsidRDefault="005714B5" w:rsidP="00F3225F">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A federal agency of the Department of Health and Human Services responsible for protecting and promoting public health through the control and supervision of medical devices, drugs, and other entities affecting human health.</w:t>
            </w:r>
          </w:p>
        </w:tc>
      </w:tr>
      <w:tr w:rsidR="00301A3D" w:rsidRPr="00B01F9E" w14:paraId="5B9F4A1B" w14:textId="77777777" w:rsidTr="004C61C0">
        <w:trPr>
          <w:trHeight w:val="693"/>
        </w:trPr>
        <w:tc>
          <w:tcPr>
            <w:tcW w:w="1779" w:type="dxa"/>
            <w:shd w:val="clear" w:color="auto" w:fill="auto"/>
          </w:tcPr>
          <w:p w14:paraId="5FC2BC50" w14:textId="3B4F2DB1" w:rsidR="00301A3D" w:rsidRPr="00B01F9E" w:rsidRDefault="000F7997" w:rsidP="00F3225F">
            <w:pPr>
              <w:rPr>
                <w:rFonts w:ascii="Arial" w:hAnsi="Arial" w:cs="Arial"/>
                <w:sz w:val="20"/>
                <w:szCs w:val="20"/>
              </w:rPr>
            </w:pPr>
            <w:r w:rsidRPr="00B01F9E">
              <w:rPr>
                <w:rFonts w:ascii="Arial" w:hAnsi="Arial" w:cs="Arial"/>
                <w:sz w:val="20"/>
                <w:szCs w:val="20"/>
              </w:rPr>
              <w:t>Fast Healthcare In</w:t>
            </w:r>
            <w:r w:rsidR="000C7061" w:rsidRPr="00B01F9E">
              <w:rPr>
                <w:rFonts w:ascii="Arial" w:hAnsi="Arial" w:cs="Arial"/>
                <w:sz w:val="20"/>
                <w:szCs w:val="20"/>
              </w:rPr>
              <w:t xml:space="preserve">teroperability Resources (FHIR) </w:t>
            </w:r>
          </w:p>
        </w:tc>
        <w:tc>
          <w:tcPr>
            <w:tcW w:w="7571" w:type="dxa"/>
            <w:shd w:val="clear" w:color="auto" w:fill="auto"/>
          </w:tcPr>
          <w:p w14:paraId="4CBF229A" w14:textId="4D78B69B" w:rsidR="008B2EEE" w:rsidRPr="00B01F9E" w:rsidRDefault="00506581" w:rsidP="008E752F">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 xml:space="preserve">FHIR (Fast Health Interoperability Resources) is an HL7 specification for healthcare interoperability. A set of rules and specifications for exchanging electronic health care data. </w:t>
            </w:r>
            <w:hyperlink r:id="rId104" w:history="1">
              <w:r w:rsidR="008B2EEE" w:rsidRPr="00B01F9E">
                <w:rPr>
                  <w:rStyle w:val="Hyperlink"/>
                  <w:rFonts w:ascii="Arial" w:eastAsia="Times New Roman" w:hAnsi="Arial" w:cs="Arial"/>
                  <w:sz w:val="20"/>
                  <w:szCs w:val="20"/>
                </w:rPr>
                <w:t>https://fhir.org/</w:t>
              </w:r>
            </w:hyperlink>
          </w:p>
        </w:tc>
      </w:tr>
      <w:tr w:rsidR="00F3225F" w:rsidRPr="00B01F9E" w14:paraId="34D60F18" w14:textId="77777777" w:rsidTr="004C61C0">
        <w:trPr>
          <w:trHeight w:val="1373"/>
        </w:trPr>
        <w:tc>
          <w:tcPr>
            <w:tcW w:w="1779" w:type="dxa"/>
            <w:shd w:val="clear" w:color="auto" w:fill="auto"/>
          </w:tcPr>
          <w:p w14:paraId="058F4A17" w14:textId="0BD96419" w:rsidR="00F3225F" w:rsidRPr="00B01F9E" w:rsidRDefault="00F3225F" w:rsidP="00F3225F">
            <w:pPr>
              <w:rPr>
                <w:rFonts w:ascii="Arial" w:hAnsi="Arial" w:cs="Arial"/>
                <w:sz w:val="20"/>
                <w:szCs w:val="20"/>
              </w:rPr>
            </w:pPr>
            <w:r w:rsidRPr="00B01F9E">
              <w:rPr>
                <w:rFonts w:ascii="Arial" w:hAnsi="Arial" w:cs="Arial"/>
                <w:sz w:val="20"/>
                <w:szCs w:val="20"/>
              </w:rPr>
              <w:t>Global Unique Device Identification Database (GUDID)</w:t>
            </w:r>
          </w:p>
        </w:tc>
        <w:tc>
          <w:tcPr>
            <w:tcW w:w="7571" w:type="dxa"/>
            <w:shd w:val="clear" w:color="auto" w:fill="auto"/>
          </w:tcPr>
          <w:p w14:paraId="651A164A" w14:textId="2DE1BB3F" w:rsidR="00F3225F" w:rsidRPr="00B01F9E" w:rsidRDefault="00F3225F" w:rsidP="00F3225F">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The Global Unique Device Identification Database (GUDID) contains key device identification information submitted to the FDA about medical devices that have Unique Device Identifiers (UDI</w:t>
            </w:r>
            <w:proofErr w:type="gramStart"/>
            <w:r w:rsidRPr="00B01F9E">
              <w:rPr>
                <w:rFonts w:ascii="Arial" w:eastAsia="Times New Roman" w:hAnsi="Arial" w:cs="Arial"/>
                <w:sz w:val="20"/>
                <w:szCs w:val="20"/>
              </w:rPr>
              <w:t>).The</w:t>
            </w:r>
            <w:proofErr w:type="gramEnd"/>
            <w:r w:rsidRPr="00B01F9E">
              <w:rPr>
                <w:rFonts w:ascii="Arial" w:eastAsia="Times New Roman" w:hAnsi="Arial" w:cs="Arial"/>
                <w:sz w:val="20"/>
                <w:szCs w:val="20"/>
              </w:rPr>
              <w:t xml:space="preserve"> FDA is establishing the unique device identification system to adequately identify devices sold in the U.S.- from manufacturing through distribution to patient use. One can use </w:t>
            </w:r>
            <w:proofErr w:type="spellStart"/>
            <w:r w:rsidRPr="00B01F9E">
              <w:rPr>
                <w:rFonts w:ascii="Arial" w:eastAsia="Times New Roman" w:hAnsi="Arial" w:cs="Arial"/>
                <w:sz w:val="20"/>
                <w:szCs w:val="20"/>
              </w:rPr>
              <w:t>AccessGUDID</w:t>
            </w:r>
            <w:proofErr w:type="spellEnd"/>
            <w:r w:rsidRPr="00B01F9E">
              <w:rPr>
                <w:rFonts w:ascii="Arial" w:eastAsia="Times New Roman" w:hAnsi="Arial" w:cs="Arial"/>
                <w:sz w:val="20"/>
                <w:szCs w:val="20"/>
              </w:rPr>
              <w:t xml:space="preserve"> to search for specific medical devices or download all the GUDID data at once. </w:t>
            </w:r>
            <w:hyperlink r:id="rId105" w:history="1">
              <w:r w:rsidRPr="00B01F9E">
                <w:rPr>
                  <w:rStyle w:val="Hyperlink"/>
                  <w:rFonts w:ascii="Arial" w:eastAsia="Times New Roman" w:hAnsi="Arial" w:cs="Arial"/>
                  <w:sz w:val="20"/>
                  <w:szCs w:val="20"/>
                </w:rPr>
                <w:t>https://accessgudid.nlm.nih.gov/</w:t>
              </w:r>
            </w:hyperlink>
          </w:p>
        </w:tc>
      </w:tr>
      <w:tr w:rsidR="00826661" w:rsidRPr="00B01F9E" w14:paraId="6BAD3DE5" w14:textId="77777777" w:rsidTr="004C61C0">
        <w:trPr>
          <w:trHeight w:val="679"/>
        </w:trPr>
        <w:tc>
          <w:tcPr>
            <w:tcW w:w="1779" w:type="dxa"/>
          </w:tcPr>
          <w:p w14:paraId="3046F559" w14:textId="181B37C5" w:rsidR="00826661" w:rsidRPr="00B01F9E" w:rsidRDefault="000644EE" w:rsidP="00F3225F">
            <w:pPr>
              <w:rPr>
                <w:rFonts w:ascii="Arial" w:hAnsi="Arial" w:cs="Arial"/>
                <w:sz w:val="20"/>
                <w:szCs w:val="20"/>
              </w:rPr>
            </w:pPr>
            <w:r w:rsidRPr="00B01F9E">
              <w:rPr>
                <w:rFonts w:ascii="Arial" w:hAnsi="Arial" w:cs="Arial"/>
                <w:sz w:val="20"/>
                <w:szCs w:val="20"/>
              </w:rPr>
              <w:t>Health Information Exchanges</w:t>
            </w:r>
            <w:r w:rsidR="006E2E7D" w:rsidRPr="00B01F9E">
              <w:rPr>
                <w:rFonts w:ascii="Arial" w:hAnsi="Arial" w:cs="Arial"/>
                <w:sz w:val="20"/>
                <w:szCs w:val="20"/>
              </w:rPr>
              <w:t xml:space="preserve"> (HIE</w:t>
            </w:r>
            <w:r w:rsidRPr="00B01F9E">
              <w:rPr>
                <w:rFonts w:ascii="Arial" w:hAnsi="Arial" w:cs="Arial"/>
                <w:sz w:val="20"/>
                <w:szCs w:val="20"/>
              </w:rPr>
              <w:t>)</w:t>
            </w:r>
          </w:p>
        </w:tc>
        <w:tc>
          <w:tcPr>
            <w:tcW w:w="7571" w:type="dxa"/>
          </w:tcPr>
          <w:p w14:paraId="2D3F2CFA" w14:textId="776EF22A" w:rsidR="00826661" w:rsidRPr="00B01F9E" w:rsidRDefault="003C27B8" w:rsidP="00F3225F">
            <w:pPr>
              <w:spacing w:before="100" w:beforeAutospacing="1" w:after="100" w:afterAutospacing="1"/>
              <w:rPr>
                <w:rFonts w:ascii="Arial" w:eastAsia="Times New Roman" w:hAnsi="Arial" w:cs="Arial"/>
                <w:sz w:val="20"/>
                <w:szCs w:val="20"/>
              </w:rPr>
            </w:pPr>
            <w:r w:rsidRPr="00B01F9E">
              <w:rPr>
                <w:rFonts w:ascii="Arial" w:eastAsia="Times New Roman" w:hAnsi="Arial" w:cs="Arial"/>
                <w:sz w:val="20"/>
                <w:szCs w:val="20"/>
              </w:rPr>
              <w:t>HIEs allow for the ability to move clinical information including laboratory data across different healthcare information systems within a region, community, or customer base.</w:t>
            </w:r>
          </w:p>
        </w:tc>
      </w:tr>
      <w:tr w:rsidR="00F3225F" w:rsidRPr="00B01F9E" w14:paraId="6007E97E" w14:textId="77777777" w:rsidTr="004C61C0">
        <w:trPr>
          <w:trHeight w:val="924"/>
        </w:trPr>
        <w:tc>
          <w:tcPr>
            <w:tcW w:w="1779" w:type="dxa"/>
          </w:tcPr>
          <w:p w14:paraId="4B6BC001" w14:textId="70DE0561" w:rsidR="00F3225F" w:rsidRPr="00B01F9E" w:rsidRDefault="00F3225F" w:rsidP="00F3225F">
            <w:pPr>
              <w:rPr>
                <w:rFonts w:ascii="Arial" w:hAnsi="Arial" w:cs="Arial"/>
                <w:sz w:val="20"/>
                <w:szCs w:val="20"/>
              </w:rPr>
            </w:pPr>
            <w:r w:rsidRPr="00B01F9E">
              <w:rPr>
                <w:rFonts w:ascii="Arial" w:hAnsi="Arial" w:cs="Arial"/>
                <w:sz w:val="20"/>
                <w:szCs w:val="20"/>
              </w:rPr>
              <w:t>Health Level Seven</w:t>
            </w:r>
            <w:r w:rsidR="006E2E7D" w:rsidRPr="00B01F9E">
              <w:rPr>
                <w:rFonts w:ascii="Arial" w:hAnsi="Arial" w:cs="Arial"/>
                <w:sz w:val="20"/>
                <w:szCs w:val="20"/>
              </w:rPr>
              <w:t xml:space="preserve"> (HL7®</w:t>
            </w:r>
            <w:r w:rsidRPr="00B01F9E">
              <w:rPr>
                <w:rFonts w:ascii="Arial" w:hAnsi="Arial" w:cs="Arial"/>
                <w:sz w:val="20"/>
                <w:szCs w:val="20"/>
              </w:rPr>
              <w:t>)</w:t>
            </w:r>
          </w:p>
        </w:tc>
        <w:tc>
          <w:tcPr>
            <w:tcW w:w="7571" w:type="dxa"/>
          </w:tcPr>
          <w:p w14:paraId="7FB1B8B5" w14:textId="64C6B9FE" w:rsidR="00F3225F" w:rsidRPr="00B01F9E" w:rsidRDefault="00F3225F" w:rsidP="000158D4">
            <w:pPr>
              <w:spacing w:before="100" w:beforeAutospacing="1"/>
              <w:rPr>
                <w:rFonts w:ascii="Arial" w:hAnsi="Arial" w:cs="Arial"/>
                <w:sz w:val="20"/>
                <w:szCs w:val="20"/>
              </w:rPr>
            </w:pPr>
            <w:r w:rsidRPr="00B01F9E">
              <w:rPr>
                <w:rFonts w:ascii="Arial" w:eastAsia="Times New Roman" w:hAnsi="Arial" w:cs="Arial"/>
                <w:sz w:val="20"/>
                <w:szCs w:val="20"/>
              </w:rPr>
              <w:t>A not-for-profit, ANSI (American National Standards Institute)-accredited standards developing organization: System of messaging standards for transferring clinical and administrative data between software applications used by various healthcare systems.</w:t>
            </w:r>
            <w:r w:rsidRPr="00B01F9E">
              <w:rPr>
                <w:rFonts w:ascii="Arial" w:hAnsi="Arial" w:cs="Arial"/>
                <w:sz w:val="20"/>
                <w:szCs w:val="20"/>
              </w:rPr>
              <w:t xml:space="preserve"> </w:t>
            </w:r>
            <w:hyperlink r:id="rId106" w:history="1">
              <w:r w:rsidR="000158D4" w:rsidRPr="00B01F9E">
                <w:rPr>
                  <w:rStyle w:val="Hyperlink"/>
                  <w:rFonts w:ascii="Arial" w:hAnsi="Arial" w:cs="Arial"/>
                  <w:sz w:val="20"/>
                  <w:szCs w:val="20"/>
                </w:rPr>
                <w:t>https://www.hl7.org/</w:t>
              </w:r>
            </w:hyperlink>
          </w:p>
        </w:tc>
      </w:tr>
      <w:tr w:rsidR="00F3225F" w:rsidRPr="00B01F9E" w14:paraId="340F92E8" w14:textId="77777777" w:rsidTr="004C61C0">
        <w:trPr>
          <w:trHeight w:val="1141"/>
        </w:trPr>
        <w:tc>
          <w:tcPr>
            <w:tcW w:w="1779" w:type="dxa"/>
          </w:tcPr>
          <w:p w14:paraId="2A957CCA" w14:textId="77777777" w:rsidR="00F3225F" w:rsidRPr="00B01F9E" w:rsidRDefault="00F3225F" w:rsidP="00F3225F">
            <w:pPr>
              <w:rPr>
                <w:rFonts w:ascii="Arial" w:hAnsi="Arial" w:cs="Arial"/>
                <w:sz w:val="20"/>
                <w:szCs w:val="20"/>
              </w:rPr>
            </w:pPr>
            <w:r w:rsidRPr="00B01F9E">
              <w:rPr>
                <w:rFonts w:ascii="Arial" w:hAnsi="Arial" w:cs="Arial"/>
                <w:sz w:val="20"/>
                <w:szCs w:val="20"/>
              </w:rPr>
              <w:t>HL7 Segment</w:t>
            </w:r>
          </w:p>
        </w:tc>
        <w:tc>
          <w:tcPr>
            <w:tcW w:w="7571" w:type="dxa"/>
          </w:tcPr>
          <w:p w14:paraId="2AFFD809" w14:textId="512A1FDC" w:rsidR="00F3225F" w:rsidRPr="00B01F9E" w:rsidRDefault="00F3225F" w:rsidP="00F3225F">
            <w:pPr>
              <w:rPr>
                <w:rFonts w:ascii="Arial" w:eastAsia="Times New Roman" w:hAnsi="Arial" w:cs="Arial"/>
                <w:sz w:val="20"/>
                <w:szCs w:val="20"/>
              </w:rPr>
            </w:pPr>
            <w:r w:rsidRPr="00B01F9E">
              <w:rPr>
                <w:rFonts w:ascii="Arial" w:eastAsia="Times New Roman" w:hAnsi="Arial" w:cs="Arial"/>
                <w:sz w:val="20"/>
                <w:szCs w:val="20"/>
              </w:rPr>
              <w:t>A segment is a logical grouping of data fields. Segments of a message may be required or optional. They may occur only once in a message, or they may be allowed to repeat. Each segment is given a name. For example: Message Header (MSH), Common Order (ORC), Observation Request (OBR), Observation Request (OBX), Specimen (SPM).</w:t>
            </w:r>
            <w:r w:rsidR="000158D4" w:rsidRPr="00B01F9E">
              <w:rPr>
                <w:rFonts w:ascii="Arial" w:eastAsia="Times New Roman" w:hAnsi="Arial" w:cs="Arial"/>
                <w:sz w:val="20"/>
                <w:szCs w:val="20"/>
              </w:rPr>
              <w:t xml:space="preserve"> </w:t>
            </w:r>
            <w:hyperlink r:id="rId107" w:history="1">
              <w:r w:rsidR="000158D4" w:rsidRPr="00B01F9E">
                <w:rPr>
                  <w:rStyle w:val="Hyperlink"/>
                  <w:rFonts w:ascii="Arial" w:eastAsia="Times New Roman" w:hAnsi="Arial" w:cs="Arial"/>
                  <w:sz w:val="20"/>
                  <w:szCs w:val="20"/>
                </w:rPr>
                <w:t>https://hl7-definition.caristix.com/v2/</w:t>
              </w:r>
            </w:hyperlink>
          </w:p>
        </w:tc>
      </w:tr>
      <w:tr w:rsidR="00F8519E" w:rsidRPr="00B01F9E" w14:paraId="14D73F85" w14:textId="77777777" w:rsidTr="004C61C0">
        <w:trPr>
          <w:trHeight w:val="462"/>
        </w:trPr>
        <w:tc>
          <w:tcPr>
            <w:tcW w:w="1779" w:type="dxa"/>
          </w:tcPr>
          <w:p w14:paraId="50B8C2BC" w14:textId="213AB931" w:rsidR="00F8519E" w:rsidRPr="00B01F9E" w:rsidRDefault="00F8519E" w:rsidP="00F8519E">
            <w:pPr>
              <w:rPr>
                <w:rFonts w:ascii="Arial" w:hAnsi="Arial" w:cs="Arial"/>
                <w:sz w:val="20"/>
                <w:szCs w:val="20"/>
              </w:rPr>
            </w:pPr>
            <w:r w:rsidRPr="00B01F9E">
              <w:rPr>
                <w:rFonts w:ascii="Arial" w:hAnsi="Arial" w:cs="Arial"/>
                <w:sz w:val="20"/>
                <w:szCs w:val="20"/>
              </w:rPr>
              <w:t xml:space="preserve">Identity Type </w:t>
            </w:r>
          </w:p>
        </w:tc>
        <w:tc>
          <w:tcPr>
            <w:tcW w:w="7571" w:type="dxa"/>
          </w:tcPr>
          <w:p w14:paraId="5B13775E" w14:textId="64DF569A" w:rsidR="00F8519E" w:rsidRPr="00B01F9E" w:rsidRDefault="00F8519E" w:rsidP="00F8519E">
            <w:pPr>
              <w:rPr>
                <w:rFonts w:ascii="Arial" w:eastAsia="Times New Roman" w:hAnsi="Arial" w:cs="Arial"/>
                <w:sz w:val="20"/>
                <w:szCs w:val="20"/>
              </w:rPr>
            </w:pPr>
            <w:r w:rsidRPr="00B01F9E">
              <w:rPr>
                <w:rFonts w:ascii="Arial" w:hAnsi="Arial" w:cs="Arial"/>
                <w:sz w:val="20"/>
                <w:szCs w:val="20"/>
              </w:rPr>
              <w:t>Identity types are records within Epic used for mapping identifiers (such as UDIs) that may be used by an external system and that link the identifier to the interface for transmission.</w:t>
            </w:r>
          </w:p>
        </w:tc>
      </w:tr>
      <w:tr w:rsidR="00F8519E" w:rsidRPr="00B01F9E" w14:paraId="23878860" w14:textId="77777777" w:rsidTr="004C61C0">
        <w:trPr>
          <w:trHeight w:val="1141"/>
        </w:trPr>
        <w:tc>
          <w:tcPr>
            <w:tcW w:w="1779" w:type="dxa"/>
          </w:tcPr>
          <w:p w14:paraId="5483AC9D" w14:textId="77777777" w:rsidR="00F8519E" w:rsidRPr="00B01F9E" w:rsidRDefault="00F8519E" w:rsidP="00F8519E">
            <w:pPr>
              <w:rPr>
                <w:rFonts w:ascii="Arial" w:hAnsi="Arial" w:cs="Arial"/>
                <w:sz w:val="20"/>
                <w:szCs w:val="20"/>
              </w:rPr>
            </w:pPr>
            <w:r w:rsidRPr="00B01F9E">
              <w:rPr>
                <w:rFonts w:ascii="Arial" w:hAnsi="Arial" w:cs="Arial"/>
                <w:sz w:val="20"/>
                <w:szCs w:val="20"/>
              </w:rPr>
              <w:t>IHE (Integrating the Healthcare Enterprise)</w:t>
            </w:r>
          </w:p>
        </w:tc>
        <w:tc>
          <w:tcPr>
            <w:tcW w:w="7571" w:type="dxa"/>
          </w:tcPr>
          <w:p w14:paraId="46F441A7" w14:textId="1AE098BC" w:rsidR="00F8519E" w:rsidRPr="00B01F9E" w:rsidRDefault="00F8519E" w:rsidP="00F8519E">
            <w:pPr>
              <w:rPr>
                <w:rFonts w:ascii="Arial" w:hAnsi="Arial" w:cs="Arial"/>
                <w:sz w:val="20"/>
                <w:szCs w:val="20"/>
              </w:rPr>
            </w:pPr>
            <w:r w:rsidRPr="00B01F9E">
              <w:rPr>
                <w:rFonts w:ascii="Arial" w:hAnsi="Arial" w:cs="Arial"/>
                <w:sz w:val="20"/>
                <w:szCs w:val="20"/>
              </w:rPr>
              <w:t>An initiative by healthcare professionals and industry to improve the way computer systems in healthcare share information. IHE promotes the coordinated use of established standards such as DICOM (Digital Imaging and Communications in Medicine) and HL7 to address specific clinical needs in support of optimal patient care.</w:t>
            </w:r>
            <w:r w:rsidR="000158D4" w:rsidRPr="00B01F9E">
              <w:rPr>
                <w:rFonts w:ascii="Arial" w:hAnsi="Arial" w:cs="Arial"/>
                <w:sz w:val="20"/>
                <w:szCs w:val="20"/>
              </w:rPr>
              <w:t xml:space="preserve"> </w:t>
            </w:r>
            <w:hyperlink r:id="rId108" w:history="1">
              <w:r w:rsidR="000158D4" w:rsidRPr="00B01F9E">
                <w:rPr>
                  <w:rStyle w:val="Hyperlink"/>
                  <w:rFonts w:ascii="Arial" w:hAnsi="Arial" w:cs="Arial"/>
                  <w:sz w:val="20"/>
                  <w:szCs w:val="20"/>
                </w:rPr>
                <w:t>https://www.ihe.net/</w:t>
              </w:r>
            </w:hyperlink>
          </w:p>
        </w:tc>
      </w:tr>
      <w:tr w:rsidR="00F8519E" w:rsidRPr="00B01F9E" w14:paraId="4A3FAC8A" w14:textId="77777777" w:rsidTr="004C61C0">
        <w:trPr>
          <w:trHeight w:val="924"/>
        </w:trPr>
        <w:tc>
          <w:tcPr>
            <w:tcW w:w="1779" w:type="dxa"/>
          </w:tcPr>
          <w:p w14:paraId="21878326" w14:textId="77777777" w:rsidR="00F8519E" w:rsidRPr="00B01F9E" w:rsidRDefault="00F8519E" w:rsidP="00F8519E">
            <w:pPr>
              <w:rPr>
                <w:rFonts w:ascii="Arial" w:hAnsi="Arial" w:cs="Arial"/>
                <w:sz w:val="20"/>
                <w:szCs w:val="20"/>
              </w:rPr>
            </w:pPr>
            <w:r w:rsidRPr="00B01F9E">
              <w:rPr>
                <w:rFonts w:ascii="Arial" w:hAnsi="Arial" w:cs="Arial"/>
                <w:sz w:val="20"/>
                <w:szCs w:val="20"/>
              </w:rPr>
              <w:t>IHE PT Profile</w:t>
            </w:r>
          </w:p>
        </w:tc>
        <w:tc>
          <w:tcPr>
            <w:tcW w:w="7571" w:type="dxa"/>
          </w:tcPr>
          <w:p w14:paraId="66BF0C17" w14:textId="77777777" w:rsidR="00F8519E" w:rsidRPr="00B01F9E" w:rsidRDefault="00F8519E" w:rsidP="00F8519E">
            <w:pPr>
              <w:rPr>
                <w:rFonts w:ascii="Arial" w:hAnsi="Arial" w:cs="Arial"/>
                <w:sz w:val="20"/>
                <w:szCs w:val="20"/>
              </w:rPr>
            </w:pPr>
            <w:r w:rsidRPr="00B01F9E">
              <w:rPr>
                <w:rFonts w:ascii="Arial" w:hAnsi="Arial" w:cs="Arial"/>
                <w:sz w:val="20"/>
                <w:szCs w:val="20"/>
              </w:rPr>
              <w:t xml:space="preserve">An initiative being developed by healthcare professionals and industry to improve the way proficiency testing orders and results can be delivered electronically between a laboratory information system and a proficiency testing vendor </w:t>
            </w:r>
            <w:proofErr w:type="gramStart"/>
            <w:r w:rsidRPr="00B01F9E">
              <w:rPr>
                <w:rFonts w:ascii="Arial" w:hAnsi="Arial" w:cs="Arial"/>
                <w:sz w:val="20"/>
                <w:szCs w:val="20"/>
              </w:rPr>
              <w:t>through the use of</w:t>
            </w:r>
            <w:proofErr w:type="gramEnd"/>
            <w:r w:rsidRPr="00B01F9E">
              <w:rPr>
                <w:rFonts w:ascii="Arial" w:hAnsi="Arial" w:cs="Arial"/>
                <w:sz w:val="20"/>
                <w:szCs w:val="20"/>
              </w:rPr>
              <w:t xml:space="preserve"> standards such as HL7. </w:t>
            </w:r>
            <w:hyperlink r:id="rId109" w:history="1">
              <w:r w:rsidRPr="00B01F9E">
                <w:rPr>
                  <w:rStyle w:val="Hyperlink"/>
                  <w:rFonts w:ascii="Arial" w:hAnsi="Arial" w:cs="Arial"/>
                  <w:sz w:val="20"/>
                  <w:szCs w:val="20"/>
                </w:rPr>
                <w:t>https://www.ihe.net/</w:t>
              </w:r>
            </w:hyperlink>
          </w:p>
        </w:tc>
      </w:tr>
      <w:tr w:rsidR="00C6011A" w:rsidRPr="00B01F9E" w14:paraId="3474C5BD" w14:textId="77777777" w:rsidTr="004C61C0">
        <w:trPr>
          <w:trHeight w:val="448"/>
        </w:trPr>
        <w:tc>
          <w:tcPr>
            <w:tcW w:w="1779" w:type="dxa"/>
          </w:tcPr>
          <w:p w14:paraId="7A5F6542" w14:textId="04F91943" w:rsidR="00C6011A" w:rsidRPr="00B01F9E" w:rsidRDefault="00C6011A" w:rsidP="00F8519E">
            <w:pPr>
              <w:rPr>
                <w:rFonts w:ascii="Arial" w:hAnsi="Arial" w:cs="Arial"/>
                <w:sz w:val="20"/>
                <w:szCs w:val="20"/>
              </w:rPr>
            </w:pPr>
            <w:r w:rsidRPr="00B01F9E">
              <w:rPr>
                <w:rFonts w:ascii="Arial" w:hAnsi="Arial" w:cs="Arial"/>
                <w:sz w:val="20"/>
                <w:szCs w:val="20"/>
              </w:rPr>
              <w:t>Instance Error Check</w:t>
            </w:r>
          </w:p>
        </w:tc>
        <w:tc>
          <w:tcPr>
            <w:tcW w:w="7571" w:type="dxa"/>
          </w:tcPr>
          <w:p w14:paraId="38BC8CDD" w14:textId="21CBBCE8" w:rsidR="00C6011A" w:rsidRPr="00B01F9E" w:rsidRDefault="000B7177" w:rsidP="00F8519E">
            <w:pPr>
              <w:rPr>
                <w:rFonts w:ascii="Arial" w:hAnsi="Arial" w:cs="Arial"/>
                <w:sz w:val="20"/>
                <w:szCs w:val="20"/>
              </w:rPr>
            </w:pPr>
            <w:r w:rsidRPr="00B01F9E">
              <w:rPr>
                <w:rFonts w:ascii="Arial" w:hAnsi="Arial" w:cs="Arial"/>
                <w:sz w:val="20"/>
                <w:szCs w:val="20"/>
              </w:rPr>
              <w:t>Instance error checking allows the client laboratory to test their standardized coding configuration against the expected LIDR coding curated by the IVD vendors.</w:t>
            </w:r>
          </w:p>
        </w:tc>
      </w:tr>
      <w:tr w:rsidR="00F8519E" w:rsidRPr="00B01F9E" w14:paraId="3D52C056" w14:textId="77777777" w:rsidTr="004C61C0">
        <w:trPr>
          <w:trHeight w:val="924"/>
        </w:trPr>
        <w:tc>
          <w:tcPr>
            <w:tcW w:w="1779" w:type="dxa"/>
          </w:tcPr>
          <w:p w14:paraId="07CB1057" w14:textId="77777777" w:rsidR="00F8519E" w:rsidRPr="00B01F9E" w:rsidRDefault="00F8519E" w:rsidP="00F8519E">
            <w:pPr>
              <w:rPr>
                <w:rFonts w:ascii="Arial" w:hAnsi="Arial" w:cs="Arial"/>
                <w:sz w:val="20"/>
                <w:szCs w:val="20"/>
              </w:rPr>
            </w:pPr>
            <w:r w:rsidRPr="00B01F9E">
              <w:rPr>
                <w:rFonts w:ascii="Arial" w:hAnsi="Arial" w:cs="Arial"/>
                <w:sz w:val="20"/>
                <w:szCs w:val="20"/>
              </w:rPr>
              <w:lastRenderedPageBreak/>
              <w:t>Interface Engine</w:t>
            </w:r>
          </w:p>
        </w:tc>
        <w:tc>
          <w:tcPr>
            <w:tcW w:w="7571" w:type="dxa"/>
          </w:tcPr>
          <w:p w14:paraId="143E83CB" w14:textId="77777777" w:rsidR="00F8519E" w:rsidRPr="00B01F9E" w:rsidRDefault="00F8519E" w:rsidP="00F8519E">
            <w:pPr>
              <w:rPr>
                <w:rFonts w:ascii="Arial" w:hAnsi="Arial" w:cs="Arial"/>
                <w:sz w:val="20"/>
                <w:szCs w:val="20"/>
              </w:rPr>
            </w:pPr>
            <w:r w:rsidRPr="00B01F9E">
              <w:rPr>
                <w:rFonts w:ascii="Arial" w:hAnsi="Arial" w:cs="Arial"/>
                <w:sz w:val="20"/>
                <w:szCs w:val="20"/>
              </w:rPr>
              <w:t>A specialized software application designed to facilitate the exchange of electronic health information between different healthcare systems, applications, and databases. These interface engines play a crucial role in enabling interoperability within the complex landscape of healthcare IT</w:t>
            </w:r>
          </w:p>
        </w:tc>
      </w:tr>
      <w:tr w:rsidR="00AA0A85" w:rsidRPr="00B01F9E" w14:paraId="3B3ACE3C" w14:textId="77777777" w:rsidTr="004C61C0">
        <w:trPr>
          <w:trHeight w:val="3507"/>
        </w:trPr>
        <w:tc>
          <w:tcPr>
            <w:tcW w:w="1779" w:type="dxa"/>
          </w:tcPr>
          <w:p w14:paraId="615066F6" w14:textId="11274089" w:rsidR="00AA0A85" w:rsidRPr="00B01F9E" w:rsidRDefault="009F756B" w:rsidP="00F8519E">
            <w:pPr>
              <w:rPr>
                <w:rFonts w:ascii="Arial" w:hAnsi="Arial" w:cs="Arial"/>
                <w:sz w:val="20"/>
                <w:szCs w:val="20"/>
              </w:rPr>
            </w:pPr>
            <w:r w:rsidRPr="00B01F9E">
              <w:rPr>
                <w:rFonts w:ascii="Arial" w:hAnsi="Arial" w:cs="Arial"/>
                <w:sz w:val="20"/>
                <w:szCs w:val="20"/>
              </w:rPr>
              <w:t>Interoperability</w:t>
            </w:r>
          </w:p>
        </w:tc>
        <w:tc>
          <w:tcPr>
            <w:tcW w:w="7571" w:type="dxa"/>
          </w:tcPr>
          <w:p w14:paraId="561C9A30" w14:textId="48A431CC" w:rsidR="0027570B" w:rsidRPr="00B01F9E" w:rsidRDefault="0027570B" w:rsidP="00F8519E">
            <w:pPr>
              <w:rPr>
                <w:rFonts w:ascii="Arial" w:hAnsi="Arial" w:cs="Arial"/>
                <w:sz w:val="20"/>
                <w:szCs w:val="20"/>
              </w:rPr>
            </w:pPr>
            <w:r w:rsidRPr="00B01F9E">
              <w:rPr>
                <w:rFonts w:ascii="Arial" w:hAnsi="Arial" w:cs="Arial"/>
                <w:sz w:val="20"/>
                <w:szCs w:val="20"/>
              </w:rPr>
              <w:t xml:space="preserve">The ability of different information systems and applications to exchange and integrate data which is portable (can move between these systems and have the same meaning) and comparable. There are four levels of interoperability: </w:t>
            </w:r>
          </w:p>
          <w:p w14:paraId="28BC4237" w14:textId="77777777" w:rsidR="0027570B" w:rsidRPr="00B01F9E" w:rsidRDefault="0027570B" w:rsidP="0027570B">
            <w:pPr>
              <w:pStyle w:val="ListParagraph"/>
              <w:numPr>
                <w:ilvl w:val="0"/>
                <w:numId w:val="41"/>
              </w:numPr>
              <w:rPr>
                <w:rFonts w:ascii="Arial" w:hAnsi="Arial" w:cs="Arial"/>
                <w:sz w:val="20"/>
                <w:szCs w:val="20"/>
              </w:rPr>
            </w:pPr>
            <w:r w:rsidRPr="00B01F9E">
              <w:rPr>
                <w:rFonts w:ascii="Arial" w:hAnsi="Arial" w:cs="Arial"/>
                <w:sz w:val="20"/>
                <w:szCs w:val="20"/>
              </w:rPr>
              <w:t xml:space="preserve">Foundational (Level 1): Establishes the inter-connectivity requirements needed for one system or application to securely communicate data to and receive data from another </w:t>
            </w:r>
          </w:p>
          <w:p w14:paraId="3063A105" w14:textId="77777777" w:rsidR="0027570B" w:rsidRPr="00B01F9E" w:rsidRDefault="0027570B" w:rsidP="0027570B">
            <w:pPr>
              <w:pStyle w:val="ListParagraph"/>
              <w:numPr>
                <w:ilvl w:val="0"/>
                <w:numId w:val="41"/>
              </w:numPr>
              <w:rPr>
                <w:rFonts w:ascii="Arial" w:hAnsi="Arial" w:cs="Arial"/>
                <w:sz w:val="20"/>
                <w:szCs w:val="20"/>
              </w:rPr>
            </w:pPr>
            <w:r w:rsidRPr="00B01F9E">
              <w:rPr>
                <w:rFonts w:ascii="Arial" w:hAnsi="Arial" w:cs="Arial"/>
                <w:sz w:val="20"/>
                <w:szCs w:val="20"/>
              </w:rPr>
              <w:t xml:space="preserve">Structural (Level 2): Defines the format, syntax, and organization of data exchange including at the data field level for interpretation </w:t>
            </w:r>
          </w:p>
          <w:p w14:paraId="57CB38F5" w14:textId="1BFA7E33" w:rsidR="0027570B" w:rsidRPr="00B01F9E" w:rsidRDefault="0027570B" w:rsidP="0027570B">
            <w:pPr>
              <w:pStyle w:val="ListParagraph"/>
              <w:numPr>
                <w:ilvl w:val="0"/>
                <w:numId w:val="41"/>
              </w:numPr>
              <w:rPr>
                <w:rFonts w:ascii="Arial" w:hAnsi="Arial" w:cs="Arial"/>
                <w:sz w:val="20"/>
                <w:szCs w:val="20"/>
              </w:rPr>
            </w:pPr>
            <w:r w:rsidRPr="00B01F9E">
              <w:rPr>
                <w:rFonts w:ascii="Arial" w:hAnsi="Arial" w:cs="Arial"/>
                <w:sz w:val="20"/>
                <w:szCs w:val="20"/>
              </w:rPr>
              <w:t xml:space="preserve">Semantic (Level 3): Provides for common underlying models and codification of the data including the use of data elements with standardized definitions from publicly available value sets and coding vocabularies, providing shared understanding and meaning to the user </w:t>
            </w:r>
          </w:p>
          <w:p w14:paraId="63DFA83C" w14:textId="1361ADB7" w:rsidR="00AA0A85" w:rsidRPr="00B01F9E" w:rsidRDefault="0027570B" w:rsidP="0027570B">
            <w:pPr>
              <w:pStyle w:val="ListParagraph"/>
              <w:numPr>
                <w:ilvl w:val="0"/>
                <w:numId w:val="41"/>
              </w:numPr>
              <w:rPr>
                <w:rFonts w:ascii="Arial" w:hAnsi="Arial" w:cs="Arial"/>
                <w:sz w:val="20"/>
                <w:szCs w:val="20"/>
              </w:rPr>
            </w:pPr>
            <w:r w:rsidRPr="00B01F9E">
              <w:rPr>
                <w:rFonts w:ascii="Arial" w:hAnsi="Arial" w:cs="Arial"/>
                <w:sz w:val="20"/>
                <w:szCs w:val="20"/>
              </w:rPr>
              <w:t>Organizational (Level 4): Includes governance, policy, social, legal, and organizational considerations to facilitate the secure, seamless, and timely communication and use of data both within and between organizations, entities and individuals. These components enable shared consent, trust, and integrated end-user processes and workflows</w:t>
            </w:r>
          </w:p>
          <w:p w14:paraId="648AC880" w14:textId="60A2E96F" w:rsidR="001A0D17" w:rsidRPr="00B01F9E" w:rsidRDefault="00000000" w:rsidP="0027570B">
            <w:pPr>
              <w:rPr>
                <w:rFonts w:ascii="Arial" w:hAnsi="Arial" w:cs="Arial"/>
                <w:sz w:val="20"/>
                <w:szCs w:val="20"/>
              </w:rPr>
            </w:pPr>
            <w:hyperlink r:id="rId110" w:anchor=":~:text=Verb%3A%20The%20electronic%20sharing%20of,to%20inform%20health%20and%20care." w:history="1">
              <w:r w:rsidR="001A0D17" w:rsidRPr="00B01F9E">
                <w:rPr>
                  <w:rStyle w:val="Hyperlink"/>
                  <w:rFonts w:ascii="Arial" w:hAnsi="Arial" w:cs="Arial"/>
                  <w:sz w:val="20"/>
                  <w:szCs w:val="20"/>
                </w:rPr>
                <w:t xml:space="preserve">Interoperability | HIMSS </w:t>
              </w:r>
            </w:hyperlink>
            <w:r w:rsidR="001A0D17" w:rsidRPr="00B01F9E">
              <w:rPr>
                <w:rFonts w:ascii="Arial" w:hAnsi="Arial" w:cs="Arial"/>
                <w:sz w:val="20"/>
                <w:szCs w:val="20"/>
              </w:rPr>
              <w:t xml:space="preserve"> </w:t>
            </w:r>
          </w:p>
        </w:tc>
      </w:tr>
      <w:tr w:rsidR="00F8519E" w:rsidRPr="00B01F9E" w14:paraId="41609E16" w14:textId="77777777" w:rsidTr="004C61C0">
        <w:trPr>
          <w:trHeight w:val="679"/>
        </w:trPr>
        <w:tc>
          <w:tcPr>
            <w:tcW w:w="1779" w:type="dxa"/>
          </w:tcPr>
          <w:p w14:paraId="2AA988EC" w14:textId="65ACD0FE" w:rsidR="00F8519E" w:rsidRPr="00B01F9E" w:rsidRDefault="00F8519E" w:rsidP="00F8519E">
            <w:pPr>
              <w:rPr>
                <w:rFonts w:ascii="Arial" w:hAnsi="Arial" w:cs="Arial"/>
                <w:sz w:val="20"/>
                <w:szCs w:val="20"/>
              </w:rPr>
            </w:pPr>
            <w:r w:rsidRPr="00B01F9E">
              <w:rPr>
                <w:rFonts w:ascii="Arial" w:hAnsi="Arial" w:cs="Arial"/>
                <w:sz w:val="20"/>
                <w:szCs w:val="20"/>
              </w:rPr>
              <w:t xml:space="preserve">In </w:t>
            </w:r>
            <w:r w:rsidR="00425FC8" w:rsidRPr="00B01F9E">
              <w:rPr>
                <w:rFonts w:ascii="Arial" w:hAnsi="Arial" w:cs="Arial"/>
                <w:sz w:val="20"/>
                <w:szCs w:val="20"/>
              </w:rPr>
              <w:t>v</w:t>
            </w:r>
            <w:r w:rsidRPr="00B01F9E">
              <w:rPr>
                <w:rFonts w:ascii="Arial" w:hAnsi="Arial" w:cs="Arial"/>
                <w:sz w:val="20"/>
                <w:szCs w:val="20"/>
              </w:rPr>
              <w:t xml:space="preserve">itro </w:t>
            </w:r>
            <w:r w:rsidR="00425FC8" w:rsidRPr="00B01F9E">
              <w:rPr>
                <w:rFonts w:ascii="Arial" w:hAnsi="Arial" w:cs="Arial"/>
                <w:sz w:val="20"/>
                <w:szCs w:val="20"/>
              </w:rPr>
              <w:t>d</w:t>
            </w:r>
            <w:r w:rsidRPr="00B01F9E">
              <w:rPr>
                <w:rFonts w:ascii="Arial" w:hAnsi="Arial" w:cs="Arial"/>
                <w:sz w:val="20"/>
                <w:szCs w:val="20"/>
              </w:rPr>
              <w:t>iagnostics (IVD)</w:t>
            </w:r>
          </w:p>
        </w:tc>
        <w:tc>
          <w:tcPr>
            <w:tcW w:w="7571" w:type="dxa"/>
          </w:tcPr>
          <w:p w14:paraId="44F68BDE" w14:textId="77777777" w:rsidR="00F8519E" w:rsidRPr="00B01F9E" w:rsidRDefault="00F8519E" w:rsidP="00F8519E">
            <w:pPr>
              <w:pStyle w:val="Default"/>
              <w:rPr>
                <w:sz w:val="20"/>
                <w:szCs w:val="20"/>
              </w:rPr>
            </w:pPr>
            <w:r w:rsidRPr="00B01F9E">
              <w:rPr>
                <w:sz w:val="20"/>
                <w:szCs w:val="20"/>
              </w:rPr>
              <w:t xml:space="preserve">Tests done on samples such as blood or tissue that have been taken from the human body. In vitro diagnostics can detect diseases or other conditions and can be used to monitor the overall health of a person to help cure, treat, or prevent diseases. </w:t>
            </w:r>
          </w:p>
        </w:tc>
      </w:tr>
      <w:tr w:rsidR="003D62E0" w:rsidRPr="00B01F9E" w14:paraId="330419D0" w14:textId="77777777" w:rsidTr="004C61C0">
        <w:trPr>
          <w:trHeight w:val="462"/>
        </w:trPr>
        <w:tc>
          <w:tcPr>
            <w:tcW w:w="1779" w:type="dxa"/>
          </w:tcPr>
          <w:p w14:paraId="311B97A8" w14:textId="036D4571" w:rsidR="003D62E0" w:rsidRPr="00B01F9E" w:rsidRDefault="00BE019D" w:rsidP="00F8519E">
            <w:pPr>
              <w:rPr>
                <w:rFonts w:ascii="Arial" w:hAnsi="Arial" w:cs="Arial"/>
                <w:sz w:val="20"/>
                <w:szCs w:val="20"/>
              </w:rPr>
            </w:pPr>
            <w:r w:rsidRPr="00B01F9E">
              <w:rPr>
                <w:rFonts w:ascii="Arial" w:hAnsi="Arial" w:cs="Arial"/>
                <w:sz w:val="20"/>
                <w:szCs w:val="20"/>
              </w:rPr>
              <w:t>J</w:t>
            </w:r>
            <w:r w:rsidR="006F1DF6" w:rsidRPr="00B01F9E">
              <w:rPr>
                <w:rFonts w:ascii="Arial" w:hAnsi="Arial" w:cs="Arial"/>
                <w:sz w:val="20"/>
                <w:szCs w:val="20"/>
              </w:rPr>
              <w:t xml:space="preserve">avaScript Object Notation (JSON) </w:t>
            </w:r>
          </w:p>
        </w:tc>
        <w:tc>
          <w:tcPr>
            <w:tcW w:w="7571" w:type="dxa"/>
          </w:tcPr>
          <w:p w14:paraId="0A95E1CD" w14:textId="6A190425" w:rsidR="003D62E0" w:rsidRPr="00B01F9E" w:rsidRDefault="00D9720F" w:rsidP="00F8519E">
            <w:pPr>
              <w:pStyle w:val="Default"/>
              <w:rPr>
                <w:sz w:val="20"/>
                <w:szCs w:val="20"/>
              </w:rPr>
            </w:pPr>
            <w:r w:rsidRPr="00B01F9E">
              <w:rPr>
                <w:sz w:val="20"/>
                <w:szCs w:val="20"/>
              </w:rPr>
              <w:t>JSON is a text-based format for storing and exchanging data in a way that’s both human-readable and machine-</w:t>
            </w:r>
            <w:proofErr w:type="spellStart"/>
            <w:r w:rsidRPr="00B01F9E">
              <w:rPr>
                <w:sz w:val="20"/>
                <w:szCs w:val="20"/>
              </w:rPr>
              <w:t>parsable</w:t>
            </w:r>
            <w:proofErr w:type="spellEnd"/>
            <w:r w:rsidRPr="00B01F9E">
              <w:rPr>
                <w:sz w:val="20"/>
                <w:szCs w:val="20"/>
              </w:rPr>
              <w:t>. </w:t>
            </w:r>
          </w:p>
        </w:tc>
      </w:tr>
      <w:tr w:rsidR="00F8519E" w:rsidRPr="00B01F9E" w14:paraId="5C8378AA" w14:textId="77777777" w:rsidTr="004C61C0">
        <w:trPr>
          <w:trHeight w:val="679"/>
        </w:trPr>
        <w:tc>
          <w:tcPr>
            <w:tcW w:w="1779" w:type="dxa"/>
          </w:tcPr>
          <w:p w14:paraId="329D950C" w14:textId="77777777" w:rsidR="00F8519E" w:rsidRPr="00B01F9E" w:rsidRDefault="00F8519E" w:rsidP="00F8519E">
            <w:pPr>
              <w:rPr>
                <w:rFonts w:ascii="Arial" w:hAnsi="Arial" w:cs="Arial"/>
                <w:sz w:val="20"/>
                <w:szCs w:val="20"/>
              </w:rPr>
            </w:pPr>
            <w:r w:rsidRPr="00B01F9E">
              <w:rPr>
                <w:rFonts w:ascii="Arial" w:hAnsi="Arial" w:cs="Arial"/>
                <w:sz w:val="20"/>
                <w:szCs w:val="20"/>
              </w:rPr>
              <w:t>Laboratory Interoperability Data Repository (LIDR)</w:t>
            </w:r>
          </w:p>
        </w:tc>
        <w:tc>
          <w:tcPr>
            <w:tcW w:w="7571" w:type="dxa"/>
          </w:tcPr>
          <w:p w14:paraId="626BCC24" w14:textId="4CE9C210" w:rsidR="00F8519E" w:rsidRPr="00B01F9E" w:rsidRDefault="00F8519E" w:rsidP="00F8519E">
            <w:pPr>
              <w:rPr>
                <w:rFonts w:ascii="Arial" w:hAnsi="Arial" w:cs="Arial"/>
                <w:sz w:val="20"/>
                <w:szCs w:val="20"/>
              </w:rPr>
            </w:pPr>
            <w:r w:rsidRPr="00B01F9E">
              <w:rPr>
                <w:rFonts w:ascii="Arial" w:hAnsi="Arial" w:cs="Arial"/>
                <w:sz w:val="20"/>
                <w:szCs w:val="20"/>
              </w:rPr>
              <w:t>A centralized repository of codes and other standardized data elements that serves as an easily accessible authoritative source for the standardized digital representation of laboratory tests.</w:t>
            </w:r>
            <w:r w:rsidR="00F33057" w:rsidRPr="00B01F9E">
              <w:rPr>
                <w:rFonts w:ascii="Arial" w:hAnsi="Arial" w:cs="Arial"/>
                <w:sz w:val="20"/>
                <w:szCs w:val="20"/>
              </w:rPr>
              <w:t xml:space="preserve"> As LIDR is still in the conceptual stage, the CAP developed and utilized a simulated LIDR in the proof of concept.</w:t>
            </w:r>
          </w:p>
        </w:tc>
      </w:tr>
      <w:tr w:rsidR="00F8519E" w:rsidRPr="00B01F9E" w14:paraId="54CEFAB0" w14:textId="77777777" w:rsidTr="004C61C0">
        <w:trPr>
          <w:trHeight w:val="462"/>
        </w:trPr>
        <w:tc>
          <w:tcPr>
            <w:tcW w:w="1779" w:type="dxa"/>
          </w:tcPr>
          <w:p w14:paraId="3AB8E7B4" w14:textId="77777777" w:rsidR="00F8519E" w:rsidRPr="00B01F9E" w:rsidRDefault="00F8519E" w:rsidP="00F8519E">
            <w:pPr>
              <w:pStyle w:val="Default"/>
              <w:rPr>
                <w:sz w:val="20"/>
                <w:szCs w:val="20"/>
              </w:rPr>
            </w:pPr>
            <w:r w:rsidRPr="00B01F9E">
              <w:rPr>
                <w:sz w:val="20"/>
                <w:szCs w:val="20"/>
              </w:rPr>
              <w:t xml:space="preserve">LIDR Code </w:t>
            </w:r>
          </w:p>
        </w:tc>
        <w:tc>
          <w:tcPr>
            <w:tcW w:w="7571" w:type="dxa"/>
          </w:tcPr>
          <w:p w14:paraId="629DA4FA" w14:textId="77777777" w:rsidR="00F8519E" w:rsidRPr="00B01F9E" w:rsidRDefault="00F8519E" w:rsidP="00F8519E">
            <w:pPr>
              <w:pStyle w:val="Default"/>
              <w:rPr>
                <w:sz w:val="20"/>
                <w:szCs w:val="20"/>
              </w:rPr>
            </w:pPr>
            <w:r w:rsidRPr="00B01F9E">
              <w:rPr>
                <w:sz w:val="20"/>
                <w:szCs w:val="20"/>
              </w:rPr>
              <w:t xml:space="preserve">Represents </w:t>
            </w:r>
            <w:proofErr w:type="gramStart"/>
            <w:r w:rsidRPr="00B01F9E">
              <w:rPr>
                <w:sz w:val="20"/>
                <w:szCs w:val="20"/>
              </w:rPr>
              <w:t>all of</w:t>
            </w:r>
            <w:proofErr w:type="gramEnd"/>
            <w:r w:rsidRPr="00B01F9E">
              <w:rPr>
                <w:sz w:val="20"/>
                <w:szCs w:val="20"/>
              </w:rPr>
              <w:t xml:space="preserve"> the specific LIDR defined elements that are transmitted and essential for transferring an interoperable IVD result. </w:t>
            </w:r>
          </w:p>
        </w:tc>
      </w:tr>
      <w:tr w:rsidR="00F8519E" w:rsidRPr="00B01F9E" w14:paraId="4DCAD684" w14:textId="77777777" w:rsidTr="004C61C0">
        <w:trPr>
          <w:trHeight w:val="448"/>
        </w:trPr>
        <w:tc>
          <w:tcPr>
            <w:tcW w:w="1779" w:type="dxa"/>
          </w:tcPr>
          <w:p w14:paraId="2374130C" w14:textId="77777777" w:rsidR="00F8519E" w:rsidRPr="00B01F9E" w:rsidRDefault="00F8519E" w:rsidP="00F8519E">
            <w:pPr>
              <w:rPr>
                <w:rFonts w:ascii="Arial" w:hAnsi="Arial" w:cs="Arial"/>
                <w:sz w:val="20"/>
                <w:szCs w:val="20"/>
              </w:rPr>
            </w:pPr>
            <w:r w:rsidRPr="00B01F9E">
              <w:rPr>
                <w:rFonts w:ascii="Arial" w:hAnsi="Arial" w:cs="Arial"/>
                <w:sz w:val="20"/>
                <w:szCs w:val="20"/>
              </w:rPr>
              <w:t>LIDR Element</w:t>
            </w:r>
          </w:p>
        </w:tc>
        <w:tc>
          <w:tcPr>
            <w:tcW w:w="7571" w:type="dxa"/>
          </w:tcPr>
          <w:p w14:paraId="370B766C" w14:textId="77777777" w:rsidR="00F8519E" w:rsidRPr="00B01F9E" w:rsidRDefault="00F8519E" w:rsidP="00F8519E">
            <w:pPr>
              <w:rPr>
                <w:rFonts w:ascii="Arial" w:hAnsi="Arial" w:cs="Arial"/>
                <w:sz w:val="20"/>
                <w:szCs w:val="20"/>
              </w:rPr>
            </w:pPr>
            <w:r w:rsidRPr="00B01F9E">
              <w:rPr>
                <w:rFonts w:ascii="Arial" w:hAnsi="Arial" w:cs="Arial"/>
                <w:sz w:val="20"/>
                <w:szCs w:val="20"/>
              </w:rPr>
              <w:t>Refers to data elements contained in LIDR specific to a particular IVD test result and encompasses both codes required for interoperable data transmission and informational entries.</w:t>
            </w:r>
          </w:p>
        </w:tc>
      </w:tr>
      <w:tr w:rsidR="00CA3D55" w:rsidRPr="00B01F9E" w14:paraId="41AB0D34" w14:textId="77777777" w:rsidTr="004C61C0">
        <w:trPr>
          <w:trHeight w:val="693"/>
        </w:trPr>
        <w:tc>
          <w:tcPr>
            <w:tcW w:w="1779" w:type="dxa"/>
          </w:tcPr>
          <w:p w14:paraId="68B7513F" w14:textId="5A2665AC" w:rsidR="00CA3D55" w:rsidRPr="00B01F9E" w:rsidRDefault="00CA3D55" w:rsidP="00F8519E">
            <w:pPr>
              <w:rPr>
                <w:rStyle w:val="ui-provider"/>
                <w:rFonts w:ascii="Arial" w:hAnsi="Arial" w:cs="Arial"/>
                <w:sz w:val="20"/>
                <w:szCs w:val="20"/>
              </w:rPr>
            </w:pPr>
            <w:r w:rsidRPr="00B01F9E">
              <w:rPr>
                <w:rFonts w:ascii="Arial" w:hAnsi="Arial" w:cs="Arial"/>
                <w:sz w:val="20"/>
                <w:szCs w:val="20"/>
              </w:rPr>
              <w:t>LIDR Test Compendium Error Check</w:t>
            </w:r>
          </w:p>
        </w:tc>
        <w:tc>
          <w:tcPr>
            <w:tcW w:w="7571" w:type="dxa"/>
          </w:tcPr>
          <w:p w14:paraId="5BB4C9B5" w14:textId="01D25EDC" w:rsidR="00CA3D55" w:rsidRPr="00B01F9E" w:rsidRDefault="00884D5C" w:rsidP="00F8519E">
            <w:pPr>
              <w:rPr>
                <w:rFonts w:ascii="Arial" w:hAnsi="Arial" w:cs="Arial"/>
                <w:sz w:val="20"/>
                <w:szCs w:val="20"/>
              </w:rPr>
            </w:pPr>
            <w:r w:rsidRPr="00B01F9E">
              <w:rPr>
                <w:rFonts w:ascii="Arial" w:hAnsi="Arial" w:cs="Arial"/>
                <w:sz w:val="20"/>
                <w:szCs w:val="20"/>
              </w:rPr>
              <w:t>The proposed QA Program monitors the appropriate LIDR coding of laboratory tests. Laboratories review and submit a LIDR Test Compendium Report to the quality organization to analyze correct test coding as compared to LIDR.</w:t>
            </w:r>
          </w:p>
        </w:tc>
      </w:tr>
      <w:tr w:rsidR="00682230" w:rsidRPr="00B01F9E" w14:paraId="14C6A8D3" w14:textId="77777777" w:rsidTr="004C61C0">
        <w:trPr>
          <w:trHeight w:val="679"/>
        </w:trPr>
        <w:tc>
          <w:tcPr>
            <w:tcW w:w="1779" w:type="dxa"/>
          </w:tcPr>
          <w:p w14:paraId="5B29A419" w14:textId="244753FC" w:rsidR="00682230" w:rsidRPr="00B01F9E" w:rsidRDefault="00682230" w:rsidP="00F8519E">
            <w:pPr>
              <w:rPr>
                <w:rFonts w:ascii="Arial" w:hAnsi="Arial" w:cs="Arial"/>
                <w:sz w:val="20"/>
                <w:szCs w:val="20"/>
              </w:rPr>
            </w:pPr>
            <w:r w:rsidRPr="00B01F9E">
              <w:rPr>
                <w:rStyle w:val="ui-provider"/>
                <w:rFonts w:ascii="Arial" w:hAnsi="Arial" w:cs="Arial"/>
                <w:sz w:val="20"/>
                <w:szCs w:val="20"/>
              </w:rPr>
              <w:t>LIDR Test Compendium Report</w:t>
            </w:r>
          </w:p>
        </w:tc>
        <w:tc>
          <w:tcPr>
            <w:tcW w:w="7571" w:type="dxa"/>
          </w:tcPr>
          <w:p w14:paraId="67892E6B" w14:textId="71B5FA0C" w:rsidR="00682230" w:rsidRPr="00B01F9E" w:rsidRDefault="00A37D69" w:rsidP="00F8519E">
            <w:pPr>
              <w:rPr>
                <w:rFonts w:ascii="Arial" w:hAnsi="Arial" w:cs="Arial"/>
                <w:sz w:val="20"/>
                <w:szCs w:val="20"/>
              </w:rPr>
            </w:pPr>
            <w:r w:rsidRPr="00B01F9E">
              <w:rPr>
                <w:rFonts w:ascii="Arial" w:hAnsi="Arial" w:cs="Arial"/>
                <w:sz w:val="20"/>
                <w:szCs w:val="20"/>
              </w:rPr>
              <w:t xml:space="preserve">The report submitted to the quality organization which includes a list of the tests performed by the laboratory. In the QA Program, the LIDR Test Compendium Report is analyzed for correct test coding as compared to LIDR. </w:t>
            </w:r>
          </w:p>
        </w:tc>
      </w:tr>
      <w:tr w:rsidR="00F8519E" w:rsidRPr="00B01F9E" w14:paraId="5F725A29" w14:textId="77777777" w:rsidTr="004C61C0">
        <w:trPr>
          <w:trHeight w:val="693"/>
        </w:trPr>
        <w:tc>
          <w:tcPr>
            <w:tcW w:w="1779" w:type="dxa"/>
          </w:tcPr>
          <w:p w14:paraId="79945227" w14:textId="77777777" w:rsidR="00F8519E" w:rsidRPr="00B01F9E" w:rsidRDefault="00F8519E" w:rsidP="00F8519E">
            <w:pPr>
              <w:rPr>
                <w:rFonts w:ascii="Arial" w:hAnsi="Arial" w:cs="Arial"/>
                <w:sz w:val="20"/>
                <w:szCs w:val="20"/>
              </w:rPr>
            </w:pPr>
            <w:r w:rsidRPr="00B01F9E">
              <w:rPr>
                <w:rFonts w:ascii="Arial" w:hAnsi="Arial" w:cs="Arial"/>
                <w:sz w:val="20"/>
                <w:szCs w:val="20"/>
              </w:rPr>
              <w:t>Laboratory Information System (LIS)</w:t>
            </w:r>
          </w:p>
        </w:tc>
        <w:tc>
          <w:tcPr>
            <w:tcW w:w="7571" w:type="dxa"/>
          </w:tcPr>
          <w:p w14:paraId="4A2097F4" w14:textId="77777777" w:rsidR="00F8519E" w:rsidRPr="00B01F9E" w:rsidRDefault="00F8519E" w:rsidP="00F8519E">
            <w:pPr>
              <w:rPr>
                <w:rFonts w:ascii="Arial" w:hAnsi="Arial" w:cs="Arial"/>
                <w:sz w:val="20"/>
                <w:szCs w:val="20"/>
              </w:rPr>
            </w:pPr>
            <w:r w:rsidRPr="00B01F9E">
              <w:rPr>
                <w:rFonts w:ascii="Arial" w:hAnsi="Arial" w:cs="Arial"/>
                <w:sz w:val="20"/>
                <w:szCs w:val="20"/>
              </w:rPr>
              <w:t>Software application for ordering and resulting in vitro diagnostic tests performed in clinical laboratories, as well as the storage and transfer of laboratory test results to EHRs and other entities.</w:t>
            </w:r>
          </w:p>
        </w:tc>
      </w:tr>
      <w:tr w:rsidR="00F8519E" w:rsidRPr="00B01F9E" w14:paraId="4A669CCA" w14:textId="77777777" w:rsidTr="004C61C0">
        <w:trPr>
          <w:trHeight w:val="1604"/>
        </w:trPr>
        <w:tc>
          <w:tcPr>
            <w:tcW w:w="1779" w:type="dxa"/>
          </w:tcPr>
          <w:p w14:paraId="285B896E" w14:textId="403B2698" w:rsidR="00F8519E" w:rsidRPr="00B01F9E" w:rsidRDefault="00F8519E" w:rsidP="00F8519E">
            <w:pPr>
              <w:rPr>
                <w:rFonts w:ascii="Arial" w:hAnsi="Arial" w:cs="Arial"/>
                <w:sz w:val="20"/>
                <w:szCs w:val="20"/>
              </w:rPr>
            </w:pPr>
            <w:r w:rsidRPr="00B01F9E">
              <w:rPr>
                <w:rStyle w:val="normaltextrun"/>
                <w:rFonts w:ascii="Arial" w:eastAsiaTheme="majorEastAsia" w:hAnsi="Arial" w:cs="Arial"/>
                <w:color w:val="000000"/>
                <w:sz w:val="20"/>
                <w:szCs w:val="20"/>
              </w:rPr>
              <w:lastRenderedPageBreak/>
              <w:t>LOINC In Vitro Diagnostic</w:t>
            </w:r>
            <w:r w:rsidRPr="00B01F9E">
              <w:rPr>
                <w:rFonts w:ascii="Arial" w:hAnsi="Arial" w:cs="Arial"/>
                <w:sz w:val="20"/>
                <w:szCs w:val="20"/>
              </w:rPr>
              <w:t>® (LIVD)</w:t>
            </w:r>
          </w:p>
        </w:tc>
        <w:tc>
          <w:tcPr>
            <w:tcW w:w="7571" w:type="dxa"/>
          </w:tcPr>
          <w:p w14:paraId="41E8D76F" w14:textId="77777777" w:rsidR="00F8519E" w:rsidRPr="00B01F9E" w:rsidRDefault="00F8519E" w:rsidP="00F8519E">
            <w:pPr>
              <w:rPr>
                <w:rFonts w:ascii="Arial" w:hAnsi="Arial" w:cs="Arial"/>
                <w:sz w:val="20"/>
                <w:szCs w:val="20"/>
              </w:rPr>
            </w:pPr>
            <w:r w:rsidRPr="00B01F9E">
              <w:rPr>
                <w:rFonts w:ascii="Arial" w:hAnsi="Arial" w:cs="Arial"/>
                <w:sz w:val="20"/>
                <w:szCs w:val="20"/>
              </w:rPr>
              <w:t>The LIVD specification outlines an industry-defined format to facilitate the publication and exchange of LOINC codes for vendor IVD test results, based on either vendor IVD test transmission codes or manual test identification, for use by laboratory personnel or laboratory applications. The format can be used as-is by IVD software systems to automate the mapping between vendor IVD test transmission codes and LOINC codes, significantly reducing the risk of erroneously mapped test results and units of measure (UCUM).</w:t>
            </w:r>
          </w:p>
          <w:p w14:paraId="5AB41A6D" w14:textId="1C9D9285" w:rsidR="00F8519E" w:rsidRPr="00B01F9E" w:rsidRDefault="00000000" w:rsidP="00F8519E">
            <w:pPr>
              <w:rPr>
                <w:rFonts w:ascii="Arial" w:hAnsi="Arial" w:cs="Arial"/>
                <w:sz w:val="20"/>
                <w:szCs w:val="20"/>
              </w:rPr>
            </w:pPr>
            <w:hyperlink r:id="rId111" w:history="1">
              <w:r w:rsidR="00F8519E" w:rsidRPr="00B01F9E">
                <w:rPr>
                  <w:rStyle w:val="Hyperlink"/>
                  <w:rFonts w:ascii="Arial" w:hAnsi="Arial" w:cs="Arial"/>
                  <w:sz w:val="20"/>
                  <w:szCs w:val="20"/>
                </w:rPr>
                <w:t>https://ivdconnectivity.org/livd/</w:t>
              </w:r>
            </w:hyperlink>
          </w:p>
        </w:tc>
      </w:tr>
      <w:tr w:rsidR="00F8519E" w:rsidRPr="00B01F9E" w:rsidDel="00CE3650" w14:paraId="20DBB6F6" w14:textId="77777777" w:rsidTr="004C61C0">
        <w:trPr>
          <w:trHeight w:val="679"/>
        </w:trPr>
        <w:tc>
          <w:tcPr>
            <w:tcW w:w="1779" w:type="dxa"/>
          </w:tcPr>
          <w:p w14:paraId="40F9ADA9" w14:textId="77777777" w:rsidR="00F8519E" w:rsidRPr="00B01F9E" w:rsidRDefault="00F8519E" w:rsidP="00F8519E">
            <w:pPr>
              <w:rPr>
                <w:rFonts w:ascii="Arial" w:hAnsi="Arial" w:cs="Arial"/>
                <w:sz w:val="20"/>
                <w:szCs w:val="20"/>
              </w:rPr>
            </w:pPr>
            <w:r w:rsidRPr="00B01F9E">
              <w:rPr>
                <w:rFonts w:ascii="Arial" w:hAnsi="Arial" w:cs="Arial"/>
                <w:sz w:val="20"/>
                <w:szCs w:val="20"/>
              </w:rPr>
              <w:t>Laboratory Result Interface (LRI)</w:t>
            </w:r>
          </w:p>
        </w:tc>
        <w:tc>
          <w:tcPr>
            <w:tcW w:w="7571" w:type="dxa"/>
          </w:tcPr>
          <w:p w14:paraId="45881345" w14:textId="77777777" w:rsidR="00F8519E" w:rsidRPr="00B01F9E" w:rsidRDefault="00F8519E" w:rsidP="00F8519E">
            <w:pPr>
              <w:rPr>
                <w:rFonts w:ascii="Arial" w:hAnsi="Arial" w:cs="Arial"/>
                <w:sz w:val="20"/>
                <w:szCs w:val="20"/>
              </w:rPr>
            </w:pPr>
            <w:r w:rsidRPr="00B01F9E">
              <w:rPr>
                <w:rFonts w:ascii="Arial" w:hAnsi="Arial" w:cs="Arial"/>
                <w:sz w:val="20"/>
                <w:szCs w:val="20"/>
              </w:rPr>
              <w:t xml:space="preserve">An HL7 interface which is utilized for a variety of purposes including the </w:t>
            </w:r>
          </w:p>
          <w:p w14:paraId="105826F8" w14:textId="77777777" w:rsidR="00F8519E" w:rsidRPr="00B01F9E" w:rsidDel="00CE3650" w:rsidRDefault="00F8519E" w:rsidP="00F8519E">
            <w:pPr>
              <w:rPr>
                <w:rFonts w:ascii="Arial" w:hAnsi="Arial" w:cs="Arial"/>
                <w:sz w:val="20"/>
                <w:szCs w:val="20"/>
              </w:rPr>
            </w:pPr>
            <w:r w:rsidRPr="00B01F9E">
              <w:rPr>
                <w:rFonts w:ascii="Arial" w:hAnsi="Arial" w:cs="Arial"/>
                <w:sz w:val="20"/>
                <w:szCs w:val="20"/>
              </w:rPr>
              <w:t>transmission of results within and between systems. It can also be used for reporting results to public health agencies.</w:t>
            </w:r>
          </w:p>
        </w:tc>
      </w:tr>
      <w:tr w:rsidR="00F8519E" w:rsidRPr="00B01F9E" w14:paraId="4F274446" w14:textId="77777777" w:rsidTr="004C61C0">
        <w:trPr>
          <w:trHeight w:val="809"/>
        </w:trPr>
        <w:tc>
          <w:tcPr>
            <w:tcW w:w="1779" w:type="dxa"/>
          </w:tcPr>
          <w:p w14:paraId="2806BE0E" w14:textId="5BF6C1DC" w:rsidR="00F8519E" w:rsidRPr="00B01F9E" w:rsidRDefault="00F8519E" w:rsidP="000158D4">
            <w:pPr>
              <w:spacing w:line="259" w:lineRule="auto"/>
              <w:rPr>
                <w:rFonts w:ascii="Arial" w:hAnsi="Arial" w:cs="Arial"/>
                <w:sz w:val="20"/>
                <w:szCs w:val="20"/>
              </w:rPr>
            </w:pPr>
            <w:r w:rsidRPr="00B01F9E">
              <w:rPr>
                <w:rFonts w:ascii="Arial" w:hAnsi="Arial" w:cs="Arial"/>
                <w:sz w:val="20"/>
                <w:szCs w:val="20"/>
              </w:rPr>
              <w:t>LOINC (Logical Observation Identifiers Names and Codes)</w:t>
            </w:r>
          </w:p>
        </w:tc>
        <w:tc>
          <w:tcPr>
            <w:tcW w:w="7571" w:type="dxa"/>
          </w:tcPr>
          <w:p w14:paraId="25B5EBE4" w14:textId="152CAAD6" w:rsidR="00A32E0C" w:rsidRPr="00B01F9E" w:rsidRDefault="00F8519E" w:rsidP="00F8519E">
            <w:pPr>
              <w:rPr>
                <w:rFonts w:ascii="Arial" w:hAnsi="Arial" w:cs="Arial"/>
                <w:sz w:val="20"/>
                <w:szCs w:val="20"/>
              </w:rPr>
            </w:pPr>
            <w:r w:rsidRPr="00B01F9E">
              <w:rPr>
                <w:rFonts w:ascii="Arial" w:hAnsi="Arial" w:cs="Arial"/>
                <w:sz w:val="20"/>
                <w:szCs w:val="20"/>
              </w:rPr>
              <w:t xml:space="preserve">A database of standard codes for identifying medical laboratory observations, developed by the </w:t>
            </w:r>
            <w:proofErr w:type="spellStart"/>
            <w:r w:rsidRPr="00B01F9E">
              <w:rPr>
                <w:rFonts w:ascii="Arial" w:hAnsi="Arial" w:cs="Arial"/>
                <w:sz w:val="20"/>
                <w:szCs w:val="20"/>
              </w:rPr>
              <w:t>Regenstrief</w:t>
            </w:r>
            <w:proofErr w:type="spellEnd"/>
            <w:r w:rsidRPr="00B01F9E">
              <w:rPr>
                <w:rFonts w:ascii="Arial" w:hAnsi="Arial" w:cs="Arial"/>
                <w:sz w:val="20"/>
                <w:szCs w:val="20"/>
              </w:rPr>
              <w:t xml:space="preserve"> Institute to assist in the electronic transmission of IVD test results.</w:t>
            </w:r>
            <w:r w:rsidR="00A32E0C" w:rsidRPr="00B01F9E">
              <w:rPr>
                <w:rFonts w:ascii="Arial" w:hAnsi="Arial" w:cs="Arial"/>
                <w:sz w:val="20"/>
                <w:szCs w:val="20"/>
              </w:rPr>
              <w:t xml:space="preserve"> </w:t>
            </w:r>
            <w:hyperlink r:id="rId112" w:history="1">
              <w:r w:rsidR="00A32E0C" w:rsidRPr="00B01F9E">
                <w:rPr>
                  <w:rStyle w:val="Hyperlink"/>
                  <w:rFonts w:ascii="Arial" w:hAnsi="Arial" w:cs="Arial"/>
                  <w:sz w:val="20"/>
                  <w:szCs w:val="20"/>
                </w:rPr>
                <w:t>https://loinc.org/</w:t>
              </w:r>
            </w:hyperlink>
          </w:p>
        </w:tc>
      </w:tr>
      <w:tr w:rsidR="00F8519E" w:rsidRPr="00B01F9E" w14:paraId="6BD980FA" w14:textId="77777777" w:rsidTr="004C61C0">
        <w:trPr>
          <w:trHeight w:val="910"/>
        </w:trPr>
        <w:tc>
          <w:tcPr>
            <w:tcW w:w="1779" w:type="dxa"/>
          </w:tcPr>
          <w:p w14:paraId="3072FEFB" w14:textId="77777777" w:rsidR="00F8519E" w:rsidRPr="00B01F9E" w:rsidRDefault="00F8519E" w:rsidP="00F8519E">
            <w:pPr>
              <w:rPr>
                <w:rFonts w:ascii="Arial" w:hAnsi="Arial" w:cs="Arial"/>
                <w:sz w:val="20"/>
                <w:szCs w:val="20"/>
              </w:rPr>
            </w:pPr>
            <w:r w:rsidRPr="00B01F9E">
              <w:rPr>
                <w:rFonts w:ascii="Arial" w:hAnsi="Arial" w:cs="Arial"/>
                <w:sz w:val="20"/>
                <w:szCs w:val="20"/>
              </w:rPr>
              <w:t xml:space="preserve">Mapping </w:t>
            </w:r>
          </w:p>
        </w:tc>
        <w:tc>
          <w:tcPr>
            <w:tcW w:w="7571" w:type="dxa"/>
          </w:tcPr>
          <w:p w14:paraId="46ACBCF3" w14:textId="77777777" w:rsidR="00F8519E" w:rsidRPr="00B01F9E" w:rsidRDefault="00F8519E" w:rsidP="00F8519E">
            <w:pPr>
              <w:rPr>
                <w:rFonts w:ascii="Arial" w:hAnsi="Arial" w:cs="Arial"/>
                <w:sz w:val="20"/>
                <w:szCs w:val="20"/>
              </w:rPr>
            </w:pPr>
            <w:r w:rsidRPr="00B01F9E">
              <w:rPr>
                <w:rFonts w:ascii="Arial" w:hAnsi="Arial" w:cs="Arial"/>
                <w:sz w:val="20"/>
                <w:szCs w:val="20"/>
              </w:rPr>
              <w:t>Mapping refers to the translation of a data element used in one system to a data element utilized in another system with the same meaning. Accurate mapping of local laboratory codes to standardized terminologies would enable semantic interoperability in data sharing and aggregation across systems for a variety of purposes.</w:t>
            </w:r>
          </w:p>
        </w:tc>
      </w:tr>
      <w:tr w:rsidR="006C1F8B" w:rsidRPr="00B01F9E" w14:paraId="67611084" w14:textId="77777777" w:rsidTr="004C61C0">
        <w:trPr>
          <w:trHeight w:val="462"/>
        </w:trPr>
        <w:tc>
          <w:tcPr>
            <w:tcW w:w="1779" w:type="dxa"/>
          </w:tcPr>
          <w:p w14:paraId="6B42216B" w14:textId="1ED06A4D" w:rsidR="006C1F8B" w:rsidRPr="00B01F9E" w:rsidRDefault="006C1F8B" w:rsidP="006C1F8B">
            <w:pPr>
              <w:rPr>
                <w:rFonts w:ascii="Arial" w:hAnsi="Arial" w:cs="Arial"/>
                <w:sz w:val="20"/>
                <w:szCs w:val="20"/>
              </w:rPr>
            </w:pPr>
            <w:r w:rsidRPr="00B01F9E">
              <w:rPr>
                <w:rFonts w:ascii="Arial" w:hAnsi="Arial" w:cs="Arial"/>
                <w:sz w:val="20"/>
                <w:szCs w:val="20"/>
              </w:rPr>
              <w:t xml:space="preserve">Master Patient Index Identifier (MPI ID) </w:t>
            </w:r>
          </w:p>
        </w:tc>
        <w:tc>
          <w:tcPr>
            <w:tcW w:w="7571" w:type="dxa"/>
          </w:tcPr>
          <w:p w14:paraId="6308E5B4" w14:textId="3C8AD4E1" w:rsidR="006C1F8B" w:rsidRPr="00B01F9E" w:rsidRDefault="006C1F8B" w:rsidP="006C1F8B">
            <w:pPr>
              <w:rPr>
                <w:rFonts w:ascii="Arial" w:hAnsi="Arial" w:cs="Arial"/>
                <w:sz w:val="20"/>
                <w:szCs w:val="20"/>
              </w:rPr>
            </w:pPr>
            <w:r w:rsidRPr="00B01F9E">
              <w:rPr>
                <w:rFonts w:ascii="Arial" w:hAnsi="Arial" w:cs="Arial"/>
                <w:sz w:val="20"/>
                <w:szCs w:val="20"/>
              </w:rPr>
              <w:t xml:space="preserve">An Epic record used for identifying various records (e.g., test codes). The MPI ID maps the local code to an external identifier. </w:t>
            </w:r>
          </w:p>
        </w:tc>
      </w:tr>
      <w:tr w:rsidR="006C1F8B" w:rsidRPr="00B01F9E" w14:paraId="1F93AD4F" w14:textId="77777777" w:rsidTr="004C61C0">
        <w:trPr>
          <w:trHeight w:val="3031"/>
        </w:trPr>
        <w:tc>
          <w:tcPr>
            <w:tcW w:w="1779" w:type="dxa"/>
          </w:tcPr>
          <w:p w14:paraId="37BC5AD7" w14:textId="75A38C9F" w:rsidR="006C1F8B" w:rsidRPr="00B01F9E" w:rsidRDefault="006C1F8B" w:rsidP="006C1F8B">
            <w:pPr>
              <w:rPr>
                <w:rFonts w:ascii="Arial" w:hAnsi="Arial" w:cs="Arial"/>
                <w:sz w:val="20"/>
                <w:szCs w:val="20"/>
              </w:rPr>
            </w:pPr>
            <w:r w:rsidRPr="00B01F9E">
              <w:rPr>
                <w:rFonts w:ascii="Arial" w:hAnsi="Arial" w:cs="Arial"/>
                <w:sz w:val="20"/>
                <w:szCs w:val="20"/>
              </w:rPr>
              <w:t>Meaningful Use (MU) Incentives</w:t>
            </w:r>
          </w:p>
        </w:tc>
        <w:tc>
          <w:tcPr>
            <w:tcW w:w="7571" w:type="dxa"/>
          </w:tcPr>
          <w:p w14:paraId="1E56A6C0" w14:textId="77777777" w:rsidR="006C1F8B" w:rsidRPr="00B01F9E" w:rsidRDefault="006C1F8B" w:rsidP="006C1F8B">
            <w:pPr>
              <w:rPr>
                <w:rFonts w:ascii="Arial" w:hAnsi="Arial" w:cs="Arial"/>
                <w:sz w:val="20"/>
                <w:szCs w:val="20"/>
              </w:rPr>
            </w:pPr>
            <w:r w:rsidRPr="00B01F9E">
              <w:rPr>
                <w:rFonts w:ascii="Arial" w:hAnsi="Arial" w:cs="Arial"/>
                <w:sz w:val="20"/>
                <w:szCs w:val="20"/>
              </w:rPr>
              <w:t>The Centers for Medicare &amp; Medicaid Services (CMS) developed a program that requires physicians using certified electronic health records technology (CEHRT) to capture, exchange and report specific clinical data and quality measures. The program, which began in 2011, evolved over the course of 3 stages:</w:t>
            </w:r>
          </w:p>
          <w:p w14:paraId="7D47D84E" w14:textId="77777777" w:rsidR="006C1F8B" w:rsidRPr="00B01F9E" w:rsidRDefault="006C1F8B" w:rsidP="00FA32B2">
            <w:pPr>
              <w:pStyle w:val="ListParagraph"/>
              <w:numPr>
                <w:ilvl w:val="0"/>
                <w:numId w:val="17"/>
              </w:numPr>
              <w:rPr>
                <w:rFonts w:ascii="Arial" w:hAnsi="Arial" w:cs="Arial"/>
                <w:sz w:val="20"/>
                <w:szCs w:val="20"/>
              </w:rPr>
            </w:pPr>
            <w:r w:rsidRPr="00B01F9E">
              <w:rPr>
                <w:rFonts w:ascii="Arial" w:hAnsi="Arial" w:cs="Arial"/>
                <w:sz w:val="20"/>
                <w:szCs w:val="20"/>
              </w:rPr>
              <w:t>Stage 1 established the base requirements for electronic capturing of clinical data.</w:t>
            </w:r>
          </w:p>
          <w:p w14:paraId="48423041" w14:textId="77777777" w:rsidR="006C1F8B" w:rsidRPr="00B01F9E" w:rsidRDefault="006C1F8B" w:rsidP="00FA32B2">
            <w:pPr>
              <w:pStyle w:val="ListParagraph"/>
              <w:numPr>
                <w:ilvl w:val="0"/>
                <w:numId w:val="17"/>
              </w:numPr>
              <w:rPr>
                <w:rFonts w:ascii="Arial" w:hAnsi="Arial" w:cs="Arial"/>
                <w:sz w:val="20"/>
                <w:szCs w:val="20"/>
              </w:rPr>
            </w:pPr>
            <w:r w:rsidRPr="00B01F9E">
              <w:rPr>
                <w:rFonts w:ascii="Arial" w:hAnsi="Arial" w:cs="Arial"/>
                <w:sz w:val="20"/>
                <w:szCs w:val="20"/>
              </w:rPr>
              <w:t>Stage 2 encouraged the use of EHRs for increased exchange of information and continuous quality improvement at the point of care.</w:t>
            </w:r>
          </w:p>
          <w:p w14:paraId="2E421AA3" w14:textId="77777777" w:rsidR="006C1F8B" w:rsidRPr="00B01F9E" w:rsidRDefault="006C1F8B" w:rsidP="00FA32B2">
            <w:pPr>
              <w:pStyle w:val="ListParagraph"/>
              <w:numPr>
                <w:ilvl w:val="0"/>
                <w:numId w:val="17"/>
              </w:numPr>
              <w:rPr>
                <w:rFonts w:ascii="Arial" w:hAnsi="Arial" w:cs="Arial"/>
                <w:sz w:val="20"/>
                <w:szCs w:val="20"/>
              </w:rPr>
            </w:pPr>
            <w:r w:rsidRPr="00B01F9E">
              <w:rPr>
                <w:rFonts w:ascii="Arial" w:hAnsi="Arial" w:cs="Arial"/>
                <w:sz w:val="20"/>
                <w:szCs w:val="20"/>
              </w:rPr>
              <w:t>Modified Stage 2, released in October 2015, consolidated Stages 1 and 2 into a new program. These are the current requirements all physicians should follow. While some changes were made to reduce the complexity of the measures, many of the objectives were carried over from Stage 2.</w:t>
            </w:r>
          </w:p>
          <w:p w14:paraId="4FF5B0FD" w14:textId="23F4FF8F" w:rsidR="006C1F8B" w:rsidRPr="00B01F9E" w:rsidRDefault="00000000" w:rsidP="006C1F8B">
            <w:pPr>
              <w:rPr>
                <w:rFonts w:ascii="Arial" w:hAnsi="Arial" w:cs="Arial"/>
                <w:sz w:val="20"/>
                <w:szCs w:val="20"/>
              </w:rPr>
            </w:pPr>
            <w:hyperlink r:id="rId113" w:history="1">
              <w:r w:rsidR="008B2EEE" w:rsidRPr="00B01F9E">
                <w:rPr>
                  <w:rStyle w:val="Hyperlink"/>
                  <w:rFonts w:ascii="Arial" w:hAnsi="Arial" w:cs="Arial"/>
                  <w:sz w:val="20"/>
                  <w:szCs w:val="20"/>
                </w:rPr>
                <w:t>https://www.ama-assn.org/practice-management/medicare-medicaid/meaningful-use-electronic-health-record-ehr-incentive</w:t>
              </w:r>
            </w:hyperlink>
            <w:r w:rsidR="006C1F8B" w:rsidRPr="00B01F9E">
              <w:rPr>
                <w:rFonts w:ascii="Arial" w:hAnsi="Arial" w:cs="Arial"/>
                <w:sz w:val="20"/>
                <w:szCs w:val="20"/>
              </w:rPr>
              <w:fldChar w:fldCharType="begin"/>
            </w:r>
            <w:r w:rsidR="006C1F8B" w:rsidRPr="00B01F9E">
              <w:rPr>
                <w:rFonts w:ascii="Arial" w:hAnsi="Arial" w:cs="Arial"/>
                <w:sz w:val="20"/>
                <w:szCs w:val="20"/>
              </w:rPr>
              <w:instrText>https://www.ama-assn.org/practice-management/medicare-medicaid/meaningful-use-electronic-health-record-ehr-incentive</w:instrText>
            </w:r>
            <w:r w:rsidR="006C1F8B" w:rsidRPr="00B01F9E">
              <w:rPr>
                <w:rFonts w:ascii="Arial" w:hAnsi="Arial" w:cs="Arial"/>
                <w:sz w:val="20"/>
                <w:szCs w:val="20"/>
              </w:rPr>
              <w:fldChar w:fldCharType="separate"/>
            </w:r>
            <w:r w:rsidR="006C1F8B" w:rsidRPr="00B01F9E">
              <w:rPr>
                <w:rStyle w:val="Hyperlink"/>
                <w:rFonts w:ascii="Arial" w:hAnsi="Arial" w:cs="Arial"/>
                <w:sz w:val="20"/>
                <w:szCs w:val="20"/>
              </w:rPr>
              <w:t>https://www.ama-assn.org/practice-management/medicare-medicaid/meaningful-use-electronic-health-record-ehr-incentive</w:t>
            </w:r>
            <w:r w:rsidR="006C1F8B" w:rsidRPr="00B01F9E">
              <w:rPr>
                <w:rFonts w:ascii="Arial" w:hAnsi="Arial" w:cs="Arial"/>
                <w:sz w:val="20"/>
                <w:szCs w:val="20"/>
              </w:rPr>
              <w:fldChar w:fldCharType="end"/>
            </w:r>
          </w:p>
        </w:tc>
      </w:tr>
      <w:tr w:rsidR="003D7C71" w:rsidRPr="00B01F9E" w14:paraId="04A59EFC" w14:textId="77777777" w:rsidTr="004C61C0">
        <w:trPr>
          <w:trHeight w:val="679"/>
        </w:trPr>
        <w:tc>
          <w:tcPr>
            <w:tcW w:w="1779" w:type="dxa"/>
          </w:tcPr>
          <w:p w14:paraId="1BB12B30" w14:textId="3B4BFC1E" w:rsidR="003D7C71" w:rsidRPr="00B01F9E" w:rsidRDefault="003D7C71" w:rsidP="003D7C71">
            <w:pPr>
              <w:rPr>
                <w:rFonts w:ascii="Arial" w:hAnsi="Arial" w:cs="Arial"/>
                <w:sz w:val="20"/>
                <w:szCs w:val="20"/>
              </w:rPr>
            </w:pPr>
            <w:r w:rsidRPr="00B01F9E">
              <w:rPr>
                <w:rFonts w:ascii="Arial" w:hAnsi="Arial" w:cs="Arial"/>
                <w:sz w:val="20"/>
                <w:szCs w:val="20"/>
              </w:rPr>
              <w:t xml:space="preserve">Method </w:t>
            </w:r>
          </w:p>
        </w:tc>
        <w:tc>
          <w:tcPr>
            <w:tcW w:w="7571" w:type="dxa"/>
          </w:tcPr>
          <w:p w14:paraId="76D280D7" w14:textId="6D13F153" w:rsidR="003D7C71" w:rsidRPr="00B01F9E" w:rsidRDefault="003D7C71" w:rsidP="003D7C71">
            <w:pPr>
              <w:rPr>
                <w:rFonts w:ascii="Arial" w:hAnsi="Arial" w:cs="Arial"/>
                <w:sz w:val="20"/>
                <w:szCs w:val="20"/>
              </w:rPr>
            </w:pPr>
            <w:r w:rsidRPr="00B01F9E">
              <w:rPr>
                <w:rFonts w:ascii="Arial" w:hAnsi="Arial" w:cs="Arial"/>
                <w:sz w:val="20"/>
                <w:szCs w:val="20"/>
              </w:rPr>
              <w:t xml:space="preserve">A reference to “method” denotes the Epic record for either the analyzer or the kit used. A reference to “analytic method” denotes the actual laboratory testing method rather than the Epic record. </w:t>
            </w:r>
          </w:p>
        </w:tc>
      </w:tr>
      <w:tr w:rsidR="00552CB8" w:rsidRPr="00B01F9E" w14:paraId="5D872CCE" w14:textId="77777777" w:rsidTr="004C61C0">
        <w:trPr>
          <w:trHeight w:val="1373"/>
        </w:trPr>
        <w:tc>
          <w:tcPr>
            <w:tcW w:w="1779" w:type="dxa"/>
          </w:tcPr>
          <w:p w14:paraId="2BEADDD4" w14:textId="1D7DAAB7" w:rsidR="00552CB8" w:rsidRPr="00B01F9E" w:rsidRDefault="00552CB8" w:rsidP="003D7C71">
            <w:pPr>
              <w:rPr>
                <w:rFonts w:ascii="Arial" w:hAnsi="Arial" w:cs="Arial"/>
                <w:sz w:val="20"/>
                <w:szCs w:val="20"/>
              </w:rPr>
            </w:pPr>
            <w:r w:rsidRPr="00B01F9E">
              <w:rPr>
                <w:rStyle w:val="normaltextrun"/>
                <w:rFonts w:ascii="Arial" w:hAnsi="Arial" w:cs="Arial"/>
                <w:sz w:val="20"/>
                <w:szCs w:val="20"/>
              </w:rPr>
              <w:t>National Electronic Telecommunications System for Surveillance (NETSS)</w:t>
            </w:r>
          </w:p>
        </w:tc>
        <w:tc>
          <w:tcPr>
            <w:tcW w:w="7571" w:type="dxa"/>
          </w:tcPr>
          <w:p w14:paraId="6C4CE8AD" w14:textId="6EDBF790" w:rsidR="00552CB8" w:rsidRPr="00B01F9E" w:rsidRDefault="00725B11" w:rsidP="003D7C71">
            <w:pPr>
              <w:rPr>
                <w:rFonts w:ascii="Arial" w:hAnsi="Arial" w:cs="Arial"/>
                <w:sz w:val="20"/>
                <w:szCs w:val="20"/>
              </w:rPr>
            </w:pPr>
            <w:r w:rsidRPr="00B01F9E">
              <w:rPr>
                <w:rFonts w:ascii="Arial" w:hAnsi="Arial" w:cs="Arial"/>
                <w:sz w:val="20"/>
                <w:szCs w:val="20"/>
              </w:rPr>
              <w:t>The National Electronic Telecommunications System for Surveillance (NETSS) was developed by CDC and the Council of State and Territorial Epidemiologists (CSTE) for collecting, transmitting, analyzing, and publishing weekly reports of notifiable diseases and injuries</w:t>
            </w:r>
            <w:r w:rsidR="00D92417" w:rsidRPr="00B01F9E">
              <w:rPr>
                <w:rFonts w:ascii="Arial" w:hAnsi="Arial" w:cs="Arial"/>
                <w:sz w:val="20"/>
                <w:szCs w:val="20"/>
              </w:rPr>
              <w:t xml:space="preserve"> f</w:t>
            </w:r>
            <w:r w:rsidRPr="00B01F9E">
              <w:rPr>
                <w:rFonts w:ascii="Arial" w:hAnsi="Arial" w:cs="Arial"/>
                <w:sz w:val="20"/>
                <w:szCs w:val="20"/>
              </w:rPr>
              <w:t>rom the 50 states, New York City, the District of Columbia, Puerto Rico, the Virgin Islands, Guam, American Samoa, and Commonwealth of the Northern Mariana Islands</w:t>
            </w:r>
            <w:r w:rsidR="00D92417" w:rsidRPr="00B01F9E">
              <w:rPr>
                <w:rFonts w:ascii="Arial" w:hAnsi="Arial" w:cs="Arial"/>
                <w:sz w:val="20"/>
                <w:szCs w:val="20"/>
              </w:rPr>
              <w:t>.</w:t>
            </w:r>
            <w:r w:rsidR="007E1F5E" w:rsidRPr="00B01F9E">
              <w:rPr>
                <w:rFonts w:ascii="Arial" w:hAnsi="Arial" w:cs="Arial"/>
                <w:sz w:val="20"/>
                <w:szCs w:val="20"/>
              </w:rPr>
              <w:t xml:space="preserve"> </w:t>
            </w:r>
            <w:hyperlink r:id="rId114" w:history="1">
              <w:r w:rsidR="00CA531C" w:rsidRPr="00B01F9E">
                <w:rPr>
                  <w:rStyle w:val="Hyperlink"/>
                  <w:rFonts w:ascii="Arial" w:hAnsi="Arial" w:cs="Arial"/>
                  <w:sz w:val="20"/>
                  <w:szCs w:val="20"/>
                </w:rPr>
                <w:t>https://www.cdc.gov/mmwr/preview/mmwrhtml/00014904.htm</w:t>
              </w:r>
            </w:hyperlink>
            <w:r w:rsidR="00CE4252" w:rsidRPr="00B01F9E">
              <w:rPr>
                <w:rFonts w:ascii="Arial" w:hAnsi="Arial" w:cs="Arial"/>
                <w:sz w:val="20"/>
                <w:szCs w:val="20"/>
              </w:rPr>
              <w:t xml:space="preserve"> </w:t>
            </w:r>
          </w:p>
        </w:tc>
      </w:tr>
      <w:tr w:rsidR="00492E0E" w:rsidRPr="00B01F9E" w14:paraId="694EE4A4" w14:textId="77777777" w:rsidTr="004C61C0">
        <w:trPr>
          <w:trHeight w:val="1604"/>
        </w:trPr>
        <w:tc>
          <w:tcPr>
            <w:tcW w:w="1779" w:type="dxa"/>
          </w:tcPr>
          <w:p w14:paraId="454E36A1" w14:textId="2FF27016" w:rsidR="00492E0E" w:rsidRPr="00B01F9E" w:rsidRDefault="00492E0E" w:rsidP="003D7C71">
            <w:pPr>
              <w:rPr>
                <w:rFonts w:ascii="Arial" w:hAnsi="Arial" w:cs="Arial"/>
                <w:sz w:val="20"/>
                <w:szCs w:val="20"/>
              </w:rPr>
            </w:pPr>
            <w:r w:rsidRPr="00B01F9E">
              <w:rPr>
                <w:rFonts w:ascii="Arial" w:hAnsi="Arial" w:cs="Arial"/>
                <w:sz w:val="20"/>
                <w:szCs w:val="20"/>
              </w:rPr>
              <w:lastRenderedPageBreak/>
              <w:t>Pathology Electronic Reporting (PERT)</w:t>
            </w:r>
            <w:r w:rsidR="00B803A3" w:rsidRPr="00B01F9E">
              <w:rPr>
                <w:rFonts w:ascii="Arial" w:hAnsi="Arial" w:cs="Arial"/>
                <w:sz w:val="20"/>
                <w:szCs w:val="20"/>
              </w:rPr>
              <w:t xml:space="preserve"> Committee </w:t>
            </w:r>
          </w:p>
        </w:tc>
        <w:tc>
          <w:tcPr>
            <w:tcW w:w="7571" w:type="dxa"/>
          </w:tcPr>
          <w:p w14:paraId="6492A849" w14:textId="2B2985C1" w:rsidR="00492E0E" w:rsidRPr="00B01F9E" w:rsidRDefault="001132B6" w:rsidP="003D7C71">
            <w:pPr>
              <w:rPr>
                <w:rFonts w:ascii="Arial" w:hAnsi="Arial" w:cs="Arial"/>
                <w:sz w:val="20"/>
                <w:szCs w:val="20"/>
              </w:rPr>
            </w:pPr>
            <w:r w:rsidRPr="00B01F9E">
              <w:rPr>
                <w:rFonts w:ascii="Arial" w:hAnsi="Arial" w:cs="Arial"/>
                <w:sz w:val="20"/>
                <w:szCs w:val="20"/>
              </w:rPr>
              <w:t>The Pathology Electronic Reporting (PERT) Committee oversees, develops, and maintains the CAP electronic Cancer Protocols (</w:t>
            </w:r>
            <w:proofErr w:type="spellStart"/>
            <w:r w:rsidRPr="00B01F9E">
              <w:rPr>
                <w:rFonts w:ascii="Arial" w:hAnsi="Arial" w:cs="Arial"/>
                <w:sz w:val="20"/>
                <w:szCs w:val="20"/>
              </w:rPr>
              <w:t>eCP</w:t>
            </w:r>
            <w:proofErr w:type="spellEnd"/>
            <w:r w:rsidRPr="00B01F9E">
              <w:rPr>
                <w:rFonts w:ascii="Arial" w:hAnsi="Arial" w:cs="Arial"/>
                <w:sz w:val="20"/>
                <w:szCs w:val="20"/>
              </w:rPr>
              <w:t>)</w:t>
            </w:r>
            <w:r w:rsidR="0062113A" w:rsidRPr="00B01F9E">
              <w:rPr>
                <w:rFonts w:ascii="Arial" w:hAnsi="Arial" w:cs="Arial"/>
                <w:sz w:val="20"/>
                <w:szCs w:val="20"/>
              </w:rPr>
              <w:t>. In addition, PERT provides leadership in standardized, structured reporting of anatomic pathology data, including how these are captured, reported, discretized, transmitted, received, retrieved, aggregated, stored, and made interoperable with other clinical data relevant to patient care and public health</w:t>
            </w:r>
            <w:r w:rsidR="00446453" w:rsidRPr="00B01F9E">
              <w:rPr>
                <w:rFonts w:ascii="Arial" w:hAnsi="Arial" w:cs="Arial"/>
                <w:sz w:val="20"/>
                <w:szCs w:val="20"/>
              </w:rPr>
              <w:t>.</w:t>
            </w:r>
            <w:r w:rsidR="007E1F5E" w:rsidRPr="00B01F9E">
              <w:rPr>
                <w:rFonts w:ascii="Arial" w:hAnsi="Arial" w:cs="Arial"/>
                <w:sz w:val="20"/>
                <w:szCs w:val="20"/>
              </w:rPr>
              <w:t xml:space="preserve"> </w:t>
            </w:r>
            <w:hyperlink r:id="rId115" w:history="1">
              <w:r w:rsidR="007E1F5E" w:rsidRPr="00B01F9E">
                <w:rPr>
                  <w:rStyle w:val="Hyperlink"/>
                  <w:rFonts w:ascii="Arial" w:hAnsi="Arial" w:cs="Arial"/>
                  <w:sz w:val="20"/>
                  <w:szCs w:val="20"/>
                </w:rPr>
                <w:t>https://www.cap.org/member-resources/councils-committees/pathology-electronic-reporting-pert-committee/</w:t>
              </w:r>
            </w:hyperlink>
            <w:r w:rsidR="00446453" w:rsidRPr="00B01F9E">
              <w:rPr>
                <w:rFonts w:ascii="Arial" w:hAnsi="Arial" w:cs="Arial"/>
                <w:sz w:val="20"/>
                <w:szCs w:val="20"/>
              </w:rPr>
              <w:t xml:space="preserve"> </w:t>
            </w:r>
          </w:p>
        </w:tc>
      </w:tr>
      <w:tr w:rsidR="00AA13E2" w:rsidRPr="00B01F9E" w14:paraId="6563B5A7" w14:textId="77777777" w:rsidTr="004C61C0">
        <w:trPr>
          <w:trHeight w:val="924"/>
        </w:trPr>
        <w:tc>
          <w:tcPr>
            <w:tcW w:w="1779" w:type="dxa"/>
          </w:tcPr>
          <w:p w14:paraId="24BE52F6" w14:textId="6D054B9A" w:rsidR="00AA13E2" w:rsidRPr="00B01F9E" w:rsidRDefault="00FF4C7F" w:rsidP="003D7C71">
            <w:pPr>
              <w:rPr>
                <w:rFonts w:ascii="Arial" w:hAnsi="Arial" w:cs="Arial"/>
                <w:sz w:val="20"/>
                <w:szCs w:val="20"/>
              </w:rPr>
            </w:pPr>
            <w:r w:rsidRPr="00B01F9E">
              <w:rPr>
                <w:rFonts w:ascii="Arial" w:hAnsi="Arial" w:cs="Arial"/>
                <w:sz w:val="20"/>
                <w:szCs w:val="20"/>
              </w:rPr>
              <w:t>Patient-Centered Clinical Research Network</w:t>
            </w:r>
            <w:r w:rsidR="00E87948" w:rsidRPr="00B01F9E">
              <w:rPr>
                <w:rFonts w:ascii="Arial" w:hAnsi="Arial" w:cs="Arial"/>
                <w:sz w:val="20"/>
                <w:szCs w:val="20"/>
              </w:rPr>
              <w:t xml:space="preserve"> (</w:t>
            </w:r>
            <w:proofErr w:type="spellStart"/>
            <w:r w:rsidR="00E87948" w:rsidRPr="00B01F9E">
              <w:rPr>
                <w:rFonts w:ascii="Arial" w:hAnsi="Arial" w:cs="Arial"/>
                <w:sz w:val="20"/>
                <w:szCs w:val="20"/>
              </w:rPr>
              <w:t>PCORnet</w:t>
            </w:r>
            <w:proofErr w:type="spellEnd"/>
            <w:r w:rsidRPr="00B01F9E">
              <w:rPr>
                <w:rFonts w:ascii="Arial" w:hAnsi="Arial" w:cs="Arial"/>
                <w:sz w:val="20"/>
                <w:szCs w:val="20"/>
              </w:rPr>
              <w:t>)</w:t>
            </w:r>
          </w:p>
        </w:tc>
        <w:tc>
          <w:tcPr>
            <w:tcW w:w="7571" w:type="dxa"/>
          </w:tcPr>
          <w:p w14:paraId="3481749F" w14:textId="2593AE95" w:rsidR="0043624C" w:rsidRPr="00B01F9E" w:rsidRDefault="0043624C" w:rsidP="0043624C">
            <w:pPr>
              <w:rPr>
                <w:rFonts w:ascii="Arial" w:hAnsi="Arial" w:cs="Arial"/>
                <w:sz w:val="20"/>
                <w:szCs w:val="20"/>
              </w:rPr>
            </w:pPr>
            <w:r w:rsidRPr="00B01F9E">
              <w:rPr>
                <w:rFonts w:ascii="Arial" w:hAnsi="Arial" w:cs="Arial"/>
                <w:sz w:val="20"/>
                <w:szCs w:val="20"/>
              </w:rPr>
              <w:t xml:space="preserve">Is intended to improve the nation’s capacity to conduct health research, particularly comparative effectiveness research (CER), efficiently by creating a large, highly representative network for conducting clinical outcomes research. </w:t>
            </w:r>
            <w:proofErr w:type="spellStart"/>
            <w:r w:rsidRPr="00B01F9E">
              <w:rPr>
                <w:rFonts w:ascii="Arial" w:hAnsi="Arial" w:cs="Arial"/>
                <w:sz w:val="20"/>
                <w:szCs w:val="20"/>
              </w:rPr>
              <w:t>PCORnet</w:t>
            </w:r>
            <w:proofErr w:type="spellEnd"/>
            <w:r w:rsidRPr="00B01F9E">
              <w:rPr>
                <w:rFonts w:ascii="Arial" w:hAnsi="Arial" w:cs="Arial"/>
                <w:sz w:val="20"/>
                <w:szCs w:val="20"/>
              </w:rPr>
              <w:t xml:space="preserve">® has been developed with funding from the Patient-Centered Outcomes Research Institute (PCORI). </w:t>
            </w:r>
            <w:hyperlink r:id="rId116" w:history="1">
              <w:r w:rsidRPr="00B01F9E">
                <w:rPr>
                  <w:rStyle w:val="Hyperlink"/>
                  <w:rFonts w:ascii="Arial" w:hAnsi="Arial" w:cs="Arial"/>
                  <w:sz w:val="20"/>
                  <w:szCs w:val="20"/>
                </w:rPr>
                <w:t>https://pcornet.org/</w:t>
              </w:r>
            </w:hyperlink>
          </w:p>
        </w:tc>
      </w:tr>
      <w:tr w:rsidR="003D7C71" w:rsidRPr="00B01F9E" w14:paraId="75C905E3" w14:textId="77777777" w:rsidTr="004C61C0">
        <w:trPr>
          <w:trHeight w:val="530"/>
        </w:trPr>
        <w:tc>
          <w:tcPr>
            <w:tcW w:w="1779" w:type="dxa"/>
          </w:tcPr>
          <w:p w14:paraId="3A30365B" w14:textId="02E57F54" w:rsidR="003D7C71" w:rsidRPr="00B01F9E" w:rsidRDefault="003D7C71" w:rsidP="003D7C71">
            <w:pPr>
              <w:rPr>
                <w:rFonts w:ascii="Arial" w:hAnsi="Arial" w:cs="Arial"/>
                <w:sz w:val="20"/>
                <w:szCs w:val="20"/>
              </w:rPr>
            </w:pPr>
            <w:r w:rsidRPr="00B01F9E">
              <w:rPr>
                <w:rFonts w:ascii="Arial" w:hAnsi="Arial" w:cs="Arial"/>
                <w:sz w:val="20"/>
                <w:szCs w:val="20"/>
              </w:rPr>
              <w:t xml:space="preserve">Production Identifier (PI) </w:t>
            </w:r>
          </w:p>
        </w:tc>
        <w:tc>
          <w:tcPr>
            <w:tcW w:w="7571" w:type="dxa"/>
          </w:tcPr>
          <w:p w14:paraId="39526187" w14:textId="77777777" w:rsidR="003D7C71" w:rsidRPr="00B01F9E" w:rsidRDefault="003D7C71" w:rsidP="003D7C71">
            <w:pPr>
              <w:rPr>
                <w:rFonts w:ascii="Arial" w:hAnsi="Arial" w:cs="Arial"/>
                <w:sz w:val="20"/>
                <w:szCs w:val="20"/>
              </w:rPr>
            </w:pPr>
            <w:r w:rsidRPr="00B01F9E">
              <w:rPr>
                <w:rFonts w:ascii="Arial" w:hAnsi="Arial" w:cs="Arial"/>
                <w:sz w:val="20"/>
                <w:szCs w:val="20"/>
              </w:rPr>
              <w:t>A conditional, variable portion of a UDI that identifies one or more of the following when included on the label of a device:</w:t>
            </w:r>
          </w:p>
          <w:p w14:paraId="287451BC" w14:textId="77777777" w:rsidR="003D7C71" w:rsidRPr="00B01F9E" w:rsidRDefault="003D7C71" w:rsidP="00FA32B2">
            <w:pPr>
              <w:pStyle w:val="ListParagraph"/>
              <w:numPr>
                <w:ilvl w:val="0"/>
                <w:numId w:val="18"/>
              </w:numPr>
              <w:rPr>
                <w:rFonts w:ascii="Arial" w:hAnsi="Arial" w:cs="Arial"/>
                <w:sz w:val="20"/>
                <w:szCs w:val="20"/>
              </w:rPr>
            </w:pPr>
            <w:r w:rsidRPr="00B01F9E">
              <w:rPr>
                <w:rFonts w:ascii="Arial" w:hAnsi="Arial" w:cs="Arial"/>
                <w:sz w:val="20"/>
                <w:szCs w:val="20"/>
              </w:rPr>
              <w:t>Lot or batch number within which a device was manufactured</w:t>
            </w:r>
          </w:p>
          <w:p w14:paraId="1170740A" w14:textId="77777777" w:rsidR="003D7C71" w:rsidRPr="00B01F9E" w:rsidRDefault="003D7C71" w:rsidP="00FA32B2">
            <w:pPr>
              <w:pStyle w:val="ListParagraph"/>
              <w:numPr>
                <w:ilvl w:val="0"/>
                <w:numId w:val="18"/>
              </w:numPr>
              <w:rPr>
                <w:rFonts w:ascii="Arial" w:hAnsi="Arial" w:cs="Arial"/>
                <w:sz w:val="20"/>
                <w:szCs w:val="20"/>
              </w:rPr>
            </w:pPr>
            <w:r w:rsidRPr="00B01F9E">
              <w:rPr>
                <w:rFonts w:ascii="Arial" w:hAnsi="Arial" w:cs="Arial"/>
                <w:sz w:val="20"/>
                <w:szCs w:val="20"/>
              </w:rPr>
              <w:t>Serial number of a specific device</w:t>
            </w:r>
          </w:p>
          <w:p w14:paraId="222055D6" w14:textId="77777777" w:rsidR="003D7C71" w:rsidRPr="00B01F9E" w:rsidRDefault="003D7C71" w:rsidP="00FA32B2">
            <w:pPr>
              <w:pStyle w:val="ListParagraph"/>
              <w:numPr>
                <w:ilvl w:val="0"/>
                <w:numId w:val="18"/>
              </w:numPr>
              <w:rPr>
                <w:rFonts w:ascii="Arial" w:hAnsi="Arial" w:cs="Arial"/>
                <w:sz w:val="20"/>
                <w:szCs w:val="20"/>
              </w:rPr>
            </w:pPr>
            <w:r w:rsidRPr="00B01F9E">
              <w:rPr>
                <w:rFonts w:ascii="Arial" w:hAnsi="Arial" w:cs="Arial"/>
                <w:sz w:val="20"/>
                <w:szCs w:val="20"/>
              </w:rPr>
              <w:t>Expiration date of a specific device</w:t>
            </w:r>
          </w:p>
          <w:p w14:paraId="4D89C10B" w14:textId="77777777" w:rsidR="003D7C71" w:rsidRPr="00B01F9E" w:rsidRDefault="003D7C71" w:rsidP="00FA32B2">
            <w:pPr>
              <w:pStyle w:val="ListParagraph"/>
              <w:numPr>
                <w:ilvl w:val="0"/>
                <w:numId w:val="18"/>
              </w:numPr>
              <w:rPr>
                <w:rFonts w:ascii="Arial" w:hAnsi="Arial" w:cs="Arial"/>
                <w:sz w:val="20"/>
                <w:szCs w:val="20"/>
              </w:rPr>
            </w:pPr>
            <w:r w:rsidRPr="00B01F9E">
              <w:rPr>
                <w:rFonts w:ascii="Arial" w:hAnsi="Arial" w:cs="Arial"/>
                <w:sz w:val="20"/>
                <w:szCs w:val="20"/>
              </w:rPr>
              <w:t xml:space="preserve">Date a specific device was </w:t>
            </w:r>
            <w:proofErr w:type="gramStart"/>
            <w:r w:rsidRPr="00B01F9E">
              <w:rPr>
                <w:rFonts w:ascii="Arial" w:hAnsi="Arial" w:cs="Arial"/>
                <w:sz w:val="20"/>
                <w:szCs w:val="20"/>
              </w:rPr>
              <w:t>manufactured;</w:t>
            </w:r>
            <w:proofErr w:type="gramEnd"/>
          </w:p>
          <w:p w14:paraId="38BF95B8" w14:textId="77777777" w:rsidR="003D7C71" w:rsidRPr="00B01F9E" w:rsidRDefault="003D7C71" w:rsidP="00FA32B2">
            <w:pPr>
              <w:pStyle w:val="ListParagraph"/>
              <w:numPr>
                <w:ilvl w:val="0"/>
                <w:numId w:val="18"/>
              </w:numPr>
              <w:rPr>
                <w:rFonts w:ascii="Arial" w:hAnsi="Arial" w:cs="Arial"/>
                <w:sz w:val="20"/>
                <w:szCs w:val="20"/>
              </w:rPr>
            </w:pPr>
            <w:r w:rsidRPr="00B01F9E">
              <w:rPr>
                <w:rFonts w:ascii="Arial" w:hAnsi="Arial" w:cs="Arial"/>
                <w:sz w:val="20"/>
                <w:szCs w:val="20"/>
              </w:rPr>
              <w:t>Distinct identification code required by §1271.290(c) for a human cell, tissue, or cellular and tissue-based product (HCT/P) regulated as a device.</w:t>
            </w:r>
          </w:p>
          <w:p w14:paraId="66A22742" w14:textId="28DF7BB4" w:rsidR="003D7C71" w:rsidRPr="00B01F9E" w:rsidRDefault="00000000" w:rsidP="003D7C71">
            <w:pPr>
              <w:rPr>
                <w:rFonts w:ascii="Arial" w:hAnsi="Arial" w:cs="Arial"/>
                <w:sz w:val="20"/>
                <w:szCs w:val="20"/>
              </w:rPr>
            </w:pPr>
            <w:hyperlink r:id="rId117" w:history="1">
              <w:r w:rsidR="003D7C71" w:rsidRPr="00B01F9E">
                <w:rPr>
                  <w:rStyle w:val="Hyperlink"/>
                  <w:rFonts w:ascii="Arial" w:hAnsi="Arial" w:cs="Arial"/>
                  <w:sz w:val="20"/>
                  <w:szCs w:val="20"/>
                </w:rPr>
                <w:t>https://www.fda.gov/medical-devices/unique-device-identification-system-udi-system/udi-basics</w:t>
              </w:r>
            </w:hyperlink>
          </w:p>
        </w:tc>
      </w:tr>
      <w:tr w:rsidR="003D7C71" w:rsidRPr="00B01F9E" w14:paraId="0087333B" w14:textId="77777777" w:rsidTr="004C61C0">
        <w:trPr>
          <w:trHeight w:val="910"/>
        </w:trPr>
        <w:tc>
          <w:tcPr>
            <w:tcW w:w="1779" w:type="dxa"/>
          </w:tcPr>
          <w:p w14:paraId="1235FAB2" w14:textId="77777777" w:rsidR="003D7C71" w:rsidRPr="00B01F9E" w:rsidRDefault="003D7C71" w:rsidP="003D7C71">
            <w:pPr>
              <w:rPr>
                <w:rFonts w:ascii="Arial" w:hAnsi="Arial" w:cs="Arial"/>
                <w:sz w:val="20"/>
                <w:szCs w:val="20"/>
              </w:rPr>
            </w:pPr>
            <w:r w:rsidRPr="00B01F9E">
              <w:rPr>
                <w:rFonts w:ascii="Arial" w:hAnsi="Arial" w:cs="Arial"/>
                <w:sz w:val="20"/>
                <w:szCs w:val="20"/>
              </w:rPr>
              <w:t>Proof of Concept (POC)</w:t>
            </w:r>
          </w:p>
        </w:tc>
        <w:tc>
          <w:tcPr>
            <w:tcW w:w="7571" w:type="dxa"/>
          </w:tcPr>
          <w:p w14:paraId="3BDF4C84" w14:textId="55129300" w:rsidR="003D7C71" w:rsidRPr="00B01F9E" w:rsidRDefault="003D7C71" w:rsidP="003D7C71">
            <w:pPr>
              <w:rPr>
                <w:rFonts w:ascii="Arial" w:hAnsi="Arial" w:cs="Arial"/>
                <w:sz w:val="20"/>
                <w:szCs w:val="20"/>
              </w:rPr>
            </w:pPr>
            <w:r w:rsidRPr="00B01F9E">
              <w:rPr>
                <w:rFonts w:ascii="Arial" w:hAnsi="Arial" w:cs="Arial"/>
                <w:sz w:val="20"/>
                <w:szCs w:val="20"/>
              </w:rPr>
              <w:t>CAP is performing a proof of concept (POC) with laboratories to help understand if the encoded data coming back to the CAP ha</w:t>
            </w:r>
            <w:r w:rsidR="007F12F9" w:rsidRPr="00B01F9E">
              <w:rPr>
                <w:rFonts w:ascii="Arial" w:hAnsi="Arial" w:cs="Arial"/>
                <w:sz w:val="20"/>
                <w:szCs w:val="20"/>
              </w:rPr>
              <w:t>ve</w:t>
            </w:r>
            <w:r w:rsidRPr="00B01F9E">
              <w:rPr>
                <w:rFonts w:ascii="Arial" w:hAnsi="Arial" w:cs="Arial"/>
                <w:sz w:val="20"/>
                <w:szCs w:val="20"/>
              </w:rPr>
              <w:t xml:space="preserve"> the appropriate mapping to the Laboratory Interoperability Data Repository (LIDR) standard, under development as part of the government-supported SHIELD initiative.</w:t>
            </w:r>
          </w:p>
        </w:tc>
      </w:tr>
      <w:tr w:rsidR="003D7C71" w:rsidRPr="00B01F9E" w14:paraId="2260E771" w14:textId="77777777" w:rsidTr="004C61C0">
        <w:trPr>
          <w:trHeight w:val="1155"/>
        </w:trPr>
        <w:tc>
          <w:tcPr>
            <w:tcW w:w="1779" w:type="dxa"/>
          </w:tcPr>
          <w:p w14:paraId="5DC518A7" w14:textId="77777777" w:rsidR="003D7C71" w:rsidRPr="00B01F9E" w:rsidRDefault="003D7C71" w:rsidP="003D7C71">
            <w:pPr>
              <w:rPr>
                <w:rFonts w:ascii="Arial" w:hAnsi="Arial" w:cs="Arial"/>
                <w:sz w:val="20"/>
                <w:szCs w:val="20"/>
              </w:rPr>
            </w:pPr>
            <w:r w:rsidRPr="00B01F9E">
              <w:rPr>
                <w:rFonts w:ascii="Arial" w:hAnsi="Arial" w:cs="Arial"/>
                <w:sz w:val="20"/>
                <w:szCs w:val="20"/>
              </w:rPr>
              <w:t>Proficiency Testing (PT)</w:t>
            </w:r>
          </w:p>
        </w:tc>
        <w:tc>
          <w:tcPr>
            <w:tcW w:w="7571" w:type="dxa"/>
          </w:tcPr>
          <w:p w14:paraId="6D4F9DAD" w14:textId="77777777" w:rsidR="003D7C71" w:rsidRPr="00B01F9E" w:rsidRDefault="003D7C71" w:rsidP="003D7C71">
            <w:pPr>
              <w:pStyle w:val="Default"/>
              <w:rPr>
                <w:sz w:val="20"/>
                <w:szCs w:val="20"/>
              </w:rPr>
            </w:pPr>
            <w:r w:rsidRPr="00B01F9E">
              <w:rPr>
                <w:sz w:val="20"/>
                <w:szCs w:val="20"/>
              </w:rPr>
              <w:t xml:space="preserve">Refers to a quality program which clinical laboratories must subscribe to according to the CLIA standards for regulatory monitoring of test performance. The quality program typically includes blind specimens simulating patient samples which must be run in the same manner as patient samples. The results are sent to the quality organization for performance evaluation and assessment with peer groups of other laboratories. </w:t>
            </w:r>
          </w:p>
        </w:tc>
      </w:tr>
      <w:tr w:rsidR="009224AB" w:rsidRPr="00B01F9E" w14:paraId="583FF5A0" w14:textId="77777777" w:rsidTr="004C61C0">
        <w:trPr>
          <w:trHeight w:val="448"/>
        </w:trPr>
        <w:tc>
          <w:tcPr>
            <w:tcW w:w="1779" w:type="dxa"/>
          </w:tcPr>
          <w:p w14:paraId="4BB85771" w14:textId="66146487" w:rsidR="009224AB" w:rsidRPr="00B01F9E" w:rsidRDefault="009224AB" w:rsidP="003D7C71">
            <w:pPr>
              <w:rPr>
                <w:rFonts w:ascii="Arial" w:hAnsi="Arial" w:cs="Arial"/>
                <w:sz w:val="20"/>
                <w:szCs w:val="20"/>
              </w:rPr>
            </w:pPr>
            <w:r w:rsidRPr="00B01F9E">
              <w:rPr>
                <w:rFonts w:ascii="Arial" w:hAnsi="Arial" w:cs="Arial"/>
                <w:sz w:val="20"/>
                <w:szCs w:val="20"/>
              </w:rPr>
              <w:t>Quality Organization</w:t>
            </w:r>
          </w:p>
        </w:tc>
        <w:tc>
          <w:tcPr>
            <w:tcW w:w="7571" w:type="dxa"/>
          </w:tcPr>
          <w:p w14:paraId="79FF7532" w14:textId="14576FBD" w:rsidR="009224AB" w:rsidRPr="00B01F9E" w:rsidRDefault="00FB309C" w:rsidP="003D7C71">
            <w:pPr>
              <w:pStyle w:val="Default"/>
              <w:rPr>
                <w:sz w:val="20"/>
                <w:szCs w:val="20"/>
              </w:rPr>
            </w:pPr>
            <w:r w:rsidRPr="00B01F9E">
              <w:rPr>
                <w:sz w:val="20"/>
                <w:szCs w:val="20"/>
              </w:rPr>
              <w:t>Organizations which can provide quality monitoring or proficiency testing surveys or both to clinical and anatomic pathology laboratories.</w:t>
            </w:r>
          </w:p>
        </w:tc>
      </w:tr>
      <w:tr w:rsidR="009224AB" w:rsidRPr="00B01F9E" w14:paraId="373AA8CB" w14:textId="77777777" w:rsidTr="004C61C0">
        <w:trPr>
          <w:trHeight w:val="1610"/>
        </w:trPr>
        <w:tc>
          <w:tcPr>
            <w:tcW w:w="1779" w:type="dxa"/>
          </w:tcPr>
          <w:p w14:paraId="47166908" w14:textId="015D27A0" w:rsidR="009224AB" w:rsidRPr="00B01F9E" w:rsidRDefault="009224AB" w:rsidP="003D7C71">
            <w:pPr>
              <w:rPr>
                <w:rFonts w:ascii="Arial" w:hAnsi="Arial" w:cs="Arial"/>
                <w:sz w:val="20"/>
                <w:szCs w:val="20"/>
              </w:rPr>
            </w:pPr>
            <w:r w:rsidRPr="00B01F9E">
              <w:rPr>
                <w:rFonts w:ascii="Arial" w:hAnsi="Arial" w:cs="Arial"/>
                <w:sz w:val="20"/>
                <w:szCs w:val="20"/>
              </w:rPr>
              <w:t>Q</w:t>
            </w:r>
            <w:r w:rsidR="001808D1" w:rsidRPr="00B01F9E">
              <w:rPr>
                <w:rFonts w:ascii="Arial" w:hAnsi="Arial" w:cs="Arial"/>
                <w:sz w:val="20"/>
                <w:szCs w:val="20"/>
              </w:rPr>
              <w:t xml:space="preserve">uality </w:t>
            </w:r>
            <w:r w:rsidRPr="00B01F9E">
              <w:rPr>
                <w:rFonts w:ascii="Arial" w:hAnsi="Arial" w:cs="Arial"/>
                <w:sz w:val="20"/>
                <w:szCs w:val="20"/>
              </w:rPr>
              <w:t>A</w:t>
            </w:r>
            <w:r w:rsidR="001808D1" w:rsidRPr="00B01F9E">
              <w:rPr>
                <w:rFonts w:ascii="Arial" w:hAnsi="Arial" w:cs="Arial"/>
                <w:sz w:val="20"/>
                <w:szCs w:val="20"/>
              </w:rPr>
              <w:t>ssurance</w:t>
            </w:r>
            <w:r w:rsidRPr="00B01F9E">
              <w:rPr>
                <w:rFonts w:ascii="Arial" w:hAnsi="Arial" w:cs="Arial"/>
                <w:sz w:val="20"/>
                <w:szCs w:val="20"/>
              </w:rPr>
              <w:t xml:space="preserve"> </w:t>
            </w:r>
            <w:r w:rsidR="001808D1" w:rsidRPr="00B01F9E">
              <w:rPr>
                <w:rFonts w:ascii="Arial" w:hAnsi="Arial" w:cs="Arial"/>
                <w:sz w:val="20"/>
                <w:szCs w:val="20"/>
              </w:rPr>
              <w:t xml:space="preserve">(QA) </w:t>
            </w:r>
            <w:r w:rsidRPr="00B01F9E">
              <w:rPr>
                <w:rFonts w:ascii="Arial" w:hAnsi="Arial" w:cs="Arial"/>
                <w:sz w:val="20"/>
                <w:szCs w:val="20"/>
              </w:rPr>
              <w:t>Program</w:t>
            </w:r>
          </w:p>
        </w:tc>
        <w:tc>
          <w:tcPr>
            <w:tcW w:w="7571" w:type="dxa"/>
          </w:tcPr>
          <w:p w14:paraId="41C82B87" w14:textId="678B4909" w:rsidR="009224AB" w:rsidRPr="00B01F9E" w:rsidRDefault="00E408BA" w:rsidP="003D7C71">
            <w:pPr>
              <w:pStyle w:val="Default"/>
              <w:rPr>
                <w:sz w:val="20"/>
                <w:szCs w:val="20"/>
              </w:rPr>
            </w:pPr>
            <w:r w:rsidRPr="00B01F9E">
              <w:rPr>
                <w:sz w:val="20"/>
                <w:szCs w:val="20"/>
              </w:rPr>
              <w:t>The CAP’s proposed IVD Test Data Coding QA Program (the QA Program) was designed to monitor the appropriate coding of laboratory test results compared to LIDR. The full LIDR design and specifications are still under development as part of the government supported SHIELD initiative. The QA Program workflow is intended to utilize test result transmissions and test compendium reports to evaluate the quality of the encoded laboratory tests, validate correct coding, and identify any gaps in the design.</w:t>
            </w:r>
          </w:p>
        </w:tc>
      </w:tr>
      <w:tr w:rsidR="00FB309C" w:rsidRPr="00B01F9E" w14:paraId="409C29AC" w14:textId="77777777" w:rsidTr="004C61C0">
        <w:trPr>
          <w:trHeight w:val="448"/>
        </w:trPr>
        <w:tc>
          <w:tcPr>
            <w:tcW w:w="1779" w:type="dxa"/>
          </w:tcPr>
          <w:p w14:paraId="499C1AB1" w14:textId="6902077F" w:rsidR="00FB309C" w:rsidRPr="00B01F9E" w:rsidRDefault="001808D1" w:rsidP="003D7C71">
            <w:pPr>
              <w:rPr>
                <w:rFonts w:ascii="Arial" w:hAnsi="Arial" w:cs="Arial"/>
                <w:sz w:val="20"/>
                <w:szCs w:val="20"/>
              </w:rPr>
            </w:pPr>
            <w:r w:rsidRPr="00B01F9E">
              <w:rPr>
                <w:rFonts w:ascii="Arial" w:hAnsi="Arial" w:cs="Arial"/>
                <w:sz w:val="20"/>
                <w:szCs w:val="20"/>
              </w:rPr>
              <w:t>Qualitative Result</w:t>
            </w:r>
          </w:p>
        </w:tc>
        <w:tc>
          <w:tcPr>
            <w:tcW w:w="7571" w:type="dxa"/>
          </w:tcPr>
          <w:p w14:paraId="04B8CCF9" w14:textId="51ECD809" w:rsidR="00FB309C" w:rsidRPr="00B01F9E" w:rsidRDefault="00D46E86" w:rsidP="003D7C71">
            <w:pPr>
              <w:pStyle w:val="Default"/>
              <w:rPr>
                <w:sz w:val="20"/>
                <w:szCs w:val="20"/>
              </w:rPr>
            </w:pPr>
            <w:r w:rsidRPr="00B01F9E">
              <w:rPr>
                <w:sz w:val="20"/>
                <w:szCs w:val="20"/>
              </w:rPr>
              <w:t>A clinical laboratory test result that is non-numeric and typically reported with a textual result (</w:t>
            </w:r>
            <w:r w:rsidR="00E87336" w:rsidRPr="00B01F9E">
              <w:rPr>
                <w:sz w:val="20"/>
                <w:szCs w:val="20"/>
              </w:rPr>
              <w:t>e.g.</w:t>
            </w:r>
            <w:r w:rsidRPr="00B01F9E">
              <w:rPr>
                <w:sz w:val="20"/>
                <w:szCs w:val="20"/>
              </w:rPr>
              <w:t>, positive, reactive, non-reactive).</w:t>
            </w:r>
          </w:p>
        </w:tc>
      </w:tr>
      <w:tr w:rsidR="00E87336" w:rsidRPr="00B01F9E" w14:paraId="356540D1" w14:textId="77777777" w:rsidTr="004C61C0">
        <w:trPr>
          <w:trHeight w:val="231"/>
        </w:trPr>
        <w:tc>
          <w:tcPr>
            <w:tcW w:w="1779" w:type="dxa"/>
          </w:tcPr>
          <w:p w14:paraId="3A887CE5" w14:textId="6C0FED36" w:rsidR="00E87336" w:rsidRPr="00B01F9E" w:rsidRDefault="00C86AAF" w:rsidP="003D7C71">
            <w:pPr>
              <w:rPr>
                <w:rFonts w:ascii="Arial" w:hAnsi="Arial" w:cs="Arial"/>
                <w:sz w:val="20"/>
                <w:szCs w:val="20"/>
              </w:rPr>
            </w:pPr>
            <w:r w:rsidRPr="00B01F9E">
              <w:rPr>
                <w:rFonts w:ascii="Arial" w:hAnsi="Arial" w:cs="Arial"/>
                <w:sz w:val="20"/>
                <w:szCs w:val="20"/>
              </w:rPr>
              <w:t>Quantitative Result</w:t>
            </w:r>
          </w:p>
        </w:tc>
        <w:tc>
          <w:tcPr>
            <w:tcW w:w="7571" w:type="dxa"/>
          </w:tcPr>
          <w:p w14:paraId="212C23C7" w14:textId="5508B65C" w:rsidR="00E87336" w:rsidRPr="00B01F9E" w:rsidRDefault="00AA13E2" w:rsidP="003D7C71">
            <w:pPr>
              <w:pStyle w:val="Default"/>
              <w:rPr>
                <w:sz w:val="20"/>
                <w:szCs w:val="20"/>
              </w:rPr>
            </w:pPr>
            <w:r w:rsidRPr="00B01F9E">
              <w:rPr>
                <w:sz w:val="20"/>
                <w:szCs w:val="20"/>
              </w:rPr>
              <w:t>A clinical laboratory test result that is numeric and typically reported with units of measurement.</w:t>
            </w:r>
          </w:p>
        </w:tc>
      </w:tr>
      <w:tr w:rsidR="003D7C71" w:rsidRPr="00B01F9E" w14:paraId="27E21A77" w14:textId="77777777" w:rsidTr="004C61C0">
        <w:trPr>
          <w:trHeight w:val="462"/>
        </w:trPr>
        <w:tc>
          <w:tcPr>
            <w:tcW w:w="1779" w:type="dxa"/>
          </w:tcPr>
          <w:p w14:paraId="7A9B9B9C" w14:textId="77777777" w:rsidR="003D7C71" w:rsidRPr="00B01F9E" w:rsidRDefault="003D7C71" w:rsidP="003D7C71">
            <w:pPr>
              <w:rPr>
                <w:rFonts w:ascii="Arial" w:hAnsi="Arial" w:cs="Arial"/>
                <w:sz w:val="20"/>
                <w:szCs w:val="20"/>
              </w:rPr>
            </w:pPr>
            <w:r w:rsidRPr="00B01F9E">
              <w:rPr>
                <w:rFonts w:ascii="Arial" w:hAnsi="Arial" w:cs="Arial"/>
                <w:sz w:val="20"/>
                <w:szCs w:val="20"/>
              </w:rPr>
              <w:t>Requisition Grouper (RQG)</w:t>
            </w:r>
          </w:p>
        </w:tc>
        <w:tc>
          <w:tcPr>
            <w:tcW w:w="7571" w:type="dxa"/>
          </w:tcPr>
          <w:p w14:paraId="3EADAD67" w14:textId="77777777" w:rsidR="003D7C71" w:rsidRPr="00B01F9E" w:rsidRDefault="003D7C71" w:rsidP="003D7C71">
            <w:pPr>
              <w:rPr>
                <w:rFonts w:ascii="Arial" w:hAnsi="Arial" w:cs="Arial"/>
                <w:sz w:val="20"/>
                <w:szCs w:val="20"/>
              </w:rPr>
            </w:pPr>
            <w:r w:rsidRPr="00B01F9E">
              <w:rPr>
                <w:rFonts w:ascii="Arial" w:hAnsi="Arial" w:cs="Arial"/>
                <w:sz w:val="20"/>
                <w:szCs w:val="20"/>
              </w:rPr>
              <w:t>A patient type in Epic whose orders and test results do not transfer into a standard Epic chart and are only accessible through Beaker LIS.</w:t>
            </w:r>
          </w:p>
        </w:tc>
      </w:tr>
      <w:tr w:rsidR="0071643E" w:rsidRPr="00B01F9E" w14:paraId="669BF0F1" w14:textId="77777777" w:rsidTr="004C61C0">
        <w:trPr>
          <w:trHeight w:val="1373"/>
        </w:trPr>
        <w:tc>
          <w:tcPr>
            <w:tcW w:w="1779" w:type="dxa"/>
          </w:tcPr>
          <w:p w14:paraId="6CE0F14B" w14:textId="2E8C9486" w:rsidR="0071643E" w:rsidRPr="00B01F9E" w:rsidRDefault="008A0AA9" w:rsidP="003D7C71">
            <w:pPr>
              <w:rPr>
                <w:rFonts w:ascii="Arial" w:hAnsi="Arial" w:cs="Arial"/>
                <w:sz w:val="20"/>
                <w:szCs w:val="20"/>
              </w:rPr>
            </w:pPr>
            <w:r w:rsidRPr="00B01F9E">
              <w:rPr>
                <w:rFonts w:ascii="Arial" w:hAnsi="Arial" w:cs="Arial"/>
                <w:sz w:val="20"/>
                <w:szCs w:val="20"/>
              </w:rPr>
              <w:lastRenderedPageBreak/>
              <w:t>Real-World Data</w:t>
            </w:r>
            <w:r w:rsidR="00DB0A54" w:rsidRPr="00B01F9E">
              <w:rPr>
                <w:rFonts w:ascii="Arial" w:hAnsi="Arial" w:cs="Arial"/>
                <w:sz w:val="20"/>
                <w:szCs w:val="20"/>
              </w:rPr>
              <w:t xml:space="preserve"> (RWD</w:t>
            </w:r>
            <w:r w:rsidRPr="00B01F9E">
              <w:rPr>
                <w:rFonts w:ascii="Arial" w:hAnsi="Arial" w:cs="Arial"/>
                <w:sz w:val="20"/>
                <w:szCs w:val="20"/>
              </w:rPr>
              <w:t>)</w:t>
            </w:r>
          </w:p>
        </w:tc>
        <w:tc>
          <w:tcPr>
            <w:tcW w:w="7571" w:type="dxa"/>
          </w:tcPr>
          <w:p w14:paraId="0C95B70C" w14:textId="5D1A9177" w:rsidR="001D1329" w:rsidRPr="00B01F9E" w:rsidRDefault="00B71989" w:rsidP="0071643E">
            <w:pPr>
              <w:rPr>
                <w:rFonts w:ascii="Arial" w:hAnsi="Arial" w:cs="Arial"/>
                <w:sz w:val="20"/>
                <w:szCs w:val="20"/>
              </w:rPr>
            </w:pPr>
            <w:r w:rsidRPr="00B01F9E">
              <w:rPr>
                <w:rFonts w:ascii="Arial" w:hAnsi="Arial" w:cs="Arial"/>
                <w:sz w:val="20"/>
                <w:szCs w:val="20"/>
              </w:rPr>
              <w:t>Real-world data are data relating to patient health status and/or the delivery of health care routinely collected from a variety of sources. Examples of RWD include data derived from electronic health records, medical claims data, data from product</w:t>
            </w:r>
            <w:r w:rsidR="00434457" w:rsidRPr="00B01F9E">
              <w:rPr>
                <w:rFonts w:ascii="Arial" w:hAnsi="Arial" w:cs="Arial"/>
                <w:sz w:val="20"/>
                <w:szCs w:val="20"/>
              </w:rPr>
              <w:t xml:space="preserve"> or disease registries, and data gathered from other sources (such as digital health technologies) that can inform on health status. </w:t>
            </w:r>
            <w:hyperlink r:id="rId118" w:history="1">
              <w:r w:rsidR="001D1329" w:rsidRPr="00B01F9E">
                <w:rPr>
                  <w:rStyle w:val="Hyperlink"/>
                  <w:rFonts w:ascii="Arial" w:hAnsi="Arial" w:cs="Arial"/>
                  <w:sz w:val="20"/>
                  <w:szCs w:val="20"/>
                </w:rPr>
                <w:t>https://www.fda.gov/science-research/science-and-research-special-topics/real-world-evidence</w:t>
              </w:r>
            </w:hyperlink>
          </w:p>
        </w:tc>
      </w:tr>
      <w:tr w:rsidR="0047311E" w:rsidRPr="00B01F9E" w14:paraId="3D321311" w14:textId="77777777" w:rsidTr="004C61C0">
        <w:trPr>
          <w:trHeight w:val="910"/>
        </w:trPr>
        <w:tc>
          <w:tcPr>
            <w:tcW w:w="1779" w:type="dxa"/>
          </w:tcPr>
          <w:p w14:paraId="1BC6893B" w14:textId="7B57760C" w:rsidR="0047311E" w:rsidRPr="00B01F9E" w:rsidRDefault="0005080C" w:rsidP="003D7C71">
            <w:pPr>
              <w:rPr>
                <w:rFonts w:ascii="Arial" w:hAnsi="Arial" w:cs="Arial"/>
                <w:sz w:val="20"/>
                <w:szCs w:val="20"/>
              </w:rPr>
            </w:pPr>
            <w:r w:rsidRPr="00B01F9E">
              <w:rPr>
                <w:rFonts w:ascii="Arial" w:hAnsi="Arial" w:cs="Arial"/>
                <w:sz w:val="20"/>
                <w:szCs w:val="20"/>
              </w:rPr>
              <w:t>Real-World Evidence</w:t>
            </w:r>
            <w:r w:rsidR="00532638" w:rsidRPr="00B01F9E">
              <w:rPr>
                <w:rFonts w:ascii="Arial" w:hAnsi="Arial" w:cs="Arial"/>
                <w:sz w:val="20"/>
                <w:szCs w:val="20"/>
              </w:rPr>
              <w:t xml:space="preserve"> (RWE</w:t>
            </w:r>
            <w:r w:rsidRPr="00B01F9E">
              <w:rPr>
                <w:rFonts w:ascii="Arial" w:hAnsi="Arial" w:cs="Arial"/>
                <w:sz w:val="20"/>
                <w:szCs w:val="20"/>
              </w:rPr>
              <w:t>)</w:t>
            </w:r>
          </w:p>
        </w:tc>
        <w:tc>
          <w:tcPr>
            <w:tcW w:w="7571" w:type="dxa"/>
          </w:tcPr>
          <w:p w14:paraId="61CAE104" w14:textId="77777777" w:rsidR="007E1001" w:rsidRPr="00B01F9E" w:rsidRDefault="0071643E" w:rsidP="0071643E">
            <w:pPr>
              <w:rPr>
                <w:rFonts w:ascii="Arial" w:hAnsi="Arial" w:cs="Arial"/>
                <w:sz w:val="20"/>
                <w:szCs w:val="20"/>
              </w:rPr>
            </w:pPr>
            <w:r w:rsidRPr="00B01F9E">
              <w:rPr>
                <w:rFonts w:ascii="Arial" w:hAnsi="Arial" w:cs="Arial"/>
                <w:sz w:val="20"/>
                <w:szCs w:val="20"/>
              </w:rPr>
              <w:t xml:space="preserve">Clinical evidence regarding usage and potential benefits or risks of a medical device or product. Real-world evidence is the clinical evidence about the usage and potential benefits or risks of a medical product derived from analysis of RWD. </w:t>
            </w:r>
          </w:p>
          <w:p w14:paraId="2A8B4DBD" w14:textId="4FCF3126" w:rsidR="001D1329" w:rsidRPr="00B01F9E" w:rsidRDefault="00000000" w:rsidP="0071643E">
            <w:pPr>
              <w:rPr>
                <w:rFonts w:ascii="Arial" w:hAnsi="Arial" w:cs="Arial"/>
                <w:sz w:val="20"/>
                <w:szCs w:val="20"/>
              </w:rPr>
            </w:pPr>
            <w:hyperlink r:id="rId119" w:history="1">
              <w:r w:rsidR="001D1329" w:rsidRPr="00B01F9E">
                <w:rPr>
                  <w:rStyle w:val="Hyperlink"/>
                  <w:rFonts w:ascii="Arial" w:hAnsi="Arial" w:cs="Arial"/>
                  <w:sz w:val="20"/>
                  <w:szCs w:val="20"/>
                </w:rPr>
                <w:t>https://www.fda.gov/science-research/science-and-research-special-topics/real-world-evidence</w:t>
              </w:r>
            </w:hyperlink>
          </w:p>
        </w:tc>
      </w:tr>
      <w:tr w:rsidR="003D7C71" w:rsidRPr="00B01F9E" w14:paraId="69F7E2B0" w14:textId="77777777" w:rsidTr="004C61C0">
        <w:trPr>
          <w:trHeight w:val="1141"/>
        </w:trPr>
        <w:tc>
          <w:tcPr>
            <w:tcW w:w="1779" w:type="dxa"/>
          </w:tcPr>
          <w:p w14:paraId="28C2AC87" w14:textId="03332754" w:rsidR="003D7C71" w:rsidRPr="00B01F9E" w:rsidRDefault="003D7C71" w:rsidP="003D7C71">
            <w:pPr>
              <w:rPr>
                <w:rFonts w:ascii="Arial" w:hAnsi="Arial" w:cs="Arial"/>
                <w:sz w:val="20"/>
                <w:szCs w:val="20"/>
              </w:rPr>
            </w:pPr>
            <w:r w:rsidRPr="00B01F9E">
              <w:rPr>
                <w:rFonts w:ascii="Arial" w:hAnsi="Arial" w:cs="Arial"/>
                <w:sz w:val="20"/>
                <w:szCs w:val="20"/>
              </w:rPr>
              <w:t>Systemic Harmonization and Interoperability Enhancement for Laboratory Data</w:t>
            </w:r>
            <w:r w:rsidR="00532638" w:rsidRPr="00B01F9E">
              <w:rPr>
                <w:rFonts w:ascii="Arial" w:hAnsi="Arial" w:cs="Arial"/>
                <w:sz w:val="20"/>
                <w:szCs w:val="20"/>
              </w:rPr>
              <w:t xml:space="preserve"> (SHIELD</w:t>
            </w:r>
            <w:r w:rsidRPr="00B01F9E">
              <w:rPr>
                <w:rFonts w:ascii="Arial" w:hAnsi="Arial" w:cs="Arial"/>
                <w:sz w:val="20"/>
                <w:szCs w:val="20"/>
              </w:rPr>
              <w:t>)</w:t>
            </w:r>
          </w:p>
        </w:tc>
        <w:tc>
          <w:tcPr>
            <w:tcW w:w="7571" w:type="dxa"/>
          </w:tcPr>
          <w:p w14:paraId="4F617CA7" w14:textId="371F71DA" w:rsidR="00BD7BAF" w:rsidRPr="00B01F9E" w:rsidRDefault="003D7C71" w:rsidP="003D7C71">
            <w:pPr>
              <w:rPr>
                <w:rFonts w:ascii="Arial" w:hAnsi="Arial" w:cs="Arial"/>
                <w:sz w:val="20"/>
                <w:szCs w:val="20"/>
              </w:rPr>
            </w:pPr>
            <w:r w:rsidRPr="00B01F9E">
              <w:rPr>
                <w:rFonts w:ascii="Arial" w:hAnsi="Arial" w:cs="Arial"/>
                <w:sz w:val="20"/>
                <w:szCs w:val="20"/>
              </w:rPr>
              <w:t xml:space="preserve">A multi-stakeholder group working to improve the quality, utility, and portability of electronic laboratory test results, by implementing data standards which allow for harmonization between healthcare organizations. </w:t>
            </w:r>
            <w:hyperlink r:id="rId120" w:history="1">
              <w:r w:rsidR="00BD7BAF" w:rsidRPr="00B01F9E">
                <w:rPr>
                  <w:rStyle w:val="Hyperlink"/>
                  <w:rFonts w:ascii="Arial" w:hAnsi="Arial" w:cs="Arial"/>
                  <w:sz w:val="20"/>
                  <w:szCs w:val="20"/>
                </w:rPr>
                <w:t>https://www.fda.gov/medical-devices/diagnostic-data-program/systemic-harmonization-and-interoperability-enhancement-laboratory-data-shield</w:t>
              </w:r>
            </w:hyperlink>
          </w:p>
        </w:tc>
      </w:tr>
      <w:tr w:rsidR="00FB30F5" w:rsidRPr="00B01F9E" w14:paraId="02963953" w14:textId="77777777" w:rsidTr="004C61C0">
        <w:trPr>
          <w:trHeight w:val="1387"/>
        </w:trPr>
        <w:tc>
          <w:tcPr>
            <w:tcW w:w="1779" w:type="dxa"/>
          </w:tcPr>
          <w:p w14:paraId="6F2612D8" w14:textId="0C5AF7C1" w:rsidR="00FB30F5" w:rsidRPr="00B01F9E" w:rsidRDefault="00FB30F5" w:rsidP="003D7C71">
            <w:pPr>
              <w:rPr>
                <w:rFonts w:ascii="Arial" w:hAnsi="Arial" w:cs="Arial"/>
                <w:sz w:val="20"/>
                <w:szCs w:val="20"/>
              </w:rPr>
            </w:pPr>
            <w:r w:rsidRPr="00B01F9E">
              <w:rPr>
                <w:rFonts w:ascii="Arial" w:hAnsi="Arial" w:cs="Arial"/>
                <w:sz w:val="20"/>
                <w:szCs w:val="20"/>
              </w:rPr>
              <w:t xml:space="preserve">Simulated LIDR </w:t>
            </w:r>
          </w:p>
        </w:tc>
        <w:tc>
          <w:tcPr>
            <w:tcW w:w="7571" w:type="dxa"/>
          </w:tcPr>
          <w:p w14:paraId="22ADDA23" w14:textId="03E73423" w:rsidR="00FB30F5" w:rsidRPr="00B01F9E" w:rsidRDefault="00E5037E" w:rsidP="003D7C71">
            <w:pPr>
              <w:rPr>
                <w:rFonts w:ascii="Arial" w:hAnsi="Arial" w:cs="Arial"/>
                <w:sz w:val="20"/>
                <w:szCs w:val="20"/>
              </w:rPr>
            </w:pPr>
            <w:r w:rsidRPr="00B01F9E">
              <w:rPr>
                <w:rFonts w:ascii="Arial" w:hAnsi="Arial" w:cs="Arial"/>
                <w:sz w:val="20"/>
                <w:szCs w:val="20"/>
              </w:rPr>
              <w:t xml:space="preserve">The simulated </w:t>
            </w:r>
            <w:r w:rsidR="00953617" w:rsidRPr="00B01F9E">
              <w:rPr>
                <w:rFonts w:ascii="Arial" w:hAnsi="Arial" w:cs="Arial"/>
                <w:sz w:val="20"/>
                <w:szCs w:val="20"/>
              </w:rPr>
              <w:t xml:space="preserve">repository of codes and other standardized data elements </w:t>
            </w:r>
            <w:r w:rsidRPr="00B01F9E">
              <w:rPr>
                <w:rFonts w:ascii="Arial" w:hAnsi="Arial" w:cs="Arial"/>
                <w:sz w:val="20"/>
                <w:szCs w:val="20"/>
              </w:rPr>
              <w:t>used in the proof of concept</w:t>
            </w:r>
            <w:r w:rsidR="003627E3" w:rsidRPr="00B01F9E">
              <w:rPr>
                <w:rFonts w:ascii="Arial" w:hAnsi="Arial" w:cs="Arial"/>
                <w:sz w:val="20"/>
                <w:szCs w:val="20"/>
              </w:rPr>
              <w:t xml:space="preserve"> because LIDR is not yet developed. </w:t>
            </w:r>
            <w:r w:rsidR="002400EF" w:rsidRPr="00B01F9E">
              <w:rPr>
                <w:rFonts w:ascii="Arial" w:hAnsi="Arial" w:cs="Arial"/>
                <w:sz w:val="20"/>
                <w:szCs w:val="20"/>
              </w:rPr>
              <w:t>The simulated LIDR was based on research related to the subset of tests, the instruments, and methods in use at Duke, utilizing information found in Duke build exports from Epic Beaker, Duke’s online test catalog, searches completed on LOINC, SNOMED CT, GUDID websites, as well as manufacturer websites.</w:t>
            </w:r>
          </w:p>
        </w:tc>
      </w:tr>
      <w:tr w:rsidR="003D7C71" w:rsidRPr="00B01F9E" w14:paraId="13A35635" w14:textId="77777777" w:rsidTr="004C61C0">
        <w:trPr>
          <w:trHeight w:val="1387"/>
        </w:trPr>
        <w:tc>
          <w:tcPr>
            <w:tcW w:w="1779" w:type="dxa"/>
          </w:tcPr>
          <w:p w14:paraId="281E1D1A" w14:textId="365A8526" w:rsidR="003D7C71" w:rsidRPr="00B01F9E" w:rsidRDefault="003D7C71" w:rsidP="003D7C71">
            <w:pPr>
              <w:rPr>
                <w:rFonts w:ascii="Arial" w:hAnsi="Arial" w:cs="Arial"/>
                <w:sz w:val="20"/>
                <w:szCs w:val="20"/>
              </w:rPr>
            </w:pPr>
            <w:r w:rsidRPr="00B01F9E">
              <w:rPr>
                <w:rFonts w:ascii="Arial" w:hAnsi="Arial" w:cs="Arial"/>
                <w:sz w:val="20"/>
                <w:szCs w:val="20"/>
              </w:rPr>
              <w:t>SNOMED CT</w:t>
            </w:r>
            <w:r w:rsidR="0015591B" w:rsidRPr="00B01F9E">
              <w:rPr>
                <w:rFonts w:ascii="Arial" w:hAnsi="Arial" w:cs="Arial"/>
                <w:sz w:val="20"/>
                <w:szCs w:val="20"/>
              </w:rPr>
              <w:t>®</w:t>
            </w:r>
          </w:p>
        </w:tc>
        <w:tc>
          <w:tcPr>
            <w:tcW w:w="7571" w:type="dxa"/>
          </w:tcPr>
          <w:p w14:paraId="264F2811" w14:textId="77777777" w:rsidR="003D7C71" w:rsidRPr="00B01F9E" w:rsidRDefault="003D7C71" w:rsidP="003D7C71">
            <w:pPr>
              <w:rPr>
                <w:rFonts w:ascii="Arial" w:hAnsi="Arial" w:cs="Arial"/>
                <w:sz w:val="20"/>
                <w:szCs w:val="20"/>
              </w:rPr>
            </w:pPr>
            <w:r w:rsidRPr="00B01F9E">
              <w:rPr>
                <w:rFonts w:ascii="Arial" w:hAnsi="Arial" w:cs="Arial"/>
                <w:sz w:val="20"/>
                <w:szCs w:val="20"/>
              </w:rPr>
              <w:t>SNOMED CT is one of a suite of designated standards for use in U.S. Federal Government systems for the electronic exchange of clinical health information and is also a required standard in interoperability specifications of the U.S. Healthcare Information Technology Standards Panel. The clinical terminology is owned and maintained by SNOMED International, a not-for-profit association.</w:t>
            </w:r>
          </w:p>
          <w:p w14:paraId="45C0E1CD" w14:textId="77777777" w:rsidR="003D7C71" w:rsidRPr="00B01F9E" w:rsidRDefault="00000000" w:rsidP="003D7C71">
            <w:pPr>
              <w:rPr>
                <w:rFonts w:ascii="Arial" w:hAnsi="Arial" w:cs="Arial"/>
                <w:sz w:val="20"/>
                <w:szCs w:val="20"/>
              </w:rPr>
            </w:pPr>
            <w:hyperlink r:id="rId121" w:history="1">
              <w:r w:rsidR="003D7C71" w:rsidRPr="00B01F9E">
                <w:rPr>
                  <w:rStyle w:val="Hyperlink"/>
                  <w:rFonts w:ascii="Arial" w:hAnsi="Arial" w:cs="Arial"/>
                  <w:sz w:val="20"/>
                  <w:szCs w:val="20"/>
                </w:rPr>
                <w:t>https://www.nlm.nih.gov/healthit/snomedct/index.html</w:t>
              </w:r>
            </w:hyperlink>
          </w:p>
        </w:tc>
      </w:tr>
      <w:tr w:rsidR="00AF122E" w:rsidRPr="00B01F9E" w14:paraId="7391EE08" w14:textId="77777777" w:rsidTr="004C61C0">
        <w:trPr>
          <w:trHeight w:val="679"/>
        </w:trPr>
        <w:tc>
          <w:tcPr>
            <w:tcW w:w="1779" w:type="dxa"/>
          </w:tcPr>
          <w:p w14:paraId="3DE8EC6E" w14:textId="7B386F85" w:rsidR="00AF122E" w:rsidRPr="00B01F9E" w:rsidRDefault="00AF122E" w:rsidP="003D7C71">
            <w:pPr>
              <w:rPr>
                <w:rFonts w:ascii="Arial" w:hAnsi="Arial" w:cs="Arial"/>
                <w:sz w:val="20"/>
                <w:szCs w:val="20"/>
              </w:rPr>
            </w:pPr>
            <w:r w:rsidRPr="00B01F9E">
              <w:rPr>
                <w:rFonts w:ascii="Arial" w:hAnsi="Arial" w:cs="Arial"/>
                <w:sz w:val="20"/>
                <w:szCs w:val="20"/>
              </w:rPr>
              <w:t xml:space="preserve">Spring-Based Scheduler </w:t>
            </w:r>
          </w:p>
        </w:tc>
        <w:tc>
          <w:tcPr>
            <w:tcW w:w="7571" w:type="dxa"/>
          </w:tcPr>
          <w:p w14:paraId="2BC3048A" w14:textId="0146CC73" w:rsidR="00AF122E" w:rsidRPr="00B01F9E" w:rsidRDefault="004E2A30" w:rsidP="003D7C71">
            <w:pPr>
              <w:rPr>
                <w:rFonts w:ascii="Arial" w:hAnsi="Arial" w:cs="Arial"/>
                <w:sz w:val="20"/>
                <w:szCs w:val="20"/>
              </w:rPr>
            </w:pPr>
            <w:r w:rsidRPr="00B01F9E">
              <w:rPr>
                <w:rFonts w:ascii="Arial" w:hAnsi="Arial" w:cs="Arial"/>
                <w:sz w:val="20"/>
                <w:szCs w:val="20"/>
              </w:rPr>
              <w:t>A flexible task scheduling framework built on top of the Spring framework. It provides a programmatic way to schedule tasks, making it easy to manage and automate various time-based operations within the Spring applications.</w:t>
            </w:r>
          </w:p>
        </w:tc>
      </w:tr>
      <w:tr w:rsidR="009E3B5D" w:rsidRPr="00B01F9E" w14:paraId="07477A55" w14:textId="77777777" w:rsidTr="004C61C0">
        <w:trPr>
          <w:trHeight w:val="924"/>
        </w:trPr>
        <w:tc>
          <w:tcPr>
            <w:tcW w:w="1779" w:type="dxa"/>
          </w:tcPr>
          <w:p w14:paraId="370E647A" w14:textId="3FAB0207" w:rsidR="009E3B5D" w:rsidRPr="00B01F9E" w:rsidRDefault="009E3B5D" w:rsidP="009E3B5D">
            <w:pPr>
              <w:rPr>
                <w:rFonts w:ascii="Arial" w:hAnsi="Arial" w:cs="Arial"/>
                <w:sz w:val="20"/>
                <w:szCs w:val="20"/>
              </w:rPr>
            </w:pPr>
            <w:r w:rsidRPr="00B01F9E">
              <w:rPr>
                <w:rFonts w:ascii="Arial" w:hAnsi="Arial" w:cs="Arial"/>
                <w:sz w:val="20"/>
                <w:szCs w:val="20"/>
              </w:rPr>
              <w:t xml:space="preserve">Standard Development Organizations (SDOs) </w:t>
            </w:r>
          </w:p>
        </w:tc>
        <w:tc>
          <w:tcPr>
            <w:tcW w:w="7571" w:type="dxa"/>
          </w:tcPr>
          <w:p w14:paraId="3E316048" w14:textId="61BFBF47" w:rsidR="00F4193E" w:rsidRPr="00B01F9E" w:rsidRDefault="009E3B5D" w:rsidP="009E3B5D">
            <w:pPr>
              <w:rPr>
                <w:rFonts w:ascii="Arial" w:hAnsi="Arial" w:cs="Arial"/>
                <w:sz w:val="20"/>
                <w:szCs w:val="20"/>
              </w:rPr>
            </w:pPr>
            <w:r w:rsidRPr="00B01F9E">
              <w:rPr>
                <w:rFonts w:ascii="Arial" w:hAnsi="Arial" w:cs="Arial"/>
                <w:sz w:val="20"/>
                <w:szCs w:val="20"/>
              </w:rPr>
              <w:t xml:space="preserve">SDOs are member-supported organizations, often accredited by the American National Standards Institute (ANSI), who develop and maintain standards to meet industry needs. Members include health care providers, insurers, health IT software developers, patients, care givers, and others. </w:t>
            </w:r>
            <w:hyperlink r:id="rId122" w:history="1">
              <w:r w:rsidR="00F4193E" w:rsidRPr="00B01F9E">
                <w:rPr>
                  <w:rStyle w:val="Hyperlink"/>
                  <w:rFonts w:ascii="Arial" w:hAnsi="Arial" w:cs="Arial"/>
                  <w:sz w:val="20"/>
                  <w:szCs w:val="20"/>
                </w:rPr>
                <w:t>https://www.healthit.gov/playbook/sdo-education/chapter-2/</w:t>
              </w:r>
            </w:hyperlink>
          </w:p>
        </w:tc>
      </w:tr>
      <w:tr w:rsidR="000E1DD1" w:rsidRPr="00B01F9E" w14:paraId="06788D52" w14:textId="77777777" w:rsidTr="004C61C0">
        <w:trPr>
          <w:trHeight w:val="1373"/>
        </w:trPr>
        <w:tc>
          <w:tcPr>
            <w:tcW w:w="1779" w:type="dxa"/>
          </w:tcPr>
          <w:p w14:paraId="289F542D" w14:textId="303BD223" w:rsidR="000E1DD1" w:rsidRPr="00B01F9E" w:rsidRDefault="003E6C65" w:rsidP="009E3B5D">
            <w:pPr>
              <w:rPr>
                <w:rFonts w:ascii="Arial" w:hAnsi="Arial" w:cs="Arial"/>
                <w:sz w:val="20"/>
                <w:szCs w:val="20"/>
              </w:rPr>
            </w:pPr>
            <w:proofErr w:type="spellStart"/>
            <w:r w:rsidRPr="00B01F9E">
              <w:rPr>
                <w:rStyle w:val="ui-provider"/>
                <w:rFonts w:ascii="Arial" w:hAnsi="Arial" w:cs="Arial"/>
                <w:sz w:val="20"/>
                <w:szCs w:val="20"/>
              </w:rPr>
              <w:t>TermINology</w:t>
            </w:r>
            <w:proofErr w:type="spellEnd"/>
            <w:r w:rsidRPr="00B01F9E">
              <w:rPr>
                <w:rStyle w:val="ui-provider"/>
                <w:rFonts w:ascii="Arial" w:hAnsi="Arial" w:cs="Arial"/>
                <w:sz w:val="20"/>
                <w:szCs w:val="20"/>
              </w:rPr>
              <w:t xml:space="preserve"> Knowledge </w:t>
            </w:r>
            <w:proofErr w:type="spellStart"/>
            <w:r w:rsidRPr="00B01F9E">
              <w:rPr>
                <w:rStyle w:val="ui-provider"/>
                <w:rFonts w:ascii="Arial" w:hAnsi="Arial" w:cs="Arial"/>
                <w:sz w:val="20"/>
                <w:szCs w:val="20"/>
              </w:rPr>
              <w:t>ARchitecture</w:t>
            </w:r>
            <w:proofErr w:type="spellEnd"/>
            <w:r w:rsidRPr="00B01F9E">
              <w:rPr>
                <w:rStyle w:val="ui-provider"/>
                <w:rFonts w:ascii="Arial" w:hAnsi="Arial" w:cs="Arial"/>
                <w:sz w:val="20"/>
                <w:szCs w:val="20"/>
              </w:rPr>
              <w:t xml:space="preserve"> (TINKAR)</w:t>
            </w:r>
          </w:p>
        </w:tc>
        <w:tc>
          <w:tcPr>
            <w:tcW w:w="7571" w:type="dxa"/>
          </w:tcPr>
          <w:p w14:paraId="675AEC1F" w14:textId="77777777" w:rsidR="007E6281" w:rsidRPr="00B01F9E" w:rsidRDefault="007E6281" w:rsidP="007E6281">
            <w:pPr>
              <w:rPr>
                <w:rFonts w:ascii="Arial" w:hAnsi="Arial" w:cs="Arial"/>
                <w:sz w:val="20"/>
                <w:szCs w:val="20"/>
              </w:rPr>
            </w:pPr>
            <w:r w:rsidRPr="00B01F9E">
              <w:rPr>
                <w:rFonts w:ascii="Arial" w:hAnsi="Arial" w:cs="Arial"/>
                <w:sz w:val="20"/>
                <w:szCs w:val="20"/>
              </w:rPr>
              <w:t xml:space="preserve">The </w:t>
            </w:r>
            <w:proofErr w:type="spellStart"/>
            <w:r w:rsidRPr="00B01F9E">
              <w:rPr>
                <w:rFonts w:ascii="Arial" w:hAnsi="Arial" w:cs="Arial"/>
                <w:sz w:val="20"/>
                <w:szCs w:val="20"/>
              </w:rPr>
              <w:t>TermINology</w:t>
            </w:r>
            <w:proofErr w:type="spellEnd"/>
            <w:r w:rsidRPr="00B01F9E">
              <w:rPr>
                <w:rFonts w:ascii="Arial" w:hAnsi="Arial" w:cs="Arial"/>
                <w:sz w:val="20"/>
                <w:szCs w:val="20"/>
              </w:rPr>
              <w:t xml:space="preserve"> Knowledge </w:t>
            </w:r>
            <w:proofErr w:type="spellStart"/>
            <w:r w:rsidRPr="00B01F9E">
              <w:rPr>
                <w:rFonts w:ascii="Arial" w:hAnsi="Arial" w:cs="Arial"/>
                <w:sz w:val="20"/>
                <w:szCs w:val="20"/>
              </w:rPr>
              <w:t>ARchitecture</w:t>
            </w:r>
            <w:proofErr w:type="spellEnd"/>
            <w:r w:rsidRPr="00B01F9E">
              <w:rPr>
                <w:rFonts w:ascii="Arial" w:hAnsi="Arial" w:cs="Arial"/>
                <w:sz w:val="20"/>
                <w:szCs w:val="20"/>
              </w:rPr>
              <w:t xml:space="preserve"> (TINKAR) is intended to provide an architecture that delivers integrated terminology to the enterprise and its information systems, that addresses the differences in management and structure across reference terminology and with local concepts and code lists/value sets.  </w:t>
            </w:r>
          </w:p>
          <w:p w14:paraId="036CF826" w14:textId="6B985F83" w:rsidR="000E1DD1" w:rsidRPr="00B01F9E" w:rsidRDefault="00000000" w:rsidP="009E3B5D">
            <w:pPr>
              <w:rPr>
                <w:rFonts w:ascii="Arial" w:hAnsi="Arial" w:cs="Arial"/>
                <w:sz w:val="20"/>
                <w:szCs w:val="20"/>
              </w:rPr>
            </w:pPr>
            <w:hyperlink r:id="rId123" w:history="1">
              <w:r w:rsidR="006416D6" w:rsidRPr="00B01F9E">
                <w:rPr>
                  <w:rStyle w:val="Hyperlink"/>
                  <w:rFonts w:ascii="Arial" w:hAnsi="Arial" w:cs="Arial"/>
                  <w:sz w:val="20"/>
                  <w:szCs w:val="20"/>
                </w:rPr>
                <w:t>https://confluence.hl7.org/download/attachments/82907521/Tinkar%20Project%20Summary%20-%20Sept%20WGM.pptx?api=v2</w:t>
              </w:r>
            </w:hyperlink>
            <w:r w:rsidR="006416D6" w:rsidRPr="00B01F9E">
              <w:rPr>
                <w:rFonts w:ascii="Arial" w:hAnsi="Arial" w:cs="Arial"/>
                <w:sz w:val="20"/>
                <w:szCs w:val="20"/>
              </w:rPr>
              <w:t xml:space="preserve"> </w:t>
            </w:r>
          </w:p>
        </w:tc>
      </w:tr>
      <w:tr w:rsidR="009742B1" w:rsidRPr="00B01F9E" w14:paraId="5BE68C8B" w14:textId="77777777" w:rsidTr="004C61C0">
        <w:trPr>
          <w:trHeight w:val="462"/>
        </w:trPr>
        <w:tc>
          <w:tcPr>
            <w:tcW w:w="1779" w:type="dxa"/>
          </w:tcPr>
          <w:p w14:paraId="07F4053F" w14:textId="22CA785D" w:rsidR="009742B1" w:rsidRPr="00B01F9E" w:rsidRDefault="006E6BD7" w:rsidP="00AB3160">
            <w:pPr>
              <w:rPr>
                <w:rFonts w:ascii="Arial" w:hAnsi="Arial" w:cs="Arial"/>
                <w:sz w:val="20"/>
                <w:szCs w:val="20"/>
              </w:rPr>
            </w:pPr>
            <w:r w:rsidRPr="00B01F9E">
              <w:rPr>
                <w:rFonts w:ascii="Arial" w:hAnsi="Arial" w:cs="Arial"/>
                <w:sz w:val="20"/>
                <w:szCs w:val="20"/>
              </w:rPr>
              <w:t>Unified Code for Units of Measure (</w:t>
            </w:r>
            <w:r w:rsidR="00814AF1" w:rsidRPr="00B01F9E">
              <w:rPr>
                <w:rFonts w:ascii="Arial" w:hAnsi="Arial" w:cs="Arial"/>
                <w:sz w:val="20"/>
                <w:szCs w:val="20"/>
              </w:rPr>
              <w:t>UCUM</w:t>
            </w:r>
            <w:r w:rsidRPr="00B01F9E">
              <w:rPr>
                <w:rFonts w:ascii="Arial" w:hAnsi="Arial" w:cs="Arial"/>
                <w:sz w:val="20"/>
                <w:szCs w:val="20"/>
              </w:rPr>
              <w:t>)</w:t>
            </w:r>
          </w:p>
        </w:tc>
        <w:tc>
          <w:tcPr>
            <w:tcW w:w="7571" w:type="dxa"/>
          </w:tcPr>
          <w:p w14:paraId="3779EF85" w14:textId="56F0FAD1" w:rsidR="009742B1" w:rsidRPr="00B01F9E" w:rsidRDefault="0047311E" w:rsidP="00AB3160">
            <w:pPr>
              <w:rPr>
                <w:rFonts w:ascii="Arial" w:hAnsi="Arial" w:cs="Arial"/>
                <w:sz w:val="20"/>
                <w:szCs w:val="20"/>
              </w:rPr>
            </w:pPr>
            <w:r w:rsidRPr="00B01F9E">
              <w:rPr>
                <w:rFonts w:ascii="Arial" w:hAnsi="Arial" w:cs="Arial"/>
                <w:sz w:val="20"/>
                <w:szCs w:val="20"/>
              </w:rPr>
              <w:t>The Unified Code for Units of Measure is a code system intended to include all units of measure used in science, engineering and business.</w:t>
            </w:r>
          </w:p>
        </w:tc>
      </w:tr>
      <w:tr w:rsidR="00AB3160" w:rsidRPr="00B01F9E" w14:paraId="516184D4" w14:textId="77777777" w:rsidTr="004C61C0">
        <w:trPr>
          <w:trHeight w:val="1604"/>
        </w:trPr>
        <w:tc>
          <w:tcPr>
            <w:tcW w:w="1779" w:type="dxa"/>
          </w:tcPr>
          <w:p w14:paraId="7C2EF5D5" w14:textId="77777777" w:rsidR="00AB3160" w:rsidRPr="00B01F9E" w:rsidRDefault="00AB3160" w:rsidP="00AB3160">
            <w:pPr>
              <w:rPr>
                <w:rFonts w:ascii="Arial" w:hAnsi="Arial" w:cs="Arial"/>
                <w:sz w:val="20"/>
                <w:szCs w:val="20"/>
              </w:rPr>
            </w:pPr>
            <w:r w:rsidRPr="00B01F9E">
              <w:rPr>
                <w:rFonts w:ascii="Arial" w:hAnsi="Arial" w:cs="Arial"/>
                <w:sz w:val="20"/>
                <w:szCs w:val="20"/>
              </w:rPr>
              <w:lastRenderedPageBreak/>
              <w:t>Unique Device Identifier (UDI)</w:t>
            </w:r>
          </w:p>
        </w:tc>
        <w:tc>
          <w:tcPr>
            <w:tcW w:w="7571" w:type="dxa"/>
          </w:tcPr>
          <w:p w14:paraId="1CB11AE5" w14:textId="4D2F8A9E" w:rsidR="00AB3160" w:rsidRPr="00B01F9E" w:rsidRDefault="00AB3160" w:rsidP="00AB3160">
            <w:pPr>
              <w:rPr>
                <w:rFonts w:ascii="Arial" w:hAnsi="Arial" w:cs="Arial"/>
                <w:sz w:val="20"/>
                <w:szCs w:val="20"/>
              </w:rPr>
            </w:pPr>
            <w:r w:rsidRPr="00B01F9E">
              <w:rPr>
                <w:rFonts w:ascii="Arial" w:hAnsi="Arial" w:cs="Arial"/>
                <w:sz w:val="20"/>
                <w:szCs w:val="20"/>
              </w:rPr>
              <w:t>The FDA established the unique device identification system to adequately identify medical devices sold in the United States from manufacturing through distribution to patient use. When fully implemented, the label of most devices will include a unique device identifier (UDI) in human- and machine-readable form, which will ultimately improve patient safety, modernize device post-market surveillance, and facilitate medical device innovation.</w:t>
            </w:r>
            <w:r w:rsidR="00CA531C" w:rsidRPr="00B01F9E">
              <w:rPr>
                <w:rFonts w:ascii="Arial" w:hAnsi="Arial" w:cs="Arial"/>
                <w:sz w:val="20"/>
                <w:szCs w:val="20"/>
              </w:rPr>
              <w:t xml:space="preserve"> </w:t>
            </w:r>
            <w:hyperlink r:id="rId124" w:history="1">
              <w:r w:rsidR="00CA531C" w:rsidRPr="00B01F9E">
                <w:rPr>
                  <w:rStyle w:val="Hyperlink"/>
                  <w:rFonts w:ascii="Arial" w:hAnsi="Arial" w:cs="Arial"/>
                  <w:sz w:val="20"/>
                  <w:szCs w:val="20"/>
                </w:rPr>
                <w:t>https://www.fda.gov/medical-devices/device-advice-comprehensive-regulatoryassistance/unique-device-identification-system-udi-system</w:t>
              </w:r>
            </w:hyperlink>
          </w:p>
        </w:tc>
      </w:tr>
      <w:tr w:rsidR="00215558" w:rsidRPr="00B01F9E" w14:paraId="270564FB" w14:textId="77777777" w:rsidTr="004C61C0">
        <w:trPr>
          <w:trHeight w:val="448"/>
        </w:trPr>
        <w:tc>
          <w:tcPr>
            <w:tcW w:w="1779" w:type="dxa"/>
          </w:tcPr>
          <w:p w14:paraId="154572A9" w14:textId="5AFD56CD" w:rsidR="00215558" w:rsidRPr="00B01F9E" w:rsidRDefault="00E6159D" w:rsidP="00AB3160">
            <w:pPr>
              <w:rPr>
                <w:rStyle w:val="normaltextrun"/>
                <w:rFonts w:ascii="Arial" w:hAnsi="Arial" w:cs="Arial"/>
                <w:sz w:val="20"/>
                <w:szCs w:val="20"/>
              </w:rPr>
            </w:pPr>
            <w:r w:rsidRPr="00B01F9E">
              <w:rPr>
                <w:rStyle w:val="normaltextrun"/>
                <w:rFonts w:ascii="Arial" w:hAnsi="Arial" w:cs="Arial"/>
                <w:sz w:val="20"/>
                <w:szCs w:val="20"/>
              </w:rPr>
              <w:t>Units of Measure</w:t>
            </w:r>
            <w:r w:rsidR="006E6BD7" w:rsidRPr="00B01F9E">
              <w:rPr>
                <w:rStyle w:val="normaltextrun"/>
                <w:rFonts w:ascii="Arial" w:hAnsi="Arial" w:cs="Arial"/>
                <w:sz w:val="20"/>
                <w:szCs w:val="20"/>
              </w:rPr>
              <w:t xml:space="preserve"> (UOM</w:t>
            </w:r>
            <w:r w:rsidRPr="00B01F9E">
              <w:rPr>
                <w:rStyle w:val="normaltextrun"/>
                <w:rFonts w:ascii="Arial" w:hAnsi="Arial" w:cs="Arial"/>
                <w:sz w:val="20"/>
                <w:szCs w:val="20"/>
              </w:rPr>
              <w:t>)</w:t>
            </w:r>
          </w:p>
        </w:tc>
        <w:tc>
          <w:tcPr>
            <w:tcW w:w="7571" w:type="dxa"/>
          </w:tcPr>
          <w:p w14:paraId="244C87E0" w14:textId="4D87299C" w:rsidR="00215558" w:rsidRPr="00B01F9E" w:rsidRDefault="009742B1" w:rsidP="00215558">
            <w:pPr>
              <w:rPr>
                <w:rFonts w:ascii="Arial" w:hAnsi="Arial" w:cs="Arial"/>
                <w:sz w:val="20"/>
                <w:szCs w:val="20"/>
              </w:rPr>
            </w:pPr>
            <w:r w:rsidRPr="00B01F9E">
              <w:rPr>
                <w:rFonts w:ascii="Arial" w:hAnsi="Arial" w:cs="Arial"/>
                <w:sz w:val="20"/>
                <w:szCs w:val="20"/>
              </w:rPr>
              <w:t>Utilized for quantitative test results and required for proper interpretation by the clinician.</w:t>
            </w:r>
          </w:p>
        </w:tc>
      </w:tr>
      <w:tr w:rsidR="005D663D" w:rsidRPr="00B01F9E" w14:paraId="532F73D4" w14:textId="77777777" w:rsidTr="004C61C0">
        <w:trPr>
          <w:trHeight w:val="924"/>
        </w:trPr>
        <w:tc>
          <w:tcPr>
            <w:tcW w:w="1779" w:type="dxa"/>
          </w:tcPr>
          <w:p w14:paraId="67D186EC" w14:textId="4A1EDBEE" w:rsidR="005D663D" w:rsidRPr="00B01F9E" w:rsidRDefault="00D50016" w:rsidP="00AB3160">
            <w:pPr>
              <w:rPr>
                <w:rStyle w:val="normaltextrun"/>
                <w:rFonts w:ascii="Arial" w:hAnsi="Arial" w:cs="Arial"/>
                <w:sz w:val="20"/>
                <w:szCs w:val="20"/>
              </w:rPr>
            </w:pPr>
            <w:r w:rsidRPr="00B01F9E">
              <w:rPr>
                <w:rStyle w:val="normaltextrun"/>
                <w:rFonts w:ascii="Arial" w:hAnsi="Arial" w:cs="Arial"/>
                <w:sz w:val="20"/>
                <w:szCs w:val="20"/>
              </w:rPr>
              <w:t>Understandable, Reproducible and Useful</w:t>
            </w:r>
            <w:r w:rsidR="006E6BD7" w:rsidRPr="00B01F9E">
              <w:rPr>
                <w:rStyle w:val="normaltextrun"/>
                <w:rFonts w:ascii="Arial" w:hAnsi="Arial" w:cs="Arial"/>
                <w:sz w:val="20"/>
                <w:szCs w:val="20"/>
              </w:rPr>
              <w:t xml:space="preserve"> (URU</w:t>
            </w:r>
            <w:r w:rsidRPr="00B01F9E">
              <w:rPr>
                <w:rStyle w:val="normaltextrun"/>
                <w:rFonts w:ascii="Arial" w:hAnsi="Arial" w:cs="Arial"/>
                <w:sz w:val="20"/>
                <w:szCs w:val="20"/>
              </w:rPr>
              <w:t>)</w:t>
            </w:r>
          </w:p>
        </w:tc>
        <w:tc>
          <w:tcPr>
            <w:tcW w:w="7571" w:type="dxa"/>
          </w:tcPr>
          <w:p w14:paraId="6C31F275" w14:textId="128A63FB" w:rsidR="00215558" w:rsidRPr="00B01F9E" w:rsidRDefault="00215558" w:rsidP="00215558">
            <w:pPr>
              <w:rPr>
                <w:rFonts w:ascii="Arial" w:hAnsi="Arial" w:cs="Arial"/>
                <w:sz w:val="20"/>
                <w:szCs w:val="20"/>
              </w:rPr>
            </w:pPr>
            <w:r w:rsidRPr="00B01F9E">
              <w:rPr>
                <w:rFonts w:ascii="Arial" w:hAnsi="Arial" w:cs="Arial"/>
                <w:sz w:val="20"/>
                <w:szCs w:val="20"/>
              </w:rPr>
              <w:t xml:space="preserve">Understandable. The meaning of a concept can be understood by most healthcare providers, without reference to private or inaccessible information. Reproducible. Multiple users apply the concept to the same situations. Useful. The concept has a practical value to users that is self-evident or can be readily explained. </w:t>
            </w:r>
            <w:hyperlink r:id="rId125" w:history="1">
              <w:r w:rsidRPr="00B01F9E">
                <w:rPr>
                  <w:rStyle w:val="Hyperlink"/>
                  <w:rFonts w:ascii="Arial" w:hAnsi="Arial" w:cs="Arial"/>
                  <w:sz w:val="20"/>
                  <w:szCs w:val="20"/>
                </w:rPr>
                <w:t>https://confluence.ihtsdotools.org/display/DOCGLOSS/URU</w:t>
              </w:r>
            </w:hyperlink>
          </w:p>
        </w:tc>
      </w:tr>
      <w:tr w:rsidR="00C35124" w:rsidRPr="00B01F9E" w14:paraId="79D9F4FB" w14:textId="77777777" w:rsidTr="004C61C0">
        <w:trPr>
          <w:trHeight w:val="1373"/>
        </w:trPr>
        <w:tc>
          <w:tcPr>
            <w:tcW w:w="1779" w:type="dxa"/>
          </w:tcPr>
          <w:p w14:paraId="230A7DB8" w14:textId="22220C84" w:rsidR="00C35124" w:rsidRPr="00B01F9E" w:rsidRDefault="00C35124" w:rsidP="00AB3160">
            <w:pPr>
              <w:rPr>
                <w:rFonts w:ascii="Arial" w:hAnsi="Arial" w:cs="Arial"/>
                <w:sz w:val="20"/>
                <w:szCs w:val="20"/>
              </w:rPr>
            </w:pPr>
            <w:r w:rsidRPr="00B01F9E">
              <w:rPr>
                <w:rStyle w:val="normaltextrun"/>
                <w:rFonts w:ascii="Arial" w:hAnsi="Arial" w:cs="Arial"/>
                <w:sz w:val="20"/>
                <w:szCs w:val="20"/>
              </w:rPr>
              <w:t>United States Core Data for Interoperability extension</w:t>
            </w:r>
            <w:r w:rsidR="008561E4" w:rsidRPr="00B01F9E">
              <w:rPr>
                <w:rStyle w:val="normaltextrun"/>
                <w:rFonts w:ascii="Arial" w:hAnsi="Arial" w:cs="Arial"/>
                <w:sz w:val="20"/>
                <w:szCs w:val="20"/>
              </w:rPr>
              <w:t xml:space="preserve"> (USCDI+)</w:t>
            </w:r>
          </w:p>
        </w:tc>
        <w:tc>
          <w:tcPr>
            <w:tcW w:w="7571" w:type="dxa"/>
          </w:tcPr>
          <w:p w14:paraId="6485BE14" w14:textId="75C1661A" w:rsidR="003B7200" w:rsidRPr="00B01F9E" w:rsidRDefault="003B7200" w:rsidP="00A46F19">
            <w:pPr>
              <w:rPr>
                <w:rFonts w:ascii="Arial" w:hAnsi="Arial" w:cs="Arial"/>
                <w:sz w:val="20"/>
                <w:szCs w:val="20"/>
              </w:rPr>
            </w:pPr>
            <w:r w:rsidRPr="00B01F9E">
              <w:rPr>
                <w:rFonts w:ascii="Arial" w:hAnsi="Arial" w:cs="Arial"/>
                <w:sz w:val="20"/>
                <w:szCs w:val="20"/>
              </w:rPr>
              <w:t>The United States Core Data for Interoperability (USCDI</w:t>
            </w:r>
            <w:r w:rsidR="005D663D" w:rsidRPr="00B01F9E">
              <w:rPr>
                <w:rFonts w:ascii="Arial" w:hAnsi="Arial" w:cs="Arial"/>
                <w:sz w:val="20"/>
                <w:szCs w:val="20"/>
              </w:rPr>
              <w:t>+</w:t>
            </w:r>
            <w:r w:rsidRPr="00B01F9E">
              <w:rPr>
                <w:rFonts w:ascii="Arial" w:hAnsi="Arial" w:cs="Arial"/>
                <w:sz w:val="20"/>
                <w:szCs w:val="20"/>
              </w:rPr>
              <w:t xml:space="preserve">) is a standardized set of health data classes and constituent data elements for nationwide, interoperable health information exchange. A USCDI Data Class is an aggregation of Data Elements by a common theme or use case. A USCDI Data Element is a piece of data defined in USCDI for access, exchange or use of electronic health information. </w:t>
            </w:r>
            <w:hyperlink r:id="rId126" w:history="1">
              <w:r w:rsidRPr="00B01F9E">
                <w:rPr>
                  <w:rStyle w:val="Hyperlink"/>
                  <w:rFonts w:ascii="Arial" w:hAnsi="Arial" w:cs="Arial"/>
                  <w:sz w:val="20"/>
                  <w:szCs w:val="20"/>
                </w:rPr>
                <w:t>https://www.healthit.gov/isa/united-states-core-data-interoperability-uscdi</w:t>
              </w:r>
            </w:hyperlink>
          </w:p>
        </w:tc>
      </w:tr>
      <w:tr w:rsidR="009C6095" w:rsidRPr="00B01F9E" w14:paraId="0CA21D0A" w14:textId="77777777" w:rsidTr="00CA531C">
        <w:trPr>
          <w:trHeight w:val="144"/>
        </w:trPr>
        <w:tc>
          <w:tcPr>
            <w:tcW w:w="1779" w:type="dxa"/>
          </w:tcPr>
          <w:p w14:paraId="598F7A7C" w14:textId="46217CF6" w:rsidR="007E2C54" w:rsidRPr="00B01F9E" w:rsidRDefault="007E2C54" w:rsidP="00CA531C">
            <w:pPr>
              <w:rPr>
                <w:rFonts w:ascii="Arial" w:hAnsi="Arial" w:cs="Arial"/>
                <w:sz w:val="20"/>
                <w:szCs w:val="20"/>
              </w:rPr>
            </w:pPr>
            <w:r w:rsidRPr="00B01F9E">
              <w:rPr>
                <w:rFonts w:ascii="Arial" w:eastAsia="Calibri" w:hAnsi="Arial" w:cs="Arial"/>
                <w:color w:val="000000"/>
                <w:kern w:val="2"/>
                <w:sz w:val="20"/>
                <w:szCs w:val="20"/>
                <w14:ligatures w14:val="standardContextual"/>
              </w:rPr>
              <w:t>W</w:t>
            </w:r>
            <w:r w:rsidRPr="00B01F9E">
              <w:rPr>
                <w:rFonts w:ascii="Arial" w:eastAsia="Calibri" w:hAnsi="Arial" w:cs="Arial"/>
                <w:color w:val="000000"/>
                <w:kern w:val="2"/>
                <w:sz w:val="20"/>
                <w:szCs w:val="20"/>
                <w:vertAlign w:val="subscript"/>
                <w14:ligatures w14:val="standardContextual"/>
              </w:rPr>
              <w:t>5</w:t>
            </w:r>
            <w:r w:rsidRPr="00B01F9E">
              <w:rPr>
                <w:rFonts w:ascii="Arial" w:eastAsia="Calibri" w:hAnsi="Arial" w:cs="Arial"/>
                <w:color w:val="000000"/>
                <w:kern w:val="2"/>
                <w:sz w:val="20"/>
                <w:szCs w:val="20"/>
                <w14:ligatures w14:val="standardContextual"/>
              </w:rPr>
              <w:t>H</w:t>
            </w:r>
          </w:p>
        </w:tc>
        <w:tc>
          <w:tcPr>
            <w:tcW w:w="7571" w:type="dxa"/>
          </w:tcPr>
          <w:p w14:paraId="705ACF45" w14:textId="110E08B0" w:rsidR="009C6095" w:rsidRPr="00B01F9E" w:rsidRDefault="00E96FF4" w:rsidP="00CA531C">
            <w:pPr>
              <w:rPr>
                <w:rFonts w:ascii="Arial" w:hAnsi="Arial" w:cs="Arial"/>
                <w:sz w:val="20"/>
                <w:szCs w:val="20"/>
              </w:rPr>
            </w:pPr>
            <w:r w:rsidRPr="00B01F9E">
              <w:rPr>
                <w:rFonts w:ascii="Arial" w:hAnsi="Arial" w:cs="Arial"/>
                <w:sz w:val="20"/>
                <w:szCs w:val="20"/>
              </w:rPr>
              <w:t xml:space="preserve">Shorthand for What, Who, Where, </w:t>
            </w:r>
            <w:proofErr w:type="gramStart"/>
            <w:r w:rsidRPr="00B01F9E">
              <w:rPr>
                <w:rFonts w:ascii="Arial" w:hAnsi="Arial" w:cs="Arial"/>
                <w:sz w:val="20"/>
                <w:szCs w:val="20"/>
              </w:rPr>
              <w:t>When,</w:t>
            </w:r>
            <w:proofErr w:type="gramEnd"/>
            <w:r w:rsidRPr="00B01F9E">
              <w:rPr>
                <w:rFonts w:ascii="Arial" w:hAnsi="Arial" w:cs="Arial"/>
                <w:sz w:val="20"/>
                <w:szCs w:val="20"/>
              </w:rPr>
              <w:t xml:space="preserve"> Why and How. </w:t>
            </w:r>
          </w:p>
        </w:tc>
      </w:tr>
      <w:tr w:rsidR="008561E4" w:rsidRPr="00B01F9E" w14:paraId="0C2D62D0" w14:textId="77777777" w:rsidTr="004C61C0">
        <w:trPr>
          <w:trHeight w:val="679"/>
        </w:trPr>
        <w:tc>
          <w:tcPr>
            <w:tcW w:w="1779" w:type="dxa"/>
          </w:tcPr>
          <w:p w14:paraId="78A59702" w14:textId="74F8614F" w:rsidR="008561E4" w:rsidRPr="00B01F9E" w:rsidRDefault="00F55107" w:rsidP="00AB3160">
            <w:pPr>
              <w:rPr>
                <w:rStyle w:val="normaltextrun"/>
                <w:rFonts w:ascii="Arial" w:hAnsi="Arial" w:cs="Arial"/>
                <w:sz w:val="20"/>
                <w:szCs w:val="20"/>
              </w:rPr>
            </w:pPr>
            <w:r w:rsidRPr="00B01F9E">
              <w:rPr>
                <w:rFonts w:ascii="Arial" w:hAnsi="Arial" w:cs="Arial"/>
                <w:sz w:val="20"/>
                <w:szCs w:val="20"/>
              </w:rPr>
              <w:t>World Health Organization (WHO)</w:t>
            </w:r>
          </w:p>
        </w:tc>
        <w:tc>
          <w:tcPr>
            <w:tcW w:w="7571" w:type="dxa"/>
          </w:tcPr>
          <w:p w14:paraId="5C9FD1A7" w14:textId="77777777" w:rsidR="008561E4" w:rsidRPr="00B01F9E" w:rsidRDefault="0067652A" w:rsidP="00AB3160">
            <w:pPr>
              <w:rPr>
                <w:rFonts w:ascii="Arial" w:hAnsi="Arial" w:cs="Arial"/>
                <w:sz w:val="20"/>
                <w:szCs w:val="20"/>
              </w:rPr>
            </w:pPr>
            <w:r w:rsidRPr="00B01F9E">
              <w:rPr>
                <w:rFonts w:ascii="Arial" w:hAnsi="Arial" w:cs="Arial"/>
                <w:sz w:val="20"/>
                <w:szCs w:val="20"/>
              </w:rPr>
              <w:t>WHO is the United Nations agency that connects nations, partners and people to promote health, keep the world safe and serve the vulnerable – so everyone, everywhere can attain the highest level of health. </w:t>
            </w:r>
          </w:p>
          <w:p w14:paraId="039F2A7B" w14:textId="0A11944A" w:rsidR="008561E4" w:rsidRPr="00B01F9E" w:rsidRDefault="00000000" w:rsidP="00AB3160">
            <w:pPr>
              <w:rPr>
                <w:rFonts w:ascii="Arial" w:hAnsi="Arial" w:cs="Arial"/>
                <w:sz w:val="20"/>
                <w:szCs w:val="20"/>
              </w:rPr>
            </w:pPr>
            <w:hyperlink r:id="rId127" w:history="1">
              <w:r w:rsidR="0067652A" w:rsidRPr="00B01F9E">
                <w:rPr>
                  <w:rStyle w:val="Hyperlink"/>
                  <w:rFonts w:ascii="Arial" w:hAnsi="Arial" w:cs="Arial"/>
                  <w:sz w:val="20"/>
                  <w:szCs w:val="20"/>
                </w:rPr>
                <w:t>https://www.who.int/about</w:t>
              </w:r>
            </w:hyperlink>
            <w:r w:rsidR="0067652A" w:rsidRPr="00B01F9E">
              <w:rPr>
                <w:rFonts w:ascii="Arial" w:hAnsi="Arial" w:cs="Arial"/>
                <w:sz w:val="20"/>
                <w:szCs w:val="20"/>
              </w:rPr>
              <w:t xml:space="preserve"> </w:t>
            </w:r>
          </w:p>
        </w:tc>
      </w:tr>
      <w:tr w:rsidR="00ED7139" w:rsidRPr="00B01F9E" w14:paraId="6431D9C7" w14:textId="77777777" w:rsidTr="004C61C0">
        <w:trPr>
          <w:trHeight w:val="679"/>
        </w:trPr>
        <w:tc>
          <w:tcPr>
            <w:tcW w:w="1779" w:type="dxa"/>
          </w:tcPr>
          <w:p w14:paraId="2F9E2846" w14:textId="1E8FEFD7" w:rsidR="00ED7139" w:rsidRPr="00B01F9E" w:rsidRDefault="00A260CD" w:rsidP="00AB3160">
            <w:pPr>
              <w:rPr>
                <w:rFonts w:ascii="Arial" w:hAnsi="Arial" w:cs="Arial"/>
                <w:sz w:val="20"/>
                <w:szCs w:val="20"/>
              </w:rPr>
            </w:pPr>
            <w:r w:rsidRPr="00B01F9E">
              <w:rPr>
                <w:rFonts w:ascii="Arial" w:hAnsi="Arial" w:cs="Arial"/>
                <w:sz w:val="20"/>
                <w:szCs w:val="20"/>
              </w:rPr>
              <w:t xml:space="preserve">XML </w:t>
            </w:r>
          </w:p>
        </w:tc>
        <w:tc>
          <w:tcPr>
            <w:tcW w:w="7571" w:type="dxa"/>
          </w:tcPr>
          <w:p w14:paraId="617BC498" w14:textId="769537E6" w:rsidR="00ED7139" w:rsidRPr="00B01F9E" w:rsidRDefault="00AD09F7" w:rsidP="00AB3160">
            <w:pPr>
              <w:rPr>
                <w:rFonts w:ascii="Arial" w:hAnsi="Arial" w:cs="Arial"/>
                <w:sz w:val="20"/>
                <w:szCs w:val="20"/>
              </w:rPr>
            </w:pPr>
            <w:r w:rsidRPr="00B01F9E">
              <w:rPr>
                <w:rFonts w:ascii="Arial" w:hAnsi="Arial" w:cs="Arial"/>
                <w:sz w:val="20"/>
                <w:szCs w:val="20"/>
              </w:rPr>
              <w:t>Extensible Markup Language (XML) lets you define and store data in a shareable manner. XML supports information exchange between computer systems such as websites, databases, and third-party applications.</w:t>
            </w:r>
          </w:p>
        </w:tc>
      </w:tr>
    </w:tbl>
    <w:p w14:paraId="71065012" w14:textId="77777777" w:rsidR="007F1E03" w:rsidRPr="00B01F9E" w:rsidRDefault="007F1E03">
      <w:pPr>
        <w:rPr>
          <w:rFonts w:ascii="Arial" w:eastAsiaTheme="majorEastAsia" w:hAnsi="Arial" w:cs="Arial"/>
          <w:b/>
          <w:bCs/>
          <w:color w:val="009BBF"/>
          <w:sz w:val="20"/>
          <w:szCs w:val="20"/>
        </w:rPr>
      </w:pPr>
      <w:r w:rsidRPr="00B01F9E">
        <w:rPr>
          <w:rFonts w:ascii="Arial" w:hAnsi="Arial" w:cs="Arial"/>
          <w:b/>
          <w:bCs/>
          <w:color w:val="009BBF"/>
          <w:sz w:val="20"/>
          <w:szCs w:val="20"/>
        </w:rPr>
        <w:br w:type="page"/>
      </w:r>
    </w:p>
    <w:p w14:paraId="4434F49F" w14:textId="71FF7A5E" w:rsidR="00627BF4" w:rsidRPr="00B01F9E" w:rsidRDefault="00BB62D3" w:rsidP="00163CA6">
      <w:pPr>
        <w:pStyle w:val="Heading2"/>
        <w:spacing w:before="0" w:after="120"/>
        <w:rPr>
          <w:rFonts w:ascii="Arial" w:hAnsi="Arial" w:cs="Arial"/>
          <w:b/>
          <w:bCs/>
          <w:color w:val="009BBF"/>
          <w:sz w:val="20"/>
          <w:szCs w:val="20"/>
        </w:rPr>
      </w:pPr>
      <w:bookmarkStart w:id="394" w:name="_Toc177137029"/>
      <w:r w:rsidRPr="00B01F9E">
        <w:rPr>
          <w:rFonts w:ascii="Arial" w:hAnsi="Arial" w:cs="Arial"/>
          <w:b/>
          <w:bCs/>
          <w:color w:val="009BBF"/>
          <w:sz w:val="20"/>
          <w:szCs w:val="20"/>
        </w:rPr>
        <w:lastRenderedPageBreak/>
        <w:t>7</w:t>
      </w:r>
      <w:r w:rsidR="00490A50" w:rsidRPr="00B01F9E">
        <w:rPr>
          <w:rFonts w:ascii="Arial" w:hAnsi="Arial" w:cs="Arial"/>
          <w:b/>
          <w:bCs/>
          <w:color w:val="009BBF"/>
          <w:sz w:val="20"/>
          <w:szCs w:val="20"/>
        </w:rPr>
        <w:t>.</w:t>
      </w:r>
      <w:r w:rsidR="009C6A7C" w:rsidRPr="00B01F9E">
        <w:rPr>
          <w:rFonts w:ascii="Arial" w:hAnsi="Arial" w:cs="Arial"/>
          <w:b/>
          <w:bCs/>
          <w:color w:val="009BBF"/>
          <w:sz w:val="20"/>
          <w:szCs w:val="20"/>
        </w:rPr>
        <w:t>3</w:t>
      </w:r>
      <w:r w:rsidR="00490A50" w:rsidRPr="00B01F9E">
        <w:rPr>
          <w:rFonts w:ascii="Arial" w:hAnsi="Arial" w:cs="Arial"/>
          <w:b/>
          <w:bCs/>
          <w:color w:val="009BBF"/>
          <w:sz w:val="20"/>
          <w:szCs w:val="20"/>
        </w:rPr>
        <w:t xml:space="preserve"> Supplemental Materials</w:t>
      </w:r>
      <w:bookmarkEnd w:id="394"/>
      <w:r w:rsidR="00490A50" w:rsidRPr="00B01F9E">
        <w:rPr>
          <w:rFonts w:ascii="Arial" w:hAnsi="Arial" w:cs="Arial"/>
          <w:b/>
          <w:bCs/>
          <w:color w:val="009BBF"/>
          <w:sz w:val="20"/>
          <w:szCs w:val="20"/>
        </w:rPr>
        <w:t xml:space="preserve"> </w:t>
      </w:r>
    </w:p>
    <w:p w14:paraId="7115A47A" w14:textId="3A0D0971" w:rsidR="00B44245" w:rsidRPr="00B01F9E" w:rsidRDefault="00BB62D3" w:rsidP="00163CA6">
      <w:pPr>
        <w:pStyle w:val="Heading3"/>
        <w:spacing w:before="0" w:after="120"/>
        <w:rPr>
          <w:rFonts w:ascii="Arial" w:hAnsi="Arial" w:cs="Arial"/>
          <w:b/>
          <w:bCs/>
          <w:i/>
          <w:iCs/>
          <w:color w:val="009BBF"/>
          <w:sz w:val="20"/>
          <w:szCs w:val="20"/>
        </w:rPr>
      </w:pPr>
      <w:bookmarkStart w:id="395" w:name="_7.3.1_Proof_of"/>
      <w:bookmarkStart w:id="396" w:name="_Toc177137030"/>
      <w:bookmarkEnd w:id="395"/>
      <w:r w:rsidRPr="00B01F9E">
        <w:rPr>
          <w:rFonts w:ascii="Arial" w:hAnsi="Arial" w:cs="Arial"/>
          <w:b/>
          <w:i/>
          <w:color w:val="009BBF"/>
          <w:sz w:val="20"/>
          <w:szCs w:val="20"/>
        </w:rPr>
        <w:t>7</w:t>
      </w:r>
      <w:r w:rsidR="00B44245" w:rsidRPr="00B01F9E">
        <w:rPr>
          <w:rFonts w:ascii="Arial" w:hAnsi="Arial" w:cs="Arial"/>
          <w:b/>
          <w:i/>
          <w:color w:val="009BBF"/>
          <w:sz w:val="20"/>
          <w:szCs w:val="20"/>
        </w:rPr>
        <w:t>.3.</w:t>
      </w:r>
      <w:r w:rsidR="00E5655E" w:rsidRPr="00B01F9E">
        <w:rPr>
          <w:rFonts w:ascii="Arial" w:hAnsi="Arial" w:cs="Arial"/>
          <w:b/>
          <w:i/>
          <w:color w:val="009BBF"/>
          <w:sz w:val="20"/>
          <w:szCs w:val="20"/>
        </w:rPr>
        <w:t>1</w:t>
      </w:r>
      <w:r w:rsidR="00B44245" w:rsidRPr="00B01F9E">
        <w:rPr>
          <w:rFonts w:ascii="Arial" w:hAnsi="Arial" w:cs="Arial"/>
          <w:b/>
          <w:i/>
          <w:color w:val="009BBF"/>
          <w:sz w:val="20"/>
          <w:szCs w:val="20"/>
        </w:rPr>
        <w:t xml:space="preserve"> </w:t>
      </w:r>
      <w:r w:rsidR="00B44245" w:rsidRPr="00B01F9E">
        <w:rPr>
          <w:rFonts w:ascii="Arial" w:hAnsi="Arial" w:cs="Arial"/>
          <w:b/>
          <w:bCs/>
          <w:i/>
          <w:iCs/>
          <w:color w:val="009BBF"/>
          <w:sz w:val="20"/>
          <w:szCs w:val="20"/>
        </w:rPr>
        <w:t>Proof of Concept Supplemental Materials</w:t>
      </w:r>
      <w:bookmarkEnd w:id="396"/>
      <w:r w:rsidR="00B44245" w:rsidRPr="00B01F9E">
        <w:rPr>
          <w:rFonts w:ascii="Arial" w:hAnsi="Arial" w:cs="Arial"/>
          <w:b/>
          <w:bCs/>
          <w:i/>
          <w:iCs/>
          <w:color w:val="009BBF"/>
          <w:sz w:val="20"/>
          <w:szCs w:val="20"/>
        </w:rPr>
        <w:t xml:space="preserve"> </w:t>
      </w:r>
    </w:p>
    <w:p w14:paraId="74E0E850" w14:textId="4F511098" w:rsidR="00B050B8" w:rsidRPr="00B01F9E" w:rsidRDefault="00B050B8" w:rsidP="00E5655E">
      <w:pPr>
        <w:spacing w:before="120" w:after="120"/>
        <w:rPr>
          <w:rFonts w:ascii="Arial" w:hAnsi="Arial" w:cs="Arial"/>
          <w:sz w:val="20"/>
          <w:szCs w:val="20"/>
        </w:rPr>
      </w:pPr>
      <w:r w:rsidRPr="00B01F9E">
        <w:rPr>
          <w:rFonts w:ascii="Arial" w:hAnsi="Arial" w:cs="Arial"/>
          <w:sz w:val="20"/>
          <w:szCs w:val="20"/>
        </w:rPr>
        <w:t xml:space="preserve">The following supplementary materials related to the </w:t>
      </w:r>
      <w:r w:rsidR="00B46ACE" w:rsidRPr="00B01F9E">
        <w:rPr>
          <w:rFonts w:ascii="Arial" w:hAnsi="Arial" w:cs="Arial"/>
          <w:sz w:val="20"/>
          <w:szCs w:val="20"/>
        </w:rPr>
        <w:t>POC</w:t>
      </w:r>
      <w:r w:rsidRPr="00B01F9E">
        <w:rPr>
          <w:rFonts w:ascii="Arial" w:hAnsi="Arial" w:cs="Arial"/>
          <w:sz w:val="20"/>
          <w:szCs w:val="20"/>
        </w:rPr>
        <w:t xml:space="preserve"> are included as separate files, accompanying the submission of this document:  </w:t>
      </w:r>
    </w:p>
    <w:tbl>
      <w:tblPr>
        <w:tblStyle w:val="TableGrid"/>
        <w:tblW w:w="9450" w:type="dxa"/>
        <w:tblInd w:w="-5" w:type="dxa"/>
        <w:tblLayout w:type="fixed"/>
        <w:tblLook w:val="04A0" w:firstRow="1" w:lastRow="0" w:firstColumn="1" w:lastColumn="0" w:noHBand="0" w:noVBand="1"/>
      </w:tblPr>
      <w:tblGrid>
        <w:gridCol w:w="630"/>
        <w:gridCol w:w="2340"/>
        <w:gridCol w:w="6480"/>
      </w:tblGrid>
      <w:tr w:rsidR="006E2378" w:rsidRPr="00B01F9E" w14:paraId="456E87A9" w14:textId="77777777" w:rsidTr="00886006">
        <w:trPr>
          <w:trHeight w:val="223"/>
        </w:trPr>
        <w:tc>
          <w:tcPr>
            <w:tcW w:w="630" w:type="dxa"/>
            <w:shd w:val="clear" w:color="auto" w:fill="009ABF" w:themeFill="text1"/>
          </w:tcPr>
          <w:p w14:paraId="3B294DD7" w14:textId="4084A53F" w:rsidR="006E2378" w:rsidRPr="00886006" w:rsidRDefault="006E2378" w:rsidP="003F5FEE">
            <w:pPr>
              <w:rPr>
                <w:rFonts w:ascii="Arial" w:hAnsi="Arial" w:cs="Arial"/>
                <w:b/>
                <w:bCs/>
                <w:color w:val="FFFFFF"/>
                <w:sz w:val="20"/>
                <w:szCs w:val="20"/>
              </w:rPr>
            </w:pPr>
            <w:r w:rsidRPr="00886006">
              <w:rPr>
                <w:rFonts w:ascii="Arial" w:hAnsi="Arial" w:cs="Arial"/>
                <w:b/>
                <w:bCs/>
                <w:color w:val="FFFFFF"/>
                <w:sz w:val="20"/>
                <w:szCs w:val="20"/>
              </w:rPr>
              <w:t>#</w:t>
            </w:r>
          </w:p>
        </w:tc>
        <w:tc>
          <w:tcPr>
            <w:tcW w:w="2340" w:type="dxa"/>
            <w:shd w:val="clear" w:color="auto" w:fill="009ABF" w:themeFill="text1"/>
          </w:tcPr>
          <w:p w14:paraId="6653D8B3" w14:textId="6DD5B90E" w:rsidR="006E2378" w:rsidRPr="00886006" w:rsidRDefault="006E2378" w:rsidP="003F5FEE">
            <w:pPr>
              <w:rPr>
                <w:rFonts w:ascii="Arial" w:hAnsi="Arial" w:cs="Arial"/>
                <w:b/>
                <w:bCs/>
                <w:color w:val="FFFFFF"/>
                <w:sz w:val="20"/>
                <w:szCs w:val="20"/>
              </w:rPr>
            </w:pPr>
            <w:r w:rsidRPr="00886006">
              <w:rPr>
                <w:rFonts w:ascii="Arial" w:hAnsi="Arial" w:cs="Arial"/>
                <w:b/>
                <w:bCs/>
                <w:color w:val="FFFFFF"/>
                <w:sz w:val="20"/>
                <w:szCs w:val="20"/>
              </w:rPr>
              <w:t xml:space="preserve">Name </w:t>
            </w:r>
          </w:p>
        </w:tc>
        <w:tc>
          <w:tcPr>
            <w:tcW w:w="6480" w:type="dxa"/>
            <w:shd w:val="clear" w:color="auto" w:fill="009ABF" w:themeFill="text1"/>
          </w:tcPr>
          <w:p w14:paraId="39AD38F3" w14:textId="77777777" w:rsidR="006E2378" w:rsidRPr="00886006" w:rsidRDefault="006E2378" w:rsidP="003F5FEE">
            <w:pPr>
              <w:rPr>
                <w:rFonts w:ascii="Arial" w:hAnsi="Arial" w:cs="Arial"/>
                <w:b/>
                <w:bCs/>
                <w:color w:val="FFFFFF"/>
                <w:sz w:val="20"/>
                <w:szCs w:val="20"/>
              </w:rPr>
            </w:pPr>
            <w:r w:rsidRPr="00886006">
              <w:rPr>
                <w:rFonts w:ascii="Arial" w:hAnsi="Arial" w:cs="Arial"/>
                <w:b/>
                <w:bCs/>
                <w:color w:val="FFFFFF"/>
                <w:sz w:val="20"/>
                <w:szCs w:val="20"/>
              </w:rPr>
              <w:t>Description</w:t>
            </w:r>
          </w:p>
        </w:tc>
      </w:tr>
      <w:tr w:rsidR="006E2378" w:rsidRPr="00B01F9E" w14:paraId="2BA630D5" w14:textId="77777777" w:rsidTr="003F5FEE">
        <w:trPr>
          <w:trHeight w:val="927"/>
        </w:trPr>
        <w:tc>
          <w:tcPr>
            <w:tcW w:w="630" w:type="dxa"/>
          </w:tcPr>
          <w:p w14:paraId="4554431A" w14:textId="05F98BA0" w:rsidR="006E2378" w:rsidRPr="00B01F9E" w:rsidRDefault="006E2378" w:rsidP="003F5FEE">
            <w:pPr>
              <w:rPr>
                <w:rFonts w:ascii="Arial" w:hAnsi="Arial" w:cs="Arial"/>
                <w:sz w:val="20"/>
                <w:szCs w:val="20"/>
              </w:rPr>
            </w:pPr>
            <w:r w:rsidRPr="00B01F9E">
              <w:rPr>
                <w:rFonts w:ascii="Arial" w:hAnsi="Arial" w:cs="Arial"/>
                <w:sz w:val="20"/>
                <w:szCs w:val="20"/>
              </w:rPr>
              <w:t>1.0</w:t>
            </w:r>
          </w:p>
        </w:tc>
        <w:tc>
          <w:tcPr>
            <w:tcW w:w="2340" w:type="dxa"/>
          </w:tcPr>
          <w:p w14:paraId="3C573FE0" w14:textId="1CA01BB9" w:rsidR="006E2378" w:rsidRPr="00B01F9E" w:rsidRDefault="006E2378" w:rsidP="003F5FEE">
            <w:pPr>
              <w:rPr>
                <w:rFonts w:ascii="Arial" w:hAnsi="Arial" w:cs="Arial"/>
                <w:sz w:val="20"/>
                <w:szCs w:val="20"/>
              </w:rPr>
            </w:pPr>
            <w:r w:rsidRPr="00B01F9E">
              <w:rPr>
                <w:rFonts w:ascii="Arial" w:hAnsi="Arial" w:cs="Arial"/>
                <w:sz w:val="20"/>
                <w:szCs w:val="20"/>
              </w:rPr>
              <w:t xml:space="preserve">Simulated LIDR File </w:t>
            </w:r>
          </w:p>
        </w:tc>
        <w:tc>
          <w:tcPr>
            <w:tcW w:w="6480" w:type="dxa"/>
          </w:tcPr>
          <w:p w14:paraId="7A3A5A46" w14:textId="77777777" w:rsidR="006E2378" w:rsidRPr="00B01F9E" w:rsidRDefault="006E2378" w:rsidP="003F5FEE">
            <w:pPr>
              <w:rPr>
                <w:rFonts w:ascii="Arial" w:eastAsiaTheme="majorEastAsia" w:hAnsi="Arial" w:cs="Arial"/>
                <w:color w:val="000000"/>
                <w:sz w:val="20"/>
                <w:szCs w:val="20"/>
              </w:rPr>
            </w:pPr>
            <w:r w:rsidRPr="00B01F9E">
              <w:rPr>
                <w:rStyle w:val="eop"/>
                <w:rFonts w:ascii="Arial" w:eastAsiaTheme="majorEastAsia" w:hAnsi="Arial" w:cs="Arial"/>
                <w:color w:val="000000"/>
                <w:sz w:val="20"/>
                <w:szCs w:val="20"/>
              </w:rPr>
              <w:t xml:space="preserve">Excel document containing the full simulated LIDR file used in the POC. </w:t>
            </w:r>
            <w:r w:rsidRPr="00B01F9E">
              <w:rPr>
                <w:rStyle w:val="eop"/>
                <w:rFonts w:ascii="Arial" w:eastAsiaTheme="majorEastAsia" w:hAnsi="Arial" w:cs="Arial"/>
                <w:i/>
                <w:iCs/>
                <w:color w:val="000000"/>
                <w:sz w:val="20"/>
                <w:szCs w:val="20"/>
              </w:rPr>
              <w:t>Note:</w:t>
            </w:r>
            <w:r w:rsidRPr="00B01F9E">
              <w:rPr>
                <w:rStyle w:val="eop"/>
                <w:rFonts w:ascii="Arial" w:eastAsiaTheme="majorEastAsia" w:hAnsi="Arial" w:cs="Arial"/>
                <w:color w:val="000000"/>
                <w:sz w:val="20"/>
                <w:szCs w:val="20"/>
              </w:rPr>
              <w:t xml:space="preserve"> </w:t>
            </w:r>
            <w:r w:rsidRPr="00B01F9E">
              <w:rPr>
                <w:rStyle w:val="normaltextrun"/>
                <w:rFonts w:ascii="Arial" w:hAnsi="Arial" w:cs="Arial"/>
                <w:i/>
                <w:iCs/>
                <w:color w:val="000000"/>
                <w:sz w:val="20"/>
                <w:szCs w:val="20"/>
              </w:rPr>
              <w:t>The harmonization indicator and specimen disposition elements will not be used for the POC as they are currently not developed.</w:t>
            </w:r>
          </w:p>
        </w:tc>
      </w:tr>
      <w:tr w:rsidR="006E2378" w:rsidRPr="00B01F9E" w14:paraId="4F7B7ED6" w14:textId="77777777" w:rsidTr="003F5FEE">
        <w:trPr>
          <w:trHeight w:val="287"/>
        </w:trPr>
        <w:tc>
          <w:tcPr>
            <w:tcW w:w="630" w:type="dxa"/>
          </w:tcPr>
          <w:p w14:paraId="63AFBB19" w14:textId="0330184A" w:rsidR="006E2378" w:rsidRPr="00B01F9E" w:rsidRDefault="003175F1" w:rsidP="003F5FEE">
            <w:pPr>
              <w:rPr>
                <w:rFonts w:ascii="Arial" w:eastAsiaTheme="majorEastAsia" w:hAnsi="Arial" w:cs="Arial"/>
                <w:color w:val="000000"/>
                <w:sz w:val="20"/>
                <w:szCs w:val="20"/>
              </w:rPr>
            </w:pPr>
            <w:r w:rsidRPr="00B01F9E">
              <w:rPr>
                <w:rFonts w:ascii="Arial" w:eastAsiaTheme="majorEastAsia" w:hAnsi="Arial" w:cs="Arial"/>
                <w:color w:val="000000"/>
                <w:sz w:val="20"/>
                <w:szCs w:val="20"/>
              </w:rPr>
              <w:t>2.0</w:t>
            </w:r>
          </w:p>
        </w:tc>
        <w:tc>
          <w:tcPr>
            <w:tcW w:w="2340" w:type="dxa"/>
          </w:tcPr>
          <w:p w14:paraId="21AC2988" w14:textId="21657D93" w:rsidR="006E2378" w:rsidRPr="00B01F9E" w:rsidRDefault="006E2378" w:rsidP="003F5FEE">
            <w:pPr>
              <w:rPr>
                <w:rFonts w:ascii="Arial" w:hAnsi="Arial" w:cs="Arial"/>
                <w:sz w:val="20"/>
                <w:szCs w:val="20"/>
              </w:rPr>
            </w:pPr>
            <w:r w:rsidRPr="00B01F9E">
              <w:rPr>
                <w:rFonts w:ascii="Arial" w:eastAsiaTheme="majorEastAsia" w:hAnsi="Arial" w:cs="Arial"/>
                <w:color w:val="000000"/>
                <w:sz w:val="20"/>
                <w:szCs w:val="20"/>
              </w:rPr>
              <w:t>HL7 Result Analyses and Associated Result Messages</w:t>
            </w:r>
          </w:p>
        </w:tc>
        <w:tc>
          <w:tcPr>
            <w:tcW w:w="6480" w:type="dxa"/>
          </w:tcPr>
          <w:p w14:paraId="64C20B30" w14:textId="77777777" w:rsidR="006E2378" w:rsidRPr="00B01F9E" w:rsidRDefault="006E2378" w:rsidP="003F5FEE">
            <w:pPr>
              <w:rPr>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PDF documents containing the HL7 result message analyses and result messages for the following laboratory tests: </w:t>
            </w:r>
          </w:p>
          <w:p w14:paraId="033426E7" w14:textId="71AAF6F1" w:rsidR="006E2378" w:rsidRPr="00B01F9E" w:rsidRDefault="003175F1" w:rsidP="003F5FEE">
            <w:pPr>
              <w:pStyle w:val="ListParagraph"/>
              <w:numPr>
                <w:ilvl w:val="0"/>
                <w:numId w:val="22"/>
              </w:numPr>
              <w:spacing w:line="259" w:lineRule="auto"/>
              <w:ind w:left="720"/>
              <w:rPr>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2.1 - </w:t>
            </w:r>
            <w:r w:rsidR="006E2378" w:rsidRPr="00B01F9E">
              <w:rPr>
                <w:rFonts w:ascii="Arial" w:eastAsiaTheme="majorEastAsia" w:hAnsi="Arial" w:cs="Arial"/>
                <w:color w:val="000000"/>
                <w:sz w:val="20"/>
                <w:szCs w:val="20"/>
              </w:rPr>
              <w:t xml:space="preserve">Basic Metabolic Panel </w:t>
            </w:r>
          </w:p>
          <w:p w14:paraId="02C52611" w14:textId="6E08C556" w:rsidR="006E2378" w:rsidRPr="00B01F9E" w:rsidRDefault="003175F1" w:rsidP="003F5FEE">
            <w:pPr>
              <w:pStyle w:val="ListParagraph"/>
              <w:numPr>
                <w:ilvl w:val="0"/>
                <w:numId w:val="22"/>
              </w:numPr>
              <w:spacing w:line="259" w:lineRule="auto"/>
              <w:ind w:left="720"/>
              <w:rPr>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2.2 - </w:t>
            </w:r>
            <w:r w:rsidR="006E2378" w:rsidRPr="00B01F9E">
              <w:rPr>
                <w:rFonts w:ascii="Arial" w:eastAsiaTheme="majorEastAsia" w:hAnsi="Arial" w:cs="Arial"/>
                <w:color w:val="000000"/>
                <w:sz w:val="20"/>
                <w:szCs w:val="20"/>
              </w:rPr>
              <w:t xml:space="preserve">Blood Culture with AST and ID </w:t>
            </w:r>
          </w:p>
          <w:p w14:paraId="60520BDB" w14:textId="75F96A18" w:rsidR="006E2378" w:rsidRPr="00B01F9E" w:rsidRDefault="003175F1" w:rsidP="003F5FEE">
            <w:pPr>
              <w:pStyle w:val="ListParagraph"/>
              <w:numPr>
                <w:ilvl w:val="0"/>
                <w:numId w:val="22"/>
              </w:numPr>
              <w:spacing w:line="259" w:lineRule="auto"/>
              <w:ind w:left="720"/>
              <w:rPr>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2.3 - </w:t>
            </w:r>
            <w:r w:rsidR="006E2378" w:rsidRPr="00B01F9E">
              <w:rPr>
                <w:rFonts w:ascii="Arial" w:eastAsiaTheme="majorEastAsia" w:hAnsi="Arial" w:cs="Arial"/>
                <w:color w:val="000000"/>
                <w:sz w:val="20"/>
                <w:szCs w:val="20"/>
              </w:rPr>
              <w:t>Complete Urinalysis</w:t>
            </w:r>
          </w:p>
          <w:p w14:paraId="469DAB71" w14:textId="7FB610A1" w:rsidR="006E2378" w:rsidRPr="00B01F9E" w:rsidRDefault="003175F1" w:rsidP="003F5FEE">
            <w:pPr>
              <w:pStyle w:val="ListParagraph"/>
              <w:numPr>
                <w:ilvl w:val="0"/>
                <w:numId w:val="22"/>
              </w:numPr>
              <w:spacing w:line="259" w:lineRule="auto"/>
              <w:ind w:left="720"/>
              <w:rPr>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2.4 - </w:t>
            </w:r>
            <w:r w:rsidR="006E2378" w:rsidRPr="00B01F9E">
              <w:rPr>
                <w:rFonts w:ascii="Arial" w:eastAsiaTheme="majorEastAsia" w:hAnsi="Arial" w:cs="Arial"/>
                <w:color w:val="000000"/>
                <w:sz w:val="20"/>
                <w:szCs w:val="20"/>
              </w:rPr>
              <w:t>Plasma Creatinine</w:t>
            </w:r>
          </w:p>
          <w:p w14:paraId="29C6ECE9" w14:textId="7D2E1BE2" w:rsidR="006E2378" w:rsidRPr="00B01F9E" w:rsidRDefault="003175F1" w:rsidP="003F5FEE">
            <w:pPr>
              <w:pStyle w:val="ListParagraph"/>
              <w:numPr>
                <w:ilvl w:val="0"/>
                <w:numId w:val="22"/>
              </w:numPr>
              <w:spacing w:line="259" w:lineRule="auto"/>
              <w:ind w:left="720"/>
              <w:rPr>
                <w:rStyle w:val="eop"/>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2.5 - </w:t>
            </w:r>
            <w:r w:rsidR="006E2378" w:rsidRPr="00B01F9E">
              <w:rPr>
                <w:rFonts w:ascii="Arial" w:eastAsiaTheme="majorEastAsia" w:hAnsi="Arial" w:cs="Arial"/>
                <w:color w:val="000000"/>
                <w:sz w:val="20"/>
                <w:szCs w:val="20"/>
              </w:rPr>
              <w:t>Respiratory Viral Panel</w:t>
            </w:r>
          </w:p>
        </w:tc>
      </w:tr>
      <w:tr w:rsidR="006E2378" w:rsidRPr="00B01F9E" w14:paraId="4D9CB990" w14:textId="77777777" w:rsidTr="003F5FEE">
        <w:trPr>
          <w:trHeight w:val="143"/>
        </w:trPr>
        <w:tc>
          <w:tcPr>
            <w:tcW w:w="630" w:type="dxa"/>
          </w:tcPr>
          <w:p w14:paraId="7723D38A" w14:textId="0F27EFD1" w:rsidR="006E2378" w:rsidRPr="00B01F9E" w:rsidRDefault="003175F1" w:rsidP="003F5FEE">
            <w:pPr>
              <w:rPr>
                <w:rFonts w:ascii="Arial" w:hAnsi="Arial" w:cs="Arial"/>
                <w:sz w:val="20"/>
                <w:szCs w:val="20"/>
              </w:rPr>
            </w:pPr>
            <w:r w:rsidRPr="00B01F9E">
              <w:rPr>
                <w:rFonts w:ascii="Arial" w:hAnsi="Arial" w:cs="Arial"/>
                <w:sz w:val="20"/>
                <w:szCs w:val="20"/>
              </w:rPr>
              <w:t>3.0</w:t>
            </w:r>
          </w:p>
        </w:tc>
        <w:tc>
          <w:tcPr>
            <w:tcW w:w="2340" w:type="dxa"/>
          </w:tcPr>
          <w:p w14:paraId="4FBDA990" w14:textId="6DD3F325" w:rsidR="006E2378" w:rsidRPr="00B01F9E" w:rsidRDefault="006E2378" w:rsidP="003F5FEE">
            <w:pPr>
              <w:rPr>
                <w:rFonts w:ascii="Arial" w:hAnsi="Arial" w:cs="Arial"/>
                <w:sz w:val="20"/>
                <w:szCs w:val="20"/>
              </w:rPr>
            </w:pPr>
            <w:r w:rsidRPr="00B01F9E">
              <w:rPr>
                <w:rFonts w:ascii="Arial" w:hAnsi="Arial" w:cs="Arial"/>
                <w:sz w:val="20"/>
                <w:szCs w:val="20"/>
              </w:rPr>
              <w:t>Sample POC Test Plan</w:t>
            </w:r>
          </w:p>
        </w:tc>
        <w:tc>
          <w:tcPr>
            <w:tcW w:w="6480" w:type="dxa"/>
          </w:tcPr>
          <w:p w14:paraId="3A1EE0A4" w14:textId="77777777" w:rsidR="006E2378" w:rsidRPr="00B01F9E" w:rsidRDefault="006E2378" w:rsidP="003F5FEE">
            <w:pPr>
              <w:rPr>
                <w:rStyle w:val="eop"/>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Excel document containing a blank version of the POC test plan with Duke. </w:t>
            </w:r>
          </w:p>
        </w:tc>
      </w:tr>
      <w:tr w:rsidR="006E2378" w:rsidRPr="00B01F9E" w14:paraId="38E071D5" w14:textId="77777777" w:rsidTr="003F5FEE">
        <w:trPr>
          <w:trHeight w:val="143"/>
        </w:trPr>
        <w:tc>
          <w:tcPr>
            <w:tcW w:w="630" w:type="dxa"/>
          </w:tcPr>
          <w:p w14:paraId="2E907CED" w14:textId="2D8F614C" w:rsidR="006E2378" w:rsidRPr="00B01F9E" w:rsidRDefault="003175F1" w:rsidP="003F5FEE">
            <w:pPr>
              <w:rPr>
                <w:rFonts w:ascii="Arial" w:hAnsi="Arial" w:cs="Arial"/>
                <w:sz w:val="20"/>
                <w:szCs w:val="20"/>
              </w:rPr>
            </w:pPr>
            <w:r w:rsidRPr="00B01F9E">
              <w:rPr>
                <w:rFonts w:ascii="Arial" w:hAnsi="Arial" w:cs="Arial"/>
                <w:sz w:val="20"/>
                <w:szCs w:val="20"/>
              </w:rPr>
              <w:t>4.0</w:t>
            </w:r>
          </w:p>
        </w:tc>
        <w:tc>
          <w:tcPr>
            <w:tcW w:w="2340" w:type="dxa"/>
          </w:tcPr>
          <w:p w14:paraId="2DD99F04" w14:textId="164D4D05" w:rsidR="006E2378" w:rsidRPr="00B01F9E" w:rsidRDefault="006E2378" w:rsidP="003F5FEE">
            <w:pPr>
              <w:rPr>
                <w:rFonts w:ascii="Arial" w:hAnsi="Arial" w:cs="Arial"/>
                <w:sz w:val="20"/>
                <w:szCs w:val="20"/>
              </w:rPr>
            </w:pPr>
            <w:r w:rsidRPr="00B01F9E">
              <w:rPr>
                <w:rFonts w:ascii="Arial" w:hAnsi="Arial" w:cs="Arial"/>
                <w:sz w:val="20"/>
                <w:szCs w:val="20"/>
              </w:rPr>
              <w:t>Completed POC Test Plan</w:t>
            </w:r>
          </w:p>
        </w:tc>
        <w:tc>
          <w:tcPr>
            <w:tcW w:w="6480" w:type="dxa"/>
          </w:tcPr>
          <w:p w14:paraId="10B63373" w14:textId="355E7360" w:rsidR="006E2378" w:rsidRPr="00B01F9E" w:rsidRDefault="006E2378" w:rsidP="003F5FEE">
            <w:pPr>
              <w:rPr>
                <w:rFonts w:ascii="Arial" w:eastAsiaTheme="majorEastAsia" w:hAnsi="Arial" w:cs="Arial"/>
                <w:color w:val="000000"/>
                <w:sz w:val="20"/>
                <w:szCs w:val="20"/>
              </w:rPr>
            </w:pPr>
            <w:r w:rsidRPr="00B01F9E">
              <w:rPr>
                <w:rFonts w:ascii="Arial" w:eastAsiaTheme="majorEastAsia" w:hAnsi="Arial" w:cs="Arial"/>
                <w:color w:val="000000"/>
                <w:sz w:val="20"/>
                <w:szCs w:val="20"/>
              </w:rPr>
              <w:t xml:space="preserve">Excel document containing the </w:t>
            </w:r>
            <w:r w:rsidR="0089054C" w:rsidRPr="00B01F9E">
              <w:rPr>
                <w:rFonts w:ascii="Arial" w:eastAsiaTheme="majorEastAsia" w:hAnsi="Arial" w:cs="Arial"/>
                <w:color w:val="000000"/>
                <w:sz w:val="20"/>
                <w:szCs w:val="20"/>
              </w:rPr>
              <w:t>completed</w:t>
            </w:r>
            <w:r w:rsidRPr="00B01F9E">
              <w:rPr>
                <w:rFonts w:ascii="Arial" w:eastAsiaTheme="majorEastAsia" w:hAnsi="Arial" w:cs="Arial"/>
                <w:color w:val="000000"/>
                <w:sz w:val="20"/>
                <w:szCs w:val="20"/>
              </w:rPr>
              <w:t xml:space="preserve"> POC test plan with Duke.</w:t>
            </w:r>
          </w:p>
        </w:tc>
      </w:tr>
      <w:tr w:rsidR="006E2378" w:rsidRPr="00B01F9E" w14:paraId="0128195E" w14:textId="77777777" w:rsidTr="003F5FEE">
        <w:trPr>
          <w:trHeight w:val="143"/>
        </w:trPr>
        <w:tc>
          <w:tcPr>
            <w:tcW w:w="630" w:type="dxa"/>
          </w:tcPr>
          <w:p w14:paraId="362C88B8" w14:textId="0D4F1601" w:rsidR="006E2378" w:rsidRPr="00B01F9E" w:rsidRDefault="003175F1" w:rsidP="003F5FEE">
            <w:pPr>
              <w:rPr>
                <w:rFonts w:ascii="Arial" w:hAnsi="Arial" w:cs="Arial"/>
                <w:sz w:val="20"/>
                <w:szCs w:val="20"/>
              </w:rPr>
            </w:pPr>
            <w:r w:rsidRPr="00B01F9E">
              <w:rPr>
                <w:rFonts w:ascii="Arial" w:hAnsi="Arial" w:cs="Arial"/>
                <w:sz w:val="20"/>
                <w:szCs w:val="20"/>
              </w:rPr>
              <w:t>5.0</w:t>
            </w:r>
          </w:p>
        </w:tc>
        <w:tc>
          <w:tcPr>
            <w:tcW w:w="2340" w:type="dxa"/>
          </w:tcPr>
          <w:p w14:paraId="08C09B58" w14:textId="35987E28" w:rsidR="006E2378" w:rsidRPr="00B01F9E" w:rsidRDefault="006E2378" w:rsidP="003F5FEE">
            <w:pPr>
              <w:rPr>
                <w:rFonts w:ascii="Arial" w:hAnsi="Arial" w:cs="Arial"/>
                <w:sz w:val="20"/>
                <w:szCs w:val="20"/>
              </w:rPr>
            </w:pPr>
            <w:r w:rsidRPr="00B01F9E">
              <w:rPr>
                <w:rFonts w:ascii="Arial" w:hAnsi="Arial" w:cs="Arial"/>
                <w:sz w:val="20"/>
                <w:szCs w:val="20"/>
              </w:rPr>
              <w:t xml:space="preserve">Interface Specifications </w:t>
            </w:r>
          </w:p>
        </w:tc>
        <w:tc>
          <w:tcPr>
            <w:tcW w:w="6480" w:type="dxa"/>
          </w:tcPr>
          <w:p w14:paraId="60142DA6" w14:textId="1E224727" w:rsidR="006E2378" w:rsidRPr="00B01F9E" w:rsidRDefault="006E2378" w:rsidP="003F5FEE">
            <w:pPr>
              <w:rPr>
                <w:rStyle w:val="eop"/>
                <w:rFonts w:ascii="Arial" w:eastAsiaTheme="majorEastAsia" w:hAnsi="Arial" w:cs="Arial"/>
                <w:color w:val="000000"/>
                <w:sz w:val="20"/>
                <w:szCs w:val="20"/>
              </w:rPr>
            </w:pPr>
            <w:r w:rsidRPr="00B01F9E">
              <w:rPr>
                <w:rFonts w:ascii="Arial" w:eastAsiaTheme="majorEastAsia" w:hAnsi="Arial" w:cs="Arial"/>
                <w:color w:val="000000"/>
                <w:sz w:val="20"/>
                <w:szCs w:val="20"/>
              </w:rPr>
              <w:t>Excel document containing the interface specifications for the POC.</w:t>
            </w:r>
          </w:p>
        </w:tc>
      </w:tr>
      <w:tr w:rsidR="006E2378" w:rsidRPr="00B01F9E" w14:paraId="58BCFD34" w14:textId="77777777" w:rsidTr="003F5FEE">
        <w:trPr>
          <w:trHeight w:val="143"/>
        </w:trPr>
        <w:tc>
          <w:tcPr>
            <w:tcW w:w="630" w:type="dxa"/>
          </w:tcPr>
          <w:p w14:paraId="3646B19E" w14:textId="5FBACEBD" w:rsidR="006E2378" w:rsidRPr="00B01F9E" w:rsidRDefault="003175F1" w:rsidP="003F5FEE">
            <w:pPr>
              <w:rPr>
                <w:rFonts w:ascii="Arial" w:hAnsi="Arial" w:cs="Arial"/>
                <w:sz w:val="20"/>
                <w:szCs w:val="20"/>
              </w:rPr>
            </w:pPr>
            <w:r w:rsidRPr="00B01F9E">
              <w:rPr>
                <w:rFonts w:ascii="Arial" w:hAnsi="Arial" w:cs="Arial"/>
                <w:sz w:val="20"/>
                <w:szCs w:val="20"/>
              </w:rPr>
              <w:t>6.0</w:t>
            </w:r>
          </w:p>
        </w:tc>
        <w:tc>
          <w:tcPr>
            <w:tcW w:w="2340" w:type="dxa"/>
          </w:tcPr>
          <w:p w14:paraId="638034AF" w14:textId="03ED00DC" w:rsidR="006E2378" w:rsidRPr="00B01F9E" w:rsidRDefault="006E2378" w:rsidP="003F5FEE">
            <w:pPr>
              <w:rPr>
                <w:rFonts w:ascii="Arial" w:hAnsi="Arial" w:cs="Arial"/>
                <w:sz w:val="20"/>
                <w:szCs w:val="20"/>
              </w:rPr>
            </w:pPr>
            <w:r w:rsidRPr="00B01F9E">
              <w:rPr>
                <w:rFonts w:ascii="Arial" w:hAnsi="Arial" w:cs="Arial"/>
                <w:sz w:val="20"/>
                <w:szCs w:val="20"/>
              </w:rPr>
              <w:t>Latest LIDR Test Compendium Report from Duke</w:t>
            </w:r>
          </w:p>
        </w:tc>
        <w:tc>
          <w:tcPr>
            <w:tcW w:w="6480" w:type="dxa"/>
          </w:tcPr>
          <w:p w14:paraId="487201D4" w14:textId="119E63F6" w:rsidR="006E2378" w:rsidRPr="00B01F9E" w:rsidRDefault="006E2378" w:rsidP="003F5FEE">
            <w:pPr>
              <w:rPr>
                <w:rFonts w:ascii="Arial" w:eastAsiaTheme="majorEastAsia" w:hAnsi="Arial" w:cs="Arial"/>
                <w:color w:val="000000"/>
                <w:sz w:val="20"/>
                <w:szCs w:val="20"/>
              </w:rPr>
            </w:pPr>
            <w:r w:rsidRPr="00B01F9E">
              <w:rPr>
                <w:rFonts w:ascii="Arial" w:eastAsiaTheme="majorEastAsia" w:hAnsi="Arial" w:cs="Arial"/>
                <w:color w:val="000000"/>
                <w:sz w:val="20"/>
                <w:szCs w:val="20"/>
              </w:rPr>
              <w:t>Excel document containing the latest LIDR Test Compendium Report delivered by Duke during testing, containing build errors and extra data.</w:t>
            </w:r>
          </w:p>
        </w:tc>
      </w:tr>
      <w:tr w:rsidR="006E2378" w:rsidRPr="00B01F9E" w14:paraId="109B5328" w14:textId="77777777" w:rsidTr="003F5FEE">
        <w:trPr>
          <w:trHeight w:val="143"/>
        </w:trPr>
        <w:tc>
          <w:tcPr>
            <w:tcW w:w="630" w:type="dxa"/>
          </w:tcPr>
          <w:p w14:paraId="34E21A99" w14:textId="405F6D33" w:rsidR="006E2378" w:rsidRPr="00B01F9E" w:rsidRDefault="00C60033" w:rsidP="003F5FEE">
            <w:pPr>
              <w:rPr>
                <w:rFonts w:ascii="Arial" w:hAnsi="Arial" w:cs="Arial"/>
                <w:sz w:val="20"/>
                <w:szCs w:val="20"/>
              </w:rPr>
            </w:pPr>
            <w:r w:rsidRPr="00B01F9E">
              <w:rPr>
                <w:rFonts w:ascii="Arial" w:hAnsi="Arial" w:cs="Arial"/>
                <w:sz w:val="20"/>
                <w:szCs w:val="20"/>
              </w:rPr>
              <w:t>7.0</w:t>
            </w:r>
          </w:p>
        </w:tc>
        <w:tc>
          <w:tcPr>
            <w:tcW w:w="2340" w:type="dxa"/>
          </w:tcPr>
          <w:p w14:paraId="3363C89C" w14:textId="3A46456C" w:rsidR="006E2378" w:rsidRPr="00B01F9E" w:rsidRDefault="006E2378" w:rsidP="003F5FEE">
            <w:pPr>
              <w:rPr>
                <w:rFonts w:ascii="Arial" w:hAnsi="Arial" w:cs="Arial"/>
                <w:sz w:val="20"/>
                <w:szCs w:val="20"/>
              </w:rPr>
            </w:pPr>
            <w:r w:rsidRPr="00B01F9E">
              <w:rPr>
                <w:rFonts w:ascii="Arial" w:hAnsi="Arial" w:cs="Arial"/>
                <w:sz w:val="20"/>
                <w:szCs w:val="20"/>
              </w:rPr>
              <w:t>“Ideal” LIDR Test Compendium Report</w:t>
            </w:r>
          </w:p>
        </w:tc>
        <w:tc>
          <w:tcPr>
            <w:tcW w:w="6480" w:type="dxa"/>
          </w:tcPr>
          <w:p w14:paraId="1613CC8F" w14:textId="0C00CF35" w:rsidR="006E2378" w:rsidRPr="00B01F9E" w:rsidRDefault="006E2378" w:rsidP="003F5FEE">
            <w:pPr>
              <w:rPr>
                <w:rFonts w:ascii="Arial" w:eastAsiaTheme="majorEastAsia" w:hAnsi="Arial" w:cs="Arial"/>
                <w:color w:val="000000"/>
                <w:sz w:val="20"/>
                <w:szCs w:val="20"/>
              </w:rPr>
            </w:pPr>
            <w:r w:rsidRPr="00B01F9E">
              <w:rPr>
                <w:rFonts w:ascii="Arial" w:eastAsiaTheme="majorEastAsia" w:hAnsi="Arial" w:cs="Arial"/>
                <w:color w:val="000000"/>
                <w:sz w:val="20"/>
                <w:szCs w:val="20"/>
              </w:rPr>
              <w:t>Excel document containing an “ideal” test compendium report based on the generated LIDR Test Compendium Report from the Duke laboratory.</w:t>
            </w:r>
            <w:r w:rsidRPr="00B01F9E">
              <w:rPr>
                <w:rFonts w:ascii="Arial" w:hAnsi="Arial" w:cs="Arial"/>
                <w:sz w:val="20"/>
                <w:szCs w:val="20"/>
              </w:rPr>
              <w:t xml:space="preserve"> </w:t>
            </w:r>
            <w:r w:rsidRPr="00B01F9E">
              <w:rPr>
                <w:rFonts w:ascii="Arial" w:eastAsiaTheme="majorEastAsia" w:hAnsi="Arial" w:cs="Arial"/>
                <w:color w:val="000000"/>
                <w:sz w:val="20"/>
                <w:szCs w:val="20"/>
              </w:rPr>
              <w:t>This ideal report was modified by removing extraneous information and adding required LIDR elements that could not be captured initially.</w:t>
            </w:r>
          </w:p>
        </w:tc>
      </w:tr>
      <w:tr w:rsidR="006E2378" w:rsidRPr="00B01F9E" w14:paraId="73503C9A" w14:textId="77777777" w:rsidTr="003F5FEE">
        <w:trPr>
          <w:trHeight w:val="720"/>
        </w:trPr>
        <w:tc>
          <w:tcPr>
            <w:tcW w:w="630" w:type="dxa"/>
          </w:tcPr>
          <w:p w14:paraId="07AF20CC" w14:textId="7C584A81" w:rsidR="006E2378" w:rsidRPr="00B01F9E" w:rsidRDefault="00C60033" w:rsidP="003F5FEE">
            <w:pPr>
              <w:rPr>
                <w:rFonts w:ascii="Arial" w:hAnsi="Arial" w:cs="Arial"/>
                <w:sz w:val="20"/>
                <w:szCs w:val="20"/>
              </w:rPr>
            </w:pPr>
            <w:r w:rsidRPr="00B01F9E">
              <w:rPr>
                <w:rFonts w:ascii="Arial" w:hAnsi="Arial" w:cs="Arial"/>
                <w:sz w:val="20"/>
                <w:szCs w:val="20"/>
              </w:rPr>
              <w:t>8.0</w:t>
            </w:r>
          </w:p>
        </w:tc>
        <w:tc>
          <w:tcPr>
            <w:tcW w:w="2340" w:type="dxa"/>
          </w:tcPr>
          <w:p w14:paraId="0090FA75" w14:textId="7BB5C763" w:rsidR="006E2378" w:rsidRPr="00B01F9E" w:rsidRDefault="006E2378" w:rsidP="003F5FEE">
            <w:pPr>
              <w:rPr>
                <w:rFonts w:ascii="Arial" w:hAnsi="Arial" w:cs="Arial"/>
                <w:sz w:val="20"/>
                <w:szCs w:val="20"/>
              </w:rPr>
            </w:pPr>
            <w:r w:rsidRPr="00B01F9E">
              <w:rPr>
                <w:rFonts w:ascii="Arial" w:hAnsi="Arial" w:cs="Arial"/>
                <w:sz w:val="20"/>
                <w:szCs w:val="20"/>
              </w:rPr>
              <w:t>Links to search tools for LOINC, SNOMED CT, and GUDID</w:t>
            </w:r>
          </w:p>
        </w:tc>
        <w:tc>
          <w:tcPr>
            <w:tcW w:w="6480" w:type="dxa"/>
          </w:tcPr>
          <w:p w14:paraId="02A5BCC0" w14:textId="08279B42" w:rsidR="006E2378" w:rsidRPr="00B01F9E" w:rsidRDefault="00000000" w:rsidP="003F5FEE">
            <w:pPr>
              <w:pStyle w:val="ListParagraph"/>
              <w:numPr>
                <w:ilvl w:val="0"/>
                <w:numId w:val="105"/>
              </w:numPr>
              <w:rPr>
                <w:rFonts w:ascii="Arial" w:hAnsi="Arial" w:cs="Arial"/>
                <w:sz w:val="20"/>
                <w:szCs w:val="20"/>
              </w:rPr>
            </w:pPr>
            <w:hyperlink r:id="rId128" w:history="1">
              <w:r w:rsidR="006E2378" w:rsidRPr="00B01F9E">
                <w:rPr>
                  <w:rStyle w:val="Hyperlink"/>
                  <w:rFonts w:ascii="Arial" w:hAnsi="Arial" w:cs="Arial"/>
                  <w:sz w:val="20"/>
                  <w:szCs w:val="20"/>
                </w:rPr>
                <w:t>LOINC</w:t>
              </w:r>
              <w:r w:rsidR="005615B3" w:rsidRPr="00B01F9E">
                <w:rPr>
                  <w:rStyle w:val="Hyperlink"/>
                  <w:rFonts w:ascii="Arial" w:hAnsi="Arial" w:cs="Arial"/>
                  <w:sz w:val="20"/>
                  <w:szCs w:val="20"/>
                </w:rPr>
                <w:t xml:space="preserve"> Search Tool</w:t>
              </w:r>
            </w:hyperlink>
          </w:p>
          <w:p w14:paraId="3C6AABB1" w14:textId="16BFAA07" w:rsidR="006E2378" w:rsidRPr="00B01F9E" w:rsidRDefault="00000000" w:rsidP="003F5FEE">
            <w:pPr>
              <w:pStyle w:val="ListParagraph"/>
              <w:numPr>
                <w:ilvl w:val="0"/>
                <w:numId w:val="92"/>
              </w:numPr>
              <w:rPr>
                <w:rFonts w:ascii="Arial" w:hAnsi="Arial" w:cs="Arial"/>
                <w:sz w:val="20"/>
                <w:szCs w:val="20"/>
              </w:rPr>
            </w:pPr>
            <w:hyperlink r:id="rId129" w:history="1">
              <w:r w:rsidR="00967B31" w:rsidRPr="00B01F9E">
                <w:rPr>
                  <w:rStyle w:val="Hyperlink"/>
                  <w:rFonts w:ascii="Arial" w:hAnsi="Arial" w:cs="Arial"/>
                  <w:sz w:val="20"/>
                  <w:szCs w:val="20"/>
                </w:rPr>
                <w:t>SNOMED CT Search Tool</w:t>
              </w:r>
            </w:hyperlink>
          </w:p>
          <w:p w14:paraId="54E5147F" w14:textId="77B42161" w:rsidR="006E2378" w:rsidRPr="00B01F9E" w:rsidRDefault="00000000" w:rsidP="003F5FEE">
            <w:pPr>
              <w:pStyle w:val="ListParagraph"/>
              <w:numPr>
                <w:ilvl w:val="0"/>
                <w:numId w:val="91"/>
              </w:numPr>
              <w:rPr>
                <w:rFonts w:ascii="Arial" w:hAnsi="Arial" w:cs="Arial"/>
                <w:sz w:val="20"/>
                <w:szCs w:val="20"/>
              </w:rPr>
            </w:pPr>
            <w:hyperlink r:id="rId130" w:history="1">
              <w:r w:rsidR="006E2378" w:rsidRPr="00B01F9E">
                <w:rPr>
                  <w:rStyle w:val="Hyperlink"/>
                  <w:rFonts w:ascii="Arial" w:hAnsi="Arial" w:cs="Arial"/>
                  <w:sz w:val="20"/>
                  <w:szCs w:val="20"/>
                </w:rPr>
                <w:t>GUDID</w:t>
              </w:r>
              <w:r w:rsidR="00967B31" w:rsidRPr="00B01F9E">
                <w:rPr>
                  <w:rStyle w:val="Hyperlink"/>
                  <w:rFonts w:ascii="Arial" w:hAnsi="Arial" w:cs="Arial"/>
                  <w:sz w:val="20"/>
                  <w:szCs w:val="20"/>
                </w:rPr>
                <w:t xml:space="preserve"> Search Tool</w:t>
              </w:r>
            </w:hyperlink>
            <w:r w:rsidR="006E2378" w:rsidRPr="00B01F9E">
              <w:rPr>
                <w:rStyle w:val="eop"/>
                <w:rFonts w:ascii="Arial" w:hAnsi="Arial" w:cs="Arial"/>
                <w:sz w:val="20"/>
                <w:szCs w:val="20"/>
                <w:shd w:val="clear" w:color="auto" w:fill="FFFFFF"/>
              </w:rPr>
              <w:t> </w:t>
            </w:r>
            <w:r w:rsidR="006E2378" w:rsidRPr="00B01F9E">
              <w:rPr>
                <w:rFonts w:ascii="Arial" w:hAnsi="Arial" w:cs="Arial"/>
                <w:sz w:val="20"/>
                <w:szCs w:val="20"/>
              </w:rPr>
              <w:t xml:space="preserve"> </w:t>
            </w:r>
          </w:p>
        </w:tc>
      </w:tr>
      <w:tr w:rsidR="006E2378" w:rsidRPr="00B01F9E" w14:paraId="077F7B3B" w14:textId="77777777" w:rsidTr="003F5FEE">
        <w:trPr>
          <w:trHeight w:val="872"/>
        </w:trPr>
        <w:tc>
          <w:tcPr>
            <w:tcW w:w="630" w:type="dxa"/>
          </w:tcPr>
          <w:p w14:paraId="04FB1B5E" w14:textId="6480132F" w:rsidR="006E2378" w:rsidRPr="00B01F9E" w:rsidRDefault="00C60033" w:rsidP="003F5FEE">
            <w:pPr>
              <w:rPr>
                <w:rFonts w:ascii="Arial" w:hAnsi="Arial" w:cs="Arial"/>
                <w:sz w:val="20"/>
                <w:szCs w:val="20"/>
              </w:rPr>
            </w:pPr>
            <w:r w:rsidRPr="00B01F9E">
              <w:rPr>
                <w:rFonts w:ascii="Arial" w:hAnsi="Arial" w:cs="Arial"/>
                <w:sz w:val="20"/>
                <w:szCs w:val="20"/>
              </w:rPr>
              <w:t>9.0</w:t>
            </w:r>
          </w:p>
        </w:tc>
        <w:tc>
          <w:tcPr>
            <w:tcW w:w="2340" w:type="dxa"/>
          </w:tcPr>
          <w:p w14:paraId="7A61FB6E" w14:textId="7502BC34" w:rsidR="006E2378" w:rsidRPr="00B01F9E" w:rsidRDefault="006E2378" w:rsidP="003F5FEE">
            <w:pPr>
              <w:rPr>
                <w:rFonts w:ascii="Arial" w:hAnsi="Arial" w:cs="Arial"/>
                <w:sz w:val="20"/>
                <w:szCs w:val="20"/>
              </w:rPr>
            </w:pPr>
            <w:r w:rsidRPr="00B01F9E">
              <w:rPr>
                <w:rFonts w:ascii="Arial" w:hAnsi="Arial" w:cs="Arial"/>
                <w:sz w:val="20"/>
                <w:szCs w:val="20"/>
              </w:rPr>
              <w:t xml:space="preserve">Sample Instance Error Check QA Analysis Email Notification </w:t>
            </w:r>
          </w:p>
        </w:tc>
        <w:tc>
          <w:tcPr>
            <w:tcW w:w="6480" w:type="dxa"/>
          </w:tcPr>
          <w:p w14:paraId="5373A6DD" w14:textId="1D9DB9F8" w:rsidR="006E2378" w:rsidRPr="00B01F9E" w:rsidRDefault="006E2378" w:rsidP="003F5FEE">
            <w:pPr>
              <w:rPr>
                <w:rFonts w:ascii="Arial" w:hAnsi="Arial" w:cs="Arial"/>
                <w:sz w:val="20"/>
                <w:szCs w:val="20"/>
              </w:rPr>
            </w:pPr>
            <w:r w:rsidRPr="00B01F9E">
              <w:rPr>
                <w:rFonts w:ascii="Arial" w:hAnsi="Arial" w:cs="Arial"/>
                <w:sz w:val="20"/>
                <w:szCs w:val="20"/>
              </w:rPr>
              <w:t>PDF samples of the Instance Error Check QA Analysis Email Notification that indicates whether the various elements of the test kit have passed or failed.</w:t>
            </w:r>
            <w:r w:rsidR="009A2A75" w:rsidRPr="00B01F9E">
              <w:rPr>
                <w:rFonts w:ascii="Arial" w:hAnsi="Arial" w:cs="Arial"/>
                <w:sz w:val="20"/>
                <w:szCs w:val="20"/>
              </w:rPr>
              <w:t xml:space="preserve"> </w:t>
            </w:r>
            <w:r w:rsidR="000405E5" w:rsidRPr="00B01F9E">
              <w:rPr>
                <w:rFonts w:ascii="Arial" w:hAnsi="Arial" w:cs="Arial"/>
                <w:sz w:val="20"/>
                <w:szCs w:val="20"/>
              </w:rPr>
              <w:t>Notifications for the</w:t>
            </w:r>
            <w:r w:rsidR="009A2A75" w:rsidRPr="00B01F9E">
              <w:rPr>
                <w:rFonts w:ascii="Arial" w:hAnsi="Arial" w:cs="Arial"/>
                <w:sz w:val="20"/>
                <w:szCs w:val="20"/>
              </w:rPr>
              <w:t xml:space="preserve"> following tests are included: </w:t>
            </w:r>
          </w:p>
          <w:p w14:paraId="7A04E885" w14:textId="26AB02EE" w:rsidR="009A2A75" w:rsidRPr="00B01F9E" w:rsidRDefault="009A2A75" w:rsidP="003F5FEE">
            <w:pPr>
              <w:numPr>
                <w:ilvl w:val="0"/>
                <w:numId w:val="22"/>
              </w:numPr>
              <w:rPr>
                <w:rFonts w:ascii="Arial" w:hAnsi="Arial" w:cs="Arial"/>
                <w:sz w:val="20"/>
                <w:szCs w:val="20"/>
              </w:rPr>
            </w:pPr>
            <w:r w:rsidRPr="00B01F9E">
              <w:rPr>
                <w:rFonts w:ascii="Arial" w:hAnsi="Arial" w:cs="Arial"/>
                <w:sz w:val="20"/>
                <w:szCs w:val="20"/>
              </w:rPr>
              <w:t xml:space="preserve">9.1 - Basic Metabolic Panel </w:t>
            </w:r>
          </w:p>
          <w:p w14:paraId="295922E4" w14:textId="462C4E64" w:rsidR="009A2A75" w:rsidRPr="00B01F9E" w:rsidRDefault="009A2A75" w:rsidP="003F5FEE">
            <w:pPr>
              <w:numPr>
                <w:ilvl w:val="0"/>
                <w:numId w:val="22"/>
              </w:numPr>
              <w:rPr>
                <w:rFonts w:ascii="Arial" w:hAnsi="Arial" w:cs="Arial"/>
                <w:sz w:val="20"/>
                <w:szCs w:val="20"/>
              </w:rPr>
            </w:pPr>
            <w:r w:rsidRPr="00B01F9E">
              <w:rPr>
                <w:rFonts w:ascii="Arial" w:hAnsi="Arial" w:cs="Arial"/>
                <w:sz w:val="20"/>
                <w:szCs w:val="20"/>
              </w:rPr>
              <w:t xml:space="preserve">9.2 - Blood Culture with AST and ID </w:t>
            </w:r>
          </w:p>
          <w:p w14:paraId="5B9C3FF2" w14:textId="173934F3" w:rsidR="009A2A75" w:rsidRPr="00B01F9E" w:rsidRDefault="009A2A75" w:rsidP="003F5FEE">
            <w:pPr>
              <w:numPr>
                <w:ilvl w:val="0"/>
                <w:numId w:val="22"/>
              </w:numPr>
              <w:rPr>
                <w:rFonts w:ascii="Arial" w:hAnsi="Arial" w:cs="Arial"/>
                <w:sz w:val="20"/>
                <w:szCs w:val="20"/>
              </w:rPr>
            </w:pPr>
            <w:r w:rsidRPr="00B01F9E">
              <w:rPr>
                <w:rFonts w:ascii="Arial" w:hAnsi="Arial" w:cs="Arial"/>
                <w:sz w:val="20"/>
                <w:szCs w:val="20"/>
              </w:rPr>
              <w:t>9.3 - Complete Urinalysis</w:t>
            </w:r>
          </w:p>
          <w:p w14:paraId="17582967" w14:textId="0BE1C0AA" w:rsidR="009A2A75" w:rsidRPr="00B01F9E" w:rsidRDefault="009A2A75" w:rsidP="003F5FEE">
            <w:pPr>
              <w:numPr>
                <w:ilvl w:val="0"/>
                <w:numId w:val="22"/>
              </w:numPr>
              <w:rPr>
                <w:rFonts w:ascii="Arial" w:hAnsi="Arial" w:cs="Arial"/>
                <w:sz w:val="20"/>
                <w:szCs w:val="20"/>
              </w:rPr>
            </w:pPr>
            <w:r w:rsidRPr="00B01F9E">
              <w:rPr>
                <w:rFonts w:ascii="Arial" w:hAnsi="Arial" w:cs="Arial"/>
                <w:sz w:val="20"/>
                <w:szCs w:val="20"/>
              </w:rPr>
              <w:t>9.4 - Plasma Creatinine</w:t>
            </w:r>
          </w:p>
          <w:p w14:paraId="1BF7AB9E" w14:textId="634B5554" w:rsidR="009A2A75" w:rsidRPr="00B01F9E" w:rsidRDefault="009A2A75" w:rsidP="003F5FEE">
            <w:pPr>
              <w:numPr>
                <w:ilvl w:val="0"/>
                <w:numId w:val="22"/>
              </w:numPr>
              <w:rPr>
                <w:rFonts w:ascii="Arial" w:hAnsi="Arial" w:cs="Arial"/>
                <w:sz w:val="20"/>
                <w:szCs w:val="20"/>
              </w:rPr>
            </w:pPr>
            <w:r w:rsidRPr="00B01F9E">
              <w:rPr>
                <w:rFonts w:ascii="Arial" w:hAnsi="Arial" w:cs="Arial"/>
                <w:sz w:val="20"/>
                <w:szCs w:val="20"/>
              </w:rPr>
              <w:t>9.5 - Respiratory Viral Panel</w:t>
            </w:r>
          </w:p>
        </w:tc>
      </w:tr>
      <w:tr w:rsidR="006E2378" w:rsidRPr="00B01F9E" w14:paraId="7B54A3A6" w14:textId="77777777" w:rsidTr="003F5FEE">
        <w:trPr>
          <w:trHeight w:val="720"/>
        </w:trPr>
        <w:tc>
          <w:tcPr>
            <w:tcW w:w="630" w:type="dxa"/>
          </w:tcPr>
          <w:p w14:paraId="606CC553" w14:textId="4098FA45" w:rsidR="006E2378" w:rsidRPr="00B01F9E" w:rsidRDefault="00C60033" w:rsidP="003F5FEE">
            <w:pPr>
              <w:rPr>
                <w:rFonts w:ascii="Arial" w:hAnsi="Arial" w:cs="Arial"/>
                <w:sz w:val="20"/>
                <w:szCs w:val="20"/>
              </w:rPr>
            </w:pPr>
            <w:r w:rsidRPr="00B01F9E">
              <w:rPr>
                <w:rFonts w:ascii="Arial" w:hAnsi="Arial" w:cs="Arial"/>
                <w:sz w:val="20"/>
                <w:szCs w:val="20"/>
              </w:rPr>
              <w:t>10.0</w:t>
            </w:r>
          </w:p>
        </w:tc>
        <w:tc>
          <w:tcPr>
            <w:tcW w:w="2340" w:type="dxa"/>
          </w:tcPr>
          <w:p w14:paraId="55CE74BF" w14:textId="7DE54AA0" w:rsidR="006E2378" w:rsidRPr="00B01F9E" w:rsidRDefault="006E2378" w:rsidP="003F5FEE">
            <w:pPr>
              <w:rPr>
                <w:rFonts w:ascii="Arial" w:hAnsi="Arial" w:cs="Arial"/>
                <w:sz w:val="20"/>
                <w:szCs w:val="20"/>
              </w:rPr>
            </w:pPr>
            <w:r w:rsidRPr="00B01F9E">
              <w:rPr>
                <w:rFonts w:ascii="Arial" w:hAnsi="Arial" w:cs="Arial"/>
                <w:sz w:val="20"/>
                <w:szCs w:val="20"/>
              </w:rPr>
              <w:t>Sample LIDR Administrator Notification</w:t>
            </w:r>
          </w:p>
        </w:tc>
        <w:tc>
          <w:tcPr>
            <w:tcW w:w="6480" w:type="dxa"/>
          </w:tcPr>
          <w:p w14:paraId="6C61B473" w14:textId="03369EA7" w:rsidR="006E2378" w:rsidRPr="00B01F9E" w:rsidRDefault="006E2378" w:rsidP="003F5FEE">
            <w:pPr>
              <w:rPr>
                <w:rFonts w:ascii="Arial" w:hAnsi="Arial" w:cs="Arial"/>
                <w:sz w:val="20"/>
                <w:szCs w:val="20"/>
              </w:rPr>
            </w:pPr>
            <w:r w:rsidRPr="00B01F9E">
              <w:rPr>
                <w:rFonts w:ascii="Arial" w:hAnsi="Arial" w:cs="Arial"/>
                <w:sz w:val="20"/>
                <w:szCs w:val="20"/>
              </w:rPr>
              <w:t>PDF sample of the message sent to the LIDR Administrator notifying them of repeated failures that could potentially be due to an error by the IVD manufacturers.</w:t>
            </w:r>
          </w:p>
        </w:tc>
      </w:tr>
      <w:tr w:rsidR="00F02167" w:rsidRPr="00B01F9E" w14:paraId="221DE5FB" w14:textId="77777777" w:rsidTr="003F5FEE">
        <w:trPr>
          <w:trHeight w:val="720"/>
        </w:trPr>
        <w:tc>
          <w:tcPr>
            <w:tcW w:w="630" w:type="dxa"/>
          </w:tcPr>
          <w:p w14:paraId="2F0DDDBB" w14:textId="0705A71C" w:rsidR="00F02167" w:rsidRPr="00B01F9E" w:rsidRDefault="00F02167" w:rsidP="003F5FEE">
            <w:pPr>
              <w:rPr>
                <w:rFonts w:ascii="Arial" w:hAnsi="Arial" w:cs="Arial"/>
                <w:sz w:val="20"/>
                <w:szCs w:val="20"/>
              </w:rPr>
            </w:pPr>
            <w:r w:rsidRPr="00B01F9E">
              <w:rPr>
                <w:rFonts w:ascii="Arial" w:hAnsi="Arial" w:cs="Arial"/>
                <w:sz w:val="20"/>
                <w:szCs w:val="20"/>
              </w:rPr>
              <w:lastRenderedPageBreak/>
              <w:t>11.0</w:t>
            </w:r>
          </w:p>
        </w:tc>
        <w:tc>
          <w:tcPr>
            <w:tcW w:w="2340" w:type="dxa"/>
          </w:tcPr>
          <w:p w14:paraId="42001059" w14:textId="063F4BB6" w:rsidR="00F02167" w:rsidRPr="00B01F9E" w:rsidRDefault="0042421B" w:rsidP="003F5FEE">
            <w:pPr>
              <w:rPr>
                <w:rFonts w:ascii="Arial" w:hAnsi="Arial" w:cs="Arial"/>
                <w:sz w:val="20"/>
                <w:szCs w:val="20"/>
              </w:rPr>
            </w:pPr>
            <w:r w:rsidRPr="00B01F9E">
              <w:rPr>
                <w:rFonts w:ascii="Arial" w:hAnsi="Arial" w:cs="Arial"/>
                <w:sz w:val="20"/>
                <w:szCs w:val="20"/>
              </w:rPr>
              <w:t>Instance Error Check</w:t>
            </w:r>
            <w:r w:rsidR="00AE3BDD" w:rsidRPr="00B01F9E">
              <w:rPr>
                <w:rFonts w:ascii="Arial" w:hAnsi="Arial" w:cs="Arial"/>
                <w:sz w:val="20"/>
                <w:szCs w:val="20"/>
              </w:rPr>
              <w:t xml:space="preserve"> Demonstration Video</w:t>
            </w:r>
          </w:p>
        </w:tc>
        <w:tc>
          <w:tcPr>
            <w:tcW w:w="6480" w:type="dxa"/>
          </w:tcPr>
          <w:p w14:paraId="177FEFC4" w14:textId="0599DB12" w:rsidR="007C0E4D" w:rsidRPr="00B01F9E" w:rsidRDefault="00C677F2" w:rsidP="003F5FEE">
            <w:pPr>
              <w:rPr>
                <w:rFonts w:ascii="Arial" w:hAnsi="Arial" w:cs="Arial"/>
                <w:sz w:val="20"/>
                <w:szCs w:val="20"/>
              </w:rPr>
            </w:pPr>
            <w:r w:rsidRPr="00B01F9E">
              <w:rPr>
                <w:rFonts w:ascii="Arial" w:hAnsi="Arial" w:cs="Arial"/>
                <w:sz w:val="20"/>
                <w:szCs w:val="20"/>
              </w:rPr>
              <w:t xml:space="preserve">Provides a demonstration of </w:t>
            </w:r>
            <w:r w:rsidR="00623698" w:rsidRPr="00B01F9E">
              <w:rPr>
                <w:rFonts w:ascii="Arial" w:hAnsi="Arial" w:cs="Arial"/>
                <w:sz w:val="20"/>
                <w:szCs w:val="20"/>
              </w:rPr>
              <w:t xml:space="preserve">the </w:t>
            </w:r>
            <w:r w:rsidR="0042421B" w:rsidRPr="00B01F9E">
              <w:rPr>
                <w:rFonts w:ascii="Arial" w:hAnsi="Arial" w:cs="Arial"/>
                <w:sz w:val="20"/>
                <w:szCs w:val="20"/>
              </w:rPr>
              <w:t>Instance Error Check</w:t>
            </w:r>
            <w:r w:rsidR="00623698" w:rsidRPr="00B01F9E">
              <w:rPr>
                <w:rFonts w:ascii="Arial" w:hAnsi="Arial" w:cs="Arial"/>
                <w:sz w:val="20"/>
                <w:szCs w:val="20"/>
              </w:rPr>
              <w:t xml:space="preserve"> workflow and transmission o</w:t>
            </w:r>
            <w:r w:rsidRPr="00B01F9E">
              <w:rPr>
                <w:rFonts w:ascii="Arial" w:hAnsi="Arial" w:cs="Arial"/>
                <w:sz w:val="20"/>
                <w:szCs w:val="20"/>
              </w:rPr>
              <w:t xml:space="preserve">f test results from Duke to the CAP. </w:t>
            </w:r>
            <w:r w:rsidR="00E17CA6" w:rsidRPr="00B01F9E">
              <w:rPr>
                <w:rFonts w:ascii="Arial" w:hAnsi="Arial" w:cs="Arial"/>
                <w:sz w:val="20"/>
                <w:szCs w:val="20"/>
              </w:rPr>
              <w:t>The video can be accessed here:</w:t>
            </w:r>
            <w:r w:rsidR="0042421B" w:rsidRPr="00B01F9E">
              <w:rPr>
                <w:rFonts w:ascii="Arial" w:hAnsi="Arial" w:cs="Arial"/>
                <w:sz w:val="20"/>
                <w:szCs w:val="20"/>
              </w:rPr>
              <w:t xml:space="preserve"> </w:t>
            </w:r>
            <w:hyperlink r:id="rId131" w:history="1">
              <w:r w:rsidR="00E17CA6" w:rsidRPr="00B01F9E">
                <w:rPr>
                  <w:rStyle w:val="Hyperlink"/>
                  <w:rFonts w:ascii="Arial" w:hAnsi="Arial" w:cs="Arial"/>
                  <w:sz w:val="20"/>
                  <w:szCs w:val="20"/>
                </w:rPr>
                <w:t>Instance Error Check Demonstration Video</w:t>
              </w:r>
            </w:hyperlink>
            <w:r w:rsidR="00E17CA6" w:rsidRPr="00B01F9E">
              <w:rPr>
                <w:rFonts w:ascii="Arial" w:hAnsi="Arial" w:cs="Arial"/>
                <w:sz w:val="20"/>
                <w:szCs w:val="20"/>
              </w:rPr>
              <w:t xml:space="preserve">  </w:t>
            </w:r>
          </w:p>
        </w:tc>
      </w:tr>
    </w:tbl>
    <w:p w14:paraId="65190411" w14:textId="4442C782" w:rsidR="00627BF4" w:rsidRPr="00B01F9E" w:rsidRDefault="008403D3" w:rsidP="00163CA6">
      <w:pPr>
        <w:pStyle w:val="Heading4"/>
        <w:spacing w:before="120" w:after="120"/>
        <w:rPr>
          <w:rFonts w:ascii="Arial" w:hAnsi="Arial" w:cs="Arial"/>
          <w:b/>
          <w:color w:val="009BBF"/>
          <w:sz w:val="20"/>
          <w:szCs w:val="20"/>
        </w:rPr>
      </w:pPr>
      <w:bookmarkStart w:id="397" w:name="_8.3.1.1_Environment_Development"/>
      <w:bookmarkStart w:id="398" w:name="_7.3.1.1_Environment_Development"/>
      <w:bookmarkEnd w:id="397"/>
      <w:bookmarkEnd w:id="398"/>
      <w:r w:rsidRPr="00B01F9E">
        <w:rPr>
          <w:rFonts w:ascii="Arial" w:hAnsi="Arial" w:cs="Arial"/>
          <w:b/>
          <w:bCs/>
          <w:color w:val="009BBF"/>
          <w:sz w:val="20"/>
          <w:szCs w:val="20"/>
        </w:rPr>
        <w:t>7</w:t>
      </w:r>
      <w:r w:rsidR="00480254" w:rsidRPr="00B01F9E">
        <w:rPr>
          <w:rFonts w:ascii="Arial" w:hAnsi="Arial" w:cs="Arial"/>
          <w:b/>
          <w:bCs/>
          <w:color w:val="009BBF"/>
          <w:sz w:val="20"/>
          <w:szCs w:val="20"/>
        </w:rPr>
        <w:t>.</w:t>
      </w:r>
      <w:r w:rsidR="009C6A7C" w:rsidRPr="00B01F9E">
        <w:rPr>
          <w:rFonts w:ascii="Arial" w:hAnsi="Arial" w:cs="Arial"/>
          <w:b/>
          <w:bCs/>
          <w:color w:val="009BBF"/>
          <w:sz w:val="20"/>
          <w:szCs w:val="20"/>
        </w:rPr>
        <w:t>3</w:t>
      </w:r>
      <w:r w:rsidR="00480254" w:rsidRPr="00B01F9E">
        <w:rPr>
          <w:rFonts w:ascii="Arial" w:hAnsi="Arial" w:cs="Arial"/>
          <w:b/>
          <w:bCs/>
          <w:color w:val="009BBF"/>
          <w:sz w:val="20"/>
          <w:szCs w:val="20"/>
        </w:rPr>
        <w:t>.1</w:t>
      </w:r>
      <w:r w:rsidR="00E5655E" w:rsidRPr="00B01F9E">
        <w:rPr>
          <w:rFonts w:ascii="Arial" w:hAnsi="Arial" w:cs="Arial"/>
          <w:b/>
          <w:bCs/>
          <w:color w:val="009BBF"/>
          <w:sz w:val="20"/>
          <w:szCs w:val="20"/>
        </w:rPr>
        <w:t>.1</w:t>
      </w:r>
      <w:r w:rsidR="00480254" w:rsidRPr="00B01F9E">
        <w:rPr>
          <w:rFonts w:ascii="Arial" w:hAnsi="Arial" w:cs="Arial"/>
          <w:b/>
          <w:bCs/>
          <w:color w:val="009BBF"/>
          <w:sz w:val="20"/>
          <w:szCs w:val="20"/>
        </w:rPr>
        <w:t xml:space="preserve"> </w:t>
      </w:r>
      <w:r w:rsidR="00627BF4" w:rsidRPr="00B01F9E">
        <w:rPr>
          <w:rFonts w:ascii="Arial" w:hAnsi="Arial" w:cs="Arial"/>
          <w:b/>
          <w:color w:val="009BBF"/>
          <w:sz w:val="20"/>
          <w:szCs w:val="20"/>
        </w:rPr>
        <w:t xml:space="preserve">Environment </w:t>
      </w:r>
      <w:r w:rsidR="005E7A9F" w:rsidRPr="00B01F9E">
        <w:rPr>
          <w:rFonts w:ascii="Arial" w:hAnsi="Arial" w:cs="Arial"/>
          <w:b/>
          <w:color w:val="009BBF"/>
          <w:sz w:val="20"/>
          <w:szCs w:val="20"/>
        </w:rPr>
        <w:t>Development</w:t>
      </w:r>
      <w:r w:rsidR="009C6A7C" w:rsidRPr="00B01F9E">
        <w:rPr>
          <w:rFonts w:ascii="Arial" w:hAnsi="Arial" w:cs="Arial"/>
          <w:b/>
          <w:color w:val="009BBF"/>
          <w:sz w:val="20"/>
          <w:szCs w:val="20"/>
        </w:rPr>
        <w:t xml:space="preserve"> </w:t>
      </w:r>
      <w:r w:rsidR="00DD2658" w:rsidRPr="00B01F9E">
        <w:rPr>
          <w:rFonts w:ascii="Arial" w:hAnsi="Arial" w:cs="Arial"/>
          <w:b/>
          <w:bCs/>
          <w:color w:val="009BBF"/>
          <w:sz w:val="20"/>
          <w:szCs w:val="20"/>
        </w:rPr>
        <w:t xml:space="preserve">Details </w:t>
      </w:r>
      <w:r w:rsidR="009C6A7C" w:rsidRPr="00B01F9E">
        <w:rPr>
          <w:rFonts w:ascii="Arial" w:hAnsi="Arial" w:cs="Arial"/>
          <w:b/>
          <w:bCs/>
          <w:color w:val="009BBF"/>
          <w:sz w:val="20"/>
          <w:szCs w:val="20"/>
        </w:rPr>
        <w:t xml:space="preserve"> </w:t>
      </w:r>
    </w:p>
    <w:p w14:paraId="0CE7A0C5" w14:textId="23EE8B85" w:rsidR="0052533B" w:rsidRPr="00B01F9E" w:rsidRDefault="0052533B" w:rsidP="008C4FC4">
      <w:pPr>
        <w:spacing w:after="0"/>
        <w:rPr>
          <w:rFonts w:ascii="Arial" w:hAnsi="Arial" w:cs="Arial"/>
          <w:b/>
          <w:bCs/>
          <w:color w:val="009BBF"/>
          <w:sz w:val="20"/>
          <w:szCs w:val="20"/>
        </w:rPr>
      </w:pPr>
      <w:r w:rsidRPr="00B01F9E">
        <w:rPr>
          <w:rFonts w:ascii="Arial" w:hAnsi="Arial" w:cs="Arial"/>
          <w:b/>
          <w:color w:val="009BBF"/>
          <w:sz w:val="20"/>
          <w:szCs w:val="20"/>
        </w:rPr>
        <w:t xml:space="preserve">Figure </w:t>
      </w:r>
      <w:r w:rsidR="00F71485" w:rsidRPr="00B01F9E">
        <w:rPr>
          <w:rFonts w:ascii="Arial" w:hAnsi="Arial" w:cs="Arial"/>
          <w:b/>
          <w:color w:val="009BBF"/>
          <w:sz w:val="20"/>
          <w:szCs w:val="20"/>
        </w:rPr>
        <w:t>2</w:t>
      </w:r>
      <w:r w:rsidR="00556F80" w:rsidRPr="00B01F9E">
        <w:rPr>
          <w:rFonts w:ascii="Arial" w:hAnsi="Arial" w:cs="Arial"/>
          <w:b/>
          <w:color w:val="009BBF"/>
          <w:sz w:val="20"/>
          <w:szCs w:val="20"/>
        </w:rPr>
        <w:t>8</w:t>
      </w:r>
      <w:r w:rsidRPr="00B01F9E">
        <w:rPr>
          <w:rFonts w:ascii="Arial" w:hAnsi="Arial" w:cs="Arial"/>
          <w:b/>
          <w:color w:val="009BBF"/>
          <w:sz w:val="20"/>
          <w:szCs w:val="20"/>
        </w:rPr>
        <w:t xml:space="preserve">: Intake Interface (CAP)- </w:t>
      </w:r>
      <w:r w:rsidRPr="00B01F9E">
        <w:rPr>
          <w:rFonts w:ascii="Arial" w:hAnsi="Arial" w:cs="Arial"/>
          <w:b/>
          <w:bCs/>
          <w:color w:val="009BBF"/>
          <w:sz w:val="20"/>
          <w:szCs w:val="20"/>
        </w:rPr>
        <w:t>System Design</w:t>
      </w:r>
    </w:p>
    <w:p w14:paraId="1D197024" w14:textId="41A3ADB7" w:rsidR="0052533B" w:rsidRPr="00B01F9E" w:rsidRDefault="00827B37" w:rsidP="008C4FC4">
      <w:pPr>
        <w:spacing w:after="120"/>
        <w:rPr>
          <w:rFonts w:ascii="Arial" w:hAnsi="Arial" w:cs="Arial"/>
          <w:sz w:val="20"/>
          <w:szCs w:val="20"/>
        </w:rPr>
      </w:pPr>
      <w:r w:rsidRPr="00B01F9E">
        <w:rPr>
          <w:rFonts w:ascii="Arial" w:eastAsia="Calibri" w:hAnsi="Arial" w:cs="Arial"/>
          <w:noProof/>
          <w:kern w:val="2"/>
          <w:sz w:val="20"/>
          <w:szCs w:val="20"/>
          <w14:ligatures w14:val="standardContextual"/>
        </w:rPr>
        <w:drawing>
          <wp:inline distT="0" distB="0" distL="0" distR="0" wp14:anchorId="3F4C1056" wp14:editId="237BA5B5">
            <wp:extent cx="5510151" cy="3785874"/>
            <wp:effectExtent l="0" t="0" r="0" b="5080"/>
            <wp:docPr id="109052581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25816" name=""/>
                    <pic:cNvPicPr/>
                  </pic:nvPicPr>
                  <pic:blipFill>
                    <a:blip r:embed="rId132">
                      <a:extLst>
                        <a:ext uri="{96DAC541-7B7A-43D3-8B79-37D633B846F1}">
                          <asvg:svgBlip xmlns:asvg="http://schemas.microsoft.com/office/drawing/2016/SVG/main" r:embed="rId133"/>
                        </a:ext>
                      </a:extLst>
                    </a:blip>
                    <a:stretch>
                      <a:fillRect/>
                    </a:stretch>
                  </pic:blipFill>
                  <pic:spPr>
                    <a:xfrm>
                      <a:off x="0" y="0"/>
                      <a:ext cx="5520437" cy="3792942"/>
                    </a:xfrm>
                    <a:prstGeom prst="rect">
                      <a:avLst/>
                    </a:prstGeom>
                  </pic:spPr>
                </pic:pic>
              </a:graphicData>
            </a:graphic>
          </wp:inline>
        </w:drawing>
      </w:r>
    </w:p>
    <w:p w14:paraId="7158CEEC"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The CAP deploys all the entities for this POC into a dedicated Amazon Web Services account, ensuring that only resources pertinent to this project are configured in the FDA-POC cloud environment.</w:t>
      </w:r>
    </w:p>
    <w:p w14:paraId="77072313"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The architecture adheres to the CAP’s approved principles and guidelines.</w:t>
      </w:r>
    </w:p>
    <w:p w14:paraId="67D98D1B"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All infrastructure resources are placed in a secured virtual-private-cloud.</w:t>
      </w:r>
    </w:p>
    <w:p w14:paraId="200732BB"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Databases are placed in a dedicated virtual-private-cloud with no public internet access.</w:t>
      </w:r>
    </w:p>
    <w:p w14:paraId="4F31F551"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VPN access has been granted from specific CAP resources to the FDA-POC cloud environment.</w:t>
      </w:r>
    </w:p>
    <w:p w14:paraId="4A9D05E8"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The design adopts high availability design patterns and follows the CAP’s standard architectural patterns and libraries.</w:t>
      </w:r>
    </w:p>
    <w:p w14:paraId="04F87B30"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The model was designed for flexibility, understandability, ease of use, and performance.</w:t>
      </w:r>
    </w:p>
    <w:p w14:paraId="4B9A951D" w14:textId="77777777" w:rsidR="00082758" w:rsidRPr="00B01F9E" w:rsidRDefault="00082758" w:rsidP="00E5655E">
      <w:pPr>
        <w:pStyle w:val="ListParagraph"/>
        <w:numPr>
          <w:ilvl w:val="0"/>
          <w:numId w:val="9"/>
        </w:numPr>
        <w:spacing w:before="120" w:after="120"/>
        <w:rPr>
          <w:rFonts w:ascii="Arial" w:eastAsia="Arial" w:hAnsi="Arial" w:cs="Arial"/>
          <w:sz w:val="20"/>
          <w:szCs w:val="20"/>
        </w:rPr>
      </w:pPr>
      <w:r w:rsidRPr="00B01F9E">
        <w:rPr>
          <w:rFonts w:ascii="Arial" w:eastAsia="Arial" w:hAnsi="Arial" w:cs="Arial"/>
          <w:sz w:val="20"/>
          <w:szCs w:val="20"/>
        </w:rPr>
        <w:t>The POC environment is self-healing and resilient with proper monitoring for all deployable components. The environment can handle varying levels of traffic and recover quickly from failures by leveraging elastic load balancing, autoscaling, and proactive monitoring.</w:t>
      </w:r>
    </w:p>
    <w:p w14:paraId="2EE3EE0D" w14:textId="41B4756D" w:rsidR="00DD5F31" w:rsidRPr="00B01F9E" w:rsidRDefault="00DD5F31" w:rsidP="00163CA6">
      <w:pPr>
        <w:spacing w:after="0"/>
        <w:rPr>
          <w:rFonts w:ascii="Arial" w:hAnsi="Arial" w:cs="Arial"/>
          <w:b/>
          <w:color w:val="009BBF"/>
          <w:sz w:val="20"/>
          <w:szCs w:val="20"/>
        </w:rPr>
      </w:pPr>
      <w:r w:rsidRPr="00B01F9E">
        <w:rPr>
          <w:rFonts w:ascii="Arial" w:hAnsi="Arial" w:cs="Arial"/>
          <w:b/>
          <w:color w:val="009BBF"/>
          <w:sz w:val="20"/>
          <w:szCs w:val="20"/>
        </w:rPr>
        <w:lastRenderedPageBreak/>
        <w:t xml:space="preserve">Table </w:t>
      </w:r>
      <w:r w:rsidR="007430D5" w:rsidRPr="00B01F9E">
        <w:rPr>
          <w:rFonts w:ascii="Arial" w:hAnsi="Arial" w:cs="Arial"/>
          <w:b/>
          <w:color w:val="009BBF"/>
          <w:sz w:val="20"/>
          <w:szCs w:val="20"/>
        </w:rPr>
        <w:t>2</w:t>
      </w:r>
      <w:r w:rsidR="00FF6AE3" w:rsidRPr="00B01F9E">
        <w:rPr>
          <w:rFonts w:ascii="Arial" w:hAnsi="Arial" w:cs="Arial"/>
          <w:b/>
          <w:color w:val="009BBF"/>
          <w:sz w:val="20"/>
          <w:szCs w:val="20"/>
        </w:rPr>
        <w:t>9</w:t>
      </w:r>
      <w:r w:rsidRPr="00B01F9E">
        <w:rPr>
          <w:rFonts w:ascii="Arial" w:hAnsi="Arial" w:cs="Arial"/>
          <w:b/>
          <w:color w:val="009BBF"/>
          <w:sz w:val="20"/>
          <w:szCs w:val="20"/>
        </w:rPr>
        <w:t>: Intake Interface (CAP</w:t>
      </w:r>
      <w:r w:rsidRPr="00B01F9E">
        <w:rPr>
          <w:rFonts w:ascii="Arial" w:hAnsi="Arial" w:cs="Arial"/>
          <w:b/>
          <w:bCs/>
          <w:color w:val="009BBF"/>
          <w:sz w:val="20"/>
          <w:szCs w:val="20"/>
        </w:rPr>
        <w:t xml:space="preserve">) - </w:t>
      </w:r>
      <w:r w:rsidRPr="00B01F9E">
        <w:rPr>
          <w:rFonts w:ascii="Arial" w:hAnsi="Arial" w:cs="Arial"/>
          <w:b/>
          <w:color w:val="009BBF"/>
          <w:sz w:val="20"/>
          <w:szCs w:val="20"/>
        </w:rPr>
        <w:t xml:space="preserve">Description of </w:t>
      </w:r>
      <w:r w:rsidRPr="00B01F9E">
        <w:rPr>
          <w:rFonts w:ascii="Arial" w:hAnsi="Arial" w:cs="Arial"/>
          <w:b/>
          <w:bCs/>
          <w:color w:val="009BBF"/>
          <w:sz w:val="20"/>
          <w:szCs w:val="20"/>
        </w:rPr>
        <w:t xml:space="preserve">Design </w:t>
      </w:r>
      <w:r w:rsidRPr="00B01F9E">
        <w:rPr>
          <w:rFonts w:ascii="Arial" w:hAnsi="Arial" w:cs="Arial"/>
          <w:b/>
          <w:color w:val="009BBF"/>
          <w:sz w:val="20"/>
          <w:szCs w:val="20"/>
        </w:rPr>
        <w:t>Components</w:t>
      </w:r>
    </w:p>
    <w:tbl>
      <w:tblPr>
        <w:tblStyle w:val="TableGrid"/>
        <w:tblW w:w="9465" w:type="dxa"/>
        <w:tblLayout w:type="fixed"/>
        <w:tblLook w:val="06A0" w:firstRow="1" w:lastRow="0" w:firstColumn="1" w:lastColumn="0" w:noHBand="1" w:noVBand="1"/>
      </w:tblPr>
      <w:tblGrid>
        <w:gridCol w:w="2700"/>
        <w:gridCol w:w="1980"/>
        <w:gridCol w:w="4785"/>
      </w:tblGrid>
      <w:tr w:rsidR="00DD5F31" w:rsidRPr="00B01F9E" w14:paraId="290D3CFA" w14:textId="77777777" w:rsidTr="00D007BC">
        <w:trPr>
          <w:trHeight w:val="20"/>
        </w:trPr>
        <w:tc>
          <w:tcPr>
            <w:tcW w:w="2700" w:type="dxa"/>
            <w:shd w:val="clear" w:color="auto" w:fill="009ABF" w:themeFill="text1"/>
          </w:tcPr>
          <w:p w14:paraId="4B178440" w14:textId="200B20E8" w:rsidR="00DD5F31" w:rsidRPr="00D007BC" w:rsidRDefault="00DD5F31" w:rsidP="00E5655E">
            <w:pPr>
              <w:rPr>
                <w:rFonts w:ascii="Arial" w:eastAsia="Arial" w:hAnsi="Arial" w:cs="Arial"/>
                <w:b/>
                <w:bCs/>
                <w:color w:val="FFFFFF"/>
                <w:sz w:val="20"/>
                <w:szCs w:val="20"/>
              </w:rPr>
            </w:pPr>
            <w:r w:rsidRPr="00D007BC">
              <w:rPr>
                <w:rFonts w:ascii="Arial" w:eastAsia="Arial" w:hAnsi="Arial" w:cs="Arial"/>
                <w:b/>
                <w:bCs/>
                <w:color w:val="FFFFFF"/>
                <w:sz w:val="20"/>
                <w:szCs w:val="20"/>
              </w:rPr>
              <w:t>Component</w:t>
            </w:r>
          </w:p>
        </w:tc>
        <w:tc>
          <w:tcPr>
            <w:tcW w:w="1980" w:type="dxa"/>
            <w:shd w:val="clear" w:color="auto" w:fill="009ABF" w:themeFill="text1"/>
          </w:tcPr>
          <w:p w14:paraId="6039799E" w14:textId="77777777" w:rsidR="00DD5F31" w:rsidRPr="00D007BC" w:rsidRDefault="00DD5F31" w:rsidP="00E5655E">
            <w:pPr>
              <w:rPr>
                <w:rFonts w:ascii="Arial" w:eastAsia="Arial" w:hAnsi="Arial" w:cs="Arial"/>
                <w:b/>
                <w:bCs/>
                <w:color w:val="FFFFFF"/>
                <w:sz w:val="20"/>
                <w:szCs w:val="20"/>
              </w:rPr>
            </w:pPr>
            <w:r w:rsidRPr="00D007BC">
              <w:rPr>
                <w:rFonts w:ascii="Arial" w:eastAsia="Arial" w:hAnsi="Arial" w:cs="Arial"/>
                <w:b/>
                <w:bCs/>
                <w:color w:val="FFFFFF"/>
                <w:sz w:val="20"/>
                <w:szCs w:val="20"/>
              </w:rPr>
              <w:t>Provider</w:t>
            </w:r>
          </w:p>
        </w:tc>
        <w:tc>
          <w:tcPr>
            <w:tcW w:w="4785" w:type="dxa"/>
            <w:shd w:val="clear" w:color="auto" w:fill="009ABF" w:themeFill="text1"/>
          </w:tcPr>
          <w:p w14:paraId="17FB9198" w14:textId="77777777" w:rsidR="00DD5F31" w:rsidRPr="00D007BC" w:rsidRDefault="00DD5F31" w:rsidP="00E5655E">
            <w:pPr>
              <w:rPr>
                <w:rFonts w:ascii="Arial" w:eastAsia="Arial" w:hAnsi="Arial" w:cs="Arial"/>
                <w:b/>
                <w:bCs/>
                <w:color w:val="FFFFFF"/>
                <w:sz w:val="20"/>
                <w:szCs w:val="20"/>
              </w:rPr>
            </w:pPr>
            <w:r w:rsidRPr="00D007BC">
              <w:rPr>
                <w:rFonts w:ascii="Arial" w:eastAsia="Arial" w:hAnsi="Arial" w:cs="Arial"/>
                <w:b/>
                <w:bCs/>
                <w:color w:val="FFFFFF"/>
                <w:sz w:val="20"/>
                <w:szCs w:val="20"/>
              </w:rPr>
              <w:t>Purpose</w:t>
            </w:r>
          </w:p>
        </w:tc>
      </w:tr>
      <w:tr w:rsidR="00DD5F31" w:rsidRPr="00B01F9E" w14:paraId="6E490AAF" w14:textId="77777777" w:rsidTr="009C387D">
        <w:trPr>
          <w:trHeight w:val="144"/>
        </w:trPr>
        <w:tc>
          <w:tcPr>
            <w:tcW w:w="2700" w:type="dxa"/>
          </w:tcPr>
          <w:p w14:paraId="7BE9049B"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AWS API Gateway</w:t>
            </w:r>
          </w:p>
        </w:tc>
        <w:tc>
          <w:tcPr>
            <w:tcW w:w="1980" w:type="dxa"/>
          </w:tcPr>
          <w:p w14:paraId="35629A95"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22D10BBD"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API Management solution</w:t>
            </w:r>
          </w:p>
          <w:p w14:paraId="642804B2" w14:textId="7CCD7D54"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Used to publish web service/REST APIs</w:t>
            </w:r>
          </w:p>
        </w:tc>
      </w:tr>
      <w:tr w:rsidR="00DD5F31" w:rsidRPr="00B01F9E" w14:paraId="33E426ED" w14:textId="77777777" w:rsidTr="009C387D">
        <w:trPr>
          <w:trHeight w:val="20"/>
        </w:trPr>
        <w:tc>
          <w:tcPr>
            <w:tcW w:w="2700" w:type="dxa"/>
          </w:tcPr>
          <w:p w14:paraId="032BDC9B"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CloudFormation</w:t>
            </w:r>
          </w:p>
        </w:tc>
        <w:tc>
          <w:tcPr>
            <w:tcW w:w="1980" w:type="dxa"/>
          </w:tcPr>
          <w:p w14:paraId="44BAD1B1"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23955B81" w14:textId="425AA130"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 solution to define and provision infrastructure as code</w:t>
            </w:r>
          </w:p>
        </w:tc>
      </w:tr>
      <w:tr w:rsidR="00DD5F31" w:rsidRPr="00B01F9E" w14:paraId="2FE1D117" w14:textId="77777777" w:rsidTr="009C387D">
        <w:trPr>
          <w:trHeight w:val="20"/>
        </w:trPr>
        <w:tc>
          <w:tcPr>
            <w:tcW w:w="2700" w:type="dxa"/>
          </w:tcPr>
          <w:p w14:paraId="52B61B60"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Load Balancers</w:t>
            </w:r>
          </w:p>
        </w:tc>
        <w:tc>
          <w:tcPr>
            <w:tcW w:w="1980" w:type="dxa"/>
          </w:tcPr>
          <w:p w14:paraId="2F452471"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63FE5A79" w14:textId="4B8270AD"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Elastic load balancing for Spring Boot gateways</w:t>
            </w:r>
          </w:p>
        </w:tc>
      </w:tr>
      <w:tr w:rsidR="00DD5F31" w:rsidRPr="00B01F9E" w14:paraId="75EC850A" w14:textId="77777777" w:rsidTr="009C387D">
        <w:trPr>
          <w:trHeight w:val="20"/>
        </w:trPr>
        <w:tc>
          <w:tcPr>
            <w:tcW w:w="2700" w:type="dxa"/>
          </w:tcPr>
          <w:p w14:paraId="051F1FDF"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Amazon S3</w:t>
            </w:r>
          </w:p>
        </w:tc>
        <w:tc>
          <w:tcPr>
            <w:tcW w:w="1980" w:type="dxa"/>
          </w:tcPr>
          <w:p w14:paraId="1616708D"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75E89016"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Cloud storage service for static contents, HL7 files </w:t>
            </w:r>
          </w:p>
        </w:tc>
      </w:tr>
      <w:tr w:rsidR="00DD5F31" w:rsidRPr="00B01F9E" w14:paraId="55388438" w14:textId="77777777" w:rsidTr="009C387D">
        <w:trPr>
          <w:trHeight w:val="20"/>
        </w:trPr>
        <w:tc>
          <w:tcPr>
            <w:tcW w:w="2700" w:type="dxa"/>
          </w:tcPr>
          <w:p w14:paraId="044209BD" w14:textId="6C18388F"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AWS Container Registry</w:t>
            </w:r>
          </w:p>
        </w:tc>
        <w:tc>
          <w:tcPr>
            <w:tcW w:w="1980" w:type="dxa"/>
          </w:tcPr>
          <w:p w14:paraId="747C3D92"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5D5306CB"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Container registry for Docker images</w:t>
            </w:r>
          </w:p>
        </w:tc>
      </w:tr>
      <w:tr w:rsidR="00DD5F31" w:rsidRPr="00B01F9E" w14:paraId="14698DFF" w14:textId="77777777" w:rsidTr="009C387D">
        <w:trPr>
          <w:trHeight w:val="20"/>
        </w:trPr>
        <w:tc>
          <w:tcPr>
            <w:tcW w:w="2700" w:type="dxa"/>
          </w:tcPr>
          <w:p w14:paraId="3876DF60" w14:textId="3FABF4C4"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VPC, Subnets, ACL &amp; Other network components</w:t>
            </w:r>
          </w:p>
        </w:tc>
        <w:tc>
          <w:tcPr>
            <w:tcW w:w="1980" w:type="dxa"/>
          </w:tcPr>
          <w:p w14:paraId="43643A9E"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7729A9F2"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Network components</w:t>
            </w:r>
          </w:p>
        </w:tc>
      </w:tr>
      <w:tr w:rsidR="00DD5F31" w:rsidRPr="00B01F9E" w14:paraId="11C9C905" w14:textId="77777777" w:rsidTr="009C387D">
        <w:trPr>
          <w:trHeight w:val="20"/>
        </w:trPr>
        <w:tc>
          <w:tcPr>
            <w:tcW w:w="2700" w:type="dxa"/>
          </w:tcPr>
          <w:p w14:paraId="32789EE1" w14:textId="78B54D4D"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AWS CloudWatch (alarms, logs, matrices)</w:t>
            </w:r>
          </w:p>
        </w:tc>
        <w:tc>
          <w:tcPr>
            <w:tcW w:w="1980" w:type="dxa"/>
          </w:tcPr>
          <w:p w14:paraId="5873F9AD"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743E36D0"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Monitoring service for logs and infrastructure</w:t>
            </w:r>
          </w:p>
        </w:tc>
      </w:tr>
      <w:tr w:rsidR="00DD5F31" w:rsidRPr="00B01F9E" w14:paraId="58E1BDBF" w14:textId="77777777" w:rsidTr="009C387D">
        <w:trPr>
          <w:trHeight w:val="20"/>
        </w:trPr>
        <w:tc>
          <w:tcPr>
            <w:tcW w:w="2700" w:type="dxa"/>
          </w:tcPr>
          <w:p w14:paraId="55B868BA" w14:textId="4AB2B204"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Redshift </w:t>
            </w:r>
          </w:p>
        </w:tc>
        <w:tc>
          <w:tcPr>
            <w:tcW w:w="1980" w:type="dxa"/>
          </w:tcPr>
          <w:p w14:paraId="11C3CA3B" w14:textId="0DCBB855"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1F31E9C4" w14:textId="52933796"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Dat</w:t>
            </w:r>
            <w:r w:rsidR="009C387D" w:rsidRPr="00B01F9E">
              <w:rPr>
                <w:rFonts w:ascii="Arial" w:eastAsia="Arial" w:hAnsi="Arial" w:cs="Arial"/>
                <w:sz w:val="20"/>
                <w:szCs w:val="20"/>
              </w:rPr>
              <w:t>a</w:t>
            </w:r>
            <w:r w:rsidRPr="00B01F9E">
              <w:rPr>
                <w:rFonts w:ascii="Arial" w:eastAsia="Arial" w:hAnsi="Arial" w:cs="Arial"/>
                <w:sz w:val="20"/>
                <w:szCs w:val="20"/>
              </w:rPr>
              <w:t xml:space="preserve"> warehouse</w:t>
            </w:r>
          </w:p>
        </w:tc>
      </w:tr>
      <w:tr w:rsidR="00DD5F31" w:rsidRPr="00B01F9E" w14:paraId="57D5F483" w14:textId="77777777" w:rsidTr="009C387D">
        <w:trPr>
          <w:trHeight w:val="20"/>
        </w:trPr>
        <w:tc>
          <w:tcPr>
            <w:tcW w:w="2700" w:type="dxa"/>
          </w:tcPr>
          <w:p w14:paraId="67393568"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Tableau</w:t>
            </w:r>
          </w:p>
        </w:tc>
        <w:tc>
          <w:tcPr>
            <w:tcW w:w="1980" w:type="dxa"/>
          </w:tcPr>
          <w:p w14:paraId="01A5226D" w14:textId="579838BD"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CAP &amp; Third party </w:t>
            </w:r>
          </w:p>
        </w:tc>
        <w:tc>
          <w:tcPr>
            <w:tcW w:w="4785" w:type="dxa"/>
          </w:tcPr>
          <w:p w14:paraId="37266AA4"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Data visualization reports and dashboards </w:t>
            </w:r>
          </w:p>
        </w:tc>
      </w:tr>
      <w:tr w:rsidR="00DD5F31" w:rsidRPr="00B01F9E" w14:paraId="6141AC28" w14:textId="77777777" w:rsidTr="009C387D">
        <w:trPr>
          <w:trHeight w:val="20"/>
        </w:trPr>
        <w:tc>
          <w:tcPr>
            <w:tcW w:w="2700" w:type="dxa"/>
          </w:tcPr>
          <w:p w14:paraId="46123036"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WAF</w:t>
            </w:r>
          </w:p>
        </w:tc>
        <w:tc>
          <w:tcPr>
            <w:tcW w:w="1980" w:type="dxa"/>
          </w:tcPr>
          <w:p w14:paraId="42D073AA"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CAP </w:t>
            </w:r>
          </w:p>
        </w:tc>
        <w:tc>
          <w:tcPr>
            <w:tcW w:w="4785" w:type="dxa"/>
          </w:tcPr>
          <w:p w14:paraId="4F85F62B" w14:textId="3157EB72"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Web application firewall solution</w:t>
            </w:r>
          </w:p>
        </w:tc>
      </w:tr>
      <w:tr w:rsidR="00DD5F31" w:rsidRPr="00B01F9E" w14:paraId="5A7C6B51" w14:textId="77777777" w:rsidTr="009C387D">
        <w:trPr>
          <w:trHeight w:val="20"/>
        </w:trPr>
        <w:tc>
          <w:tcPr>
            <w:tcW w:w="2700" w:type="dxa"/>
          </w:tcPr>
          <w:p w14:paraId="2F7660E2"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Systems Manager </w:t>
            </w:r>
          </w:p>
        </w:tc>
        <w:tc>
          <w:tcPr>
            <w:tcW w:w="1980" w:type="dxa"/>
          </w:tcPr>
          <w:p w14:paraId="6B6F9C95"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33D70235"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Security management framework to store keys and secret data to access secure resources</w:t>
            </w:r>
          </w:p>
        </w:tc>
      </w:tr>
      <w:tr w:rsidR="00DD5F31" w:rsidRPr="00B01F9E" w14:paraId="1301A2A9" w14:textId="77777777" w:rsidTr="009C387D">
        <w:trPr>
          <w:trHeight w:val="20"/>
        </w:trPr>
        <w:tc>
          <w:tcPr>
            <w:tcW w:w="2700" w:type="dxa"/>
          </w:tcPr>
          <w:p w14:paraId="722DE7E0"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AWS CloudTrail</w:t>
            </w:r>
          </w:p>
          <w:p w14:paraId="46D2CF64" w14:textId="77777777" w:rsidR="00DD5F31" w:rsidRPr="00B01F9E" w:rsidRDefault="00DD5F31" w:rsidP="00E5655E">
            <w:pPr>
              <w:rPr>
                <w:rFonts w:ascii="Arial" w:eastAsia="Arial" w:hAnsi="Arial" w:cs="Arial"/>
                <w:sz w:val="20"/>
                <w:szCs w:val="20"/>
              </w:rPr>
            </w:pPr>
          </w:p>
        </w:tc>
        <w:tc>
          <w:tcPr>
            <w:tcW w:w="1980" w:type="dxa"/>
          </w:tcPr>
          <w:p w14:paraId="206B183B"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478D4E4C"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AWS logging service that services and infrastructure related to the project will use to log</w:t>
            </w:r>
          </w:p>
        </w:tc>
      </w:tr>
      <w:tr w:rsidR="00DD5F31" w:rsidRPr="00B01F9E" w14:paraId="725AF8A0" w14:textId="77777777">
        <w:trPr>
          <w:trHeight w:val="300"/>
        </w:trPr>
        <w:tc>
          <w:tcPr>
            <w:tcW w:w="2700" w:type="dxa"/>
          </w:tcPr>
          <w:p w14:paraId="40C9FA32"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RDS Postgres SQL</w:t>
            </w:r>
          </w:p>
        </w:tc>
        <w:tc>
          <w:tcPr>
            <w:tcW w:w="1980" w:type="dxa"/>
          </w:tcPr>
          <w:p w14:paraId="79B38E01" w14:textId="1D12534C"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785BBC7D"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AWS managed relational database</w:t>
            </w:r>
          </w:p>
        </w:tc>
      </w:tr>
      <w:tr w:rsidR="00DD5F31" w:rsidRPr="00B01F9E" w14:paraId="5AC02951" w14:textId="77777777">
        <w:trPr>
          <w:trHeight w:val="300"/>
        </w:trPr>
        <w:tc>
          <w:tcPr>
            <w:tcW w:w="2700" w:type="dxa"/>
          </w:tcPr>
          <w:p w14:paraId="2700FDA6"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DMS</w:t>
            </w:r>
          </w:p>
        </w:tc>
        <w:tc>
          <w:tcPr>
            <w:tcW w:w="1980" w:type="dxa"/>
          </w:tcPr>
          <w:p w14:paraId="6C0F95F4"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 xml:space="preserve">AWS </w:t>
            </w:r>
          </w:p>
        </w:tc>
        <w:tc>
          <w:tcPr>
            <w:tcW w:w="4785" w:type="dxa"/>
          </w:tcPr>
          <w:p w14:paraId="2CF8AAE0" w14:textId="77777777" w:rsidR="00DD5F31" w:rsidRPr="00B01F9E" w:rsidRDefault="00DD5F31" w:rsidP="00E5655E">
            <w:pPr>
              <w:rPr>
                <w:rFonts w:ascii="Arial" w:eastAsia="Arial" w:hAnsi="Arial" w:cs="Arial"/>
                <w:sz w:val="20"/>
                <w:szCs w:val="20"/>
              </w:rPr>
            </w:pPr>
            <w:r w:rsidRPr="00B01F9E">
              <w:rPr>
                <w:rFonts w:ascii="Arial" w:eastAsia="Arial" w:hAnsi="Arial" w:cs="Arial"/>
                <w:sz w:val="20"/>
                <w:szCs w:val="20"/>
              </w:rPr>
              <w:t>Data migration service from relational database to the data warehouse</w:t>
            </w:r>
          </w:p>
        </w:tc>
      </w:tr>
    </w:tbl>
    <w:p w14:paraId="18FDEF61" w14:textId="77777777" w:rsidR="00DD5F31" w:rsidRPr="00B01F9E" w:rsidRDefault="00DD5F31" w:rsidP="00550F50">
      <w:pPr>
        <w:spacing w:before="120" w:after="120"/>
        <w:rPr>
          <w:rFonts w:ascii="Arial" w:eastAsia="Arial" w:hAnsi="Arial" w:cs="Arial"/>
          <w:sz w:val="20"/>
          <w:szCs w:val="20"/>
        </w:rPr>
      </w:pPr>
      <w:r w:rsidRPr="00B01F9E">
        <w:rPr>
          <w:rFonts w:ascii="Arial" w:hAnsi="Arial" w:cs="Arial"/>
          <w:sz w:val="20"/>
          <w:szCs w:val="20"/>
        </w:rPr>
        <w:t>Intake Interface (CAP)-</w:t>
      </w:r>
      <w:r w:rsidRPr="00B01F9E">
        <w:rPr>
          <w:rFonts w:ascii="Arial" w:eastAsia="Arial" w:hAnsi="Arial" w:cs="Arial"/>
          <w:sz w:val="20"/>
          <w:szCs w:val="20"/>
        </w:rPr>
        <w:t>Security</w:t>
      </w:r>
    </w:p>
    <w:p w14:paraId="60D525BE" w14:textId="77777777" w:rsidR="00DD5F31" w:rsidRPr="00B01F9E" w:rsidRDefault="00DD5F31" w:rsidP="00163CA6">
      <w:pPr>
        <w:pStyle w:val="ListParagraph"/>
        <w:numPr>
          <w:ilvl w:val="0"/>
          <w:numId w:val="10"/>
        </w:numPr>
        <w:spacing w:after="120"/>
        <w:rPr>
          <w:rFonts w:ascii="Arial" w:eastAsia="Arial" w:hAnsi="Arial" w:cs="Arial"/>
          <w:sz w:val="20"/>
          <w:szCs w:val="20"/>
        </w:rPr>
      </w:pPr>
      <w:r w:rsidRPr="00B01F9E">
        <w:rPr>
          <w:rFonts w:ascii="Arial" w:eastAsia="Arial" w:hAnsi="Arial" w:cs="Arial"/>
          <w:sz w:val="20"/>
          <w:szCs w:val="20"/>
        </w:rPr>
        <w:t xml:space="preserve">Basic HTTPS REST API authentication configured. Leveraged Token-based authentication for REST API security. </w:t>
      </w:r>
    </w:p>
    <w:p w14:paraId="6C15CB21" w14:textId="77777777" w:rsidR="00DD5F31" w:rsidRPr="00B01F9E" w:rsidRDefault="00DD5F31" w:rsidP="00E5655E">
      <w:pPr>
        <w:pStyle w:val="ListParagraph"/>
        <w:numPr>
          <w:ilvl w:val="0"/>
          <w:numId w:val="10"/>
        </w:numPr>
        <w:spacing w:before="120" w:after="0"/>
        <w:rPr>
          <w:rFonts w:ascii="Arial" w:eastAsia="Arial" w:hAnsi="Arial" w:cs="Arial"/>
          <w:sz w:val="20"/>
          <w:szCs w:val="20"/>
        </w:rPr>
      </w:pPr>
      <w:r w:rsidRPr="00B01F9E">
        <w:rPr>
          <w:rFonts w:ascii="Arial" w:eastAsia="Arial" w:hAnsi="Arial" w:cs="Arial"/>
          <w:sz w:val="20"/>
          <w:szCs w:val="20"/>
        </w:rPr>
        <w:t>Spring Boot Security layer (Gateway) will enforce external user authentication.</w:t>
      </w:r>
    </w:p>
    <w:p w14:paraId="1B1E9A6A" w14:textId="77777777" w:rsidR="00DD5F31" w:rsidRPr="00B01F9E" w:rsidRDefault="00DD5F31" w:rsidP="00E5655E">
      <w:pPr>
        <w:pStyle w:val="ListParagraph"/>
        <w:numPr>
          <w:ilvl w:val="0"/>
          <w:numId w:val="10"/>
        </w:numPr>
        <w:spacing w:before="120" w:after="0"/>
        <w:rPr>
          <w:rFonts w:ascii="Arial" w:eastAsia="Arial" w:hAnsi="Arial" w:cs="Arial"/>
          <w:sz w:val="20"/>
          <w:szCs w:val="20"/>
        </w:rPr>
      </w:pPr>
      <w:r w:rsidRPr="00B01F9E">
        <w:rPr>
          <w:rFonts w:ascii="Arial" w:eastAsia="Arial" w:hAnsi="Arial" w:cs="Arial"/>
          <w:sz w:val="20"/>
          <w:szCs w:val="20"/>
        </w:rPr>
        <w:t>Other Infrastructure, AWS-</w:t>
      </w:r>
      <w:proofErr w:type="spellStart"/>
      <w:r w:rsidRPr="00B01F9E">
        <w:rPr>
          <w:rFonts w:ascii="Arial" w:eastAsia="Arial" w:hAnsi="Arial" w:cs="Arial"/>
          <w:sz w:val="20"/>
          <w:szCs w:val="20"/>
        </w:rPr>
        <w:t>Fargate</w:t>
      </w:r>
      <w:proofErr w:type="spellEnd"/>
      <w:r w:rsidRPr="00B01F9E">
        <w:rPr>
          <w:rFonts w:ascii="Arial" w:eastAsia="Arial" w:hAnsi="Arial" w:cs="Arial"/>
          <w:sz w:val="20"/>
          <w:szCs w:val="20"/>
        </w:rPr>
        <w:t xml:space="preserve"> clusters placed inside Private Subnet.</w:t>
      </w:r>
    </w:p>
    <w:p w14:paraId="00169DDE" w14:textId="77777777" w:rsidR="00DD5F31" w:rsidRPr="00B01F9E" w:rsidRDefault="00DD5F31" w:rsidP="00E5655E">
      <w:pPr>
        <w:pStyle w:val="ListParagraph"/>
        <w:numPr>
          <w:ilvl w:val="0"/>
          <w:numId w:val="10"/>
        </w:numPr>
        <w:spacing w:before="120" w:after="0"/>
        <w:rPr>
          <w:rFonts w:ascii="Arial" w:eastAsia="Arial" w:hAnsi="Arial" w:cs="Arial"/>
          <w:sz w:val="20"/>
          <w:szCs w:val="20"/>
        </w:rPr>
      </w:pPr>
      <w:r w:rsidRPr="00B01F9E">
        <w:rPr>
          <w:rFonts w:ascii="Arial" w:eastAsia="Arial" w:hAnsi="Arial" w:cs="Arial"/>
          <w:sz w:val="20"/>
          <w:szCs w:val="20"/>
        </w:rPr>
        <w:t>AWS Security groups ensure the appropriate access</w:t>
      </w:r>
    </w:p>
    <w:p w14:paraId="7EB2FA74" w14:textId="77777777" w:rsidR="00DD5F31" w:rsidRPr="00B01F9E" w:rsidRDefault="00DD5F31" w:rsidP="00E5655E">
      <w:pPr>
        <w:pStyle w:val="ListParagraph"/>
        <w:numPr>
          <w:ilvl w:val="0"/>
          <w:numId w:val="10"/>
        </w:numPr>
        <w:spacing w:before="120" w:after="0"/>
        <w:rPr>
          <w:rFonts w:ascii="Arial" w:eastAsia="Arial" w:hAnsi="Arial" w:cs="Arial"/>
          <w:sz w:val="20"/>
          <w:szCs w:val="20"/>
        </w:rPr>
      </w:pPr>
      <w:r w:rsidRPr="00B01F9E">
        <w:rPr>
          <w:rFonts w:ascii="Arial" w:eastAsia="Arial" w:hAnsi="Arial" w:cs="Arial"/>
          <w:i/>
          <w:iCs/>
          <w:sz w:val="20"/>
          <w:szCs w:val="20"/>
        </w:rPr>
        <w:t>Data in transit</w:t>
      </w:r>
    </w:p>
    <w:p w14:paraId="333F25CF" w14:textId="77777777" w:rsidR="00DD5F31" w:rsidRPr="00B01F9E" w:rsidRDefault="00DD5F31" w:rsidP="00A07C53">
      <w:pPr>
        <w:pStyle w:val="ListParagraph"/>
        <w:numPr>
          <w:ilvl w:val="1"/>
          <w:numId w:val="10"/>
        </w:numPr>
        <w:spacing w:before="120" w:after="0"/>
        <w:ind w:left="1008"/>
        <w:rPr>
          <w:rFonts w:ascii="Arial" w:eastAsia="Arial" w:hAnsi="Arial" w:cs="Arial"/>
          <w:sz w:val="20"/>
          <w:szCs w:val="20"/>
        </w:rPr>
      </w:pPr>
      <w:r w:rsidRPr="00B01F9E">
        <w:rPr>
          <w:rFonts w:ascii="Arial" w:eastAsia="Arial" w:hAnsi="Arial" w:cs="Arial"/>
          <w:sz w:val="20"/>
          <w:szCs w:val="20"/>
        </w:rPr>
        <w:t>No PII and PHI data are involved.</w:t>
      </w:r>
    </w:p>
    <w:p w14:paraId="189A4C72" w14:textId="77777777" w:rsidR="00DD5F31" w:rsidRPr="00B01F9E" w:rsidRDefault="00DD5F31" w:rsidP="00A07C53">
      <w:pPr>
        <w:pStyle w:val="ListParagraph"/>
        <w:numPr>
          <w:ilvl w:val="1"/>
          <w:numId w:val="10"/>
        </w:numPr>
        <w:spacing w:before="120" w:after="0"/>
        <w:ind w:left="1008"/>
        <w:rPr>
          <w:rFonts w:ascii="Arial" w:eastAsia="Arial" w:hAnsi="Arial" w:cs="Arial"/>
          <w:sz w:val="20"/>
          <w:szCs w:val="20"/>
        </w:rPr>
      </w:pPr>
      <w:r w:rsidRPr="00B01F9E">
        <w:rPr>
          <w:rFonts w:ascii="Arial" w:eastAsia="Arial" w:hAnsi="Arial" w:cs="Arial"/>
          <w:sz w:val="20"/>
          <w:szCs w:val="20"/>
        </w:rPr>
        <w:t>HTTPS</w:t>
      </w:r>
    </w:p>
    <w:p w14:paraId="72736782" w14:textId="77777777" w:rsidR="00DD5F31" w:rsidRPr="00B01F9E" w:rsidRDefault="00DD5F31" w:rsidP="00E5655E">
      <w:pPr>
        <w:pStyle w:val="ListParagraph"/>
        <w:numPr>
          <w:ilvl w:val="0"/>
          <w:numId w:val="10"/>
        </w:numPr>
        <w:spacing w:before="120" w:after="0"/>
        <w:rPr>
          <w:rFonts w:ascii="Arial" w:eastAsia="Arial" w:hAnsi="Arial" w:cs="Arial"/>
          <w:i/>
          <w:iCs/>
          <w:sz w:val="20"/>
          <w:szCs w:val="20"/>
        </w:rPr>
      </w:pPr>
      <w:r w:rsidRPr="00B01F9E">
        <w:rPr>
          <w:rFonts w:ascii="Arial" w:eastAsia="Arial" w:hAnsi="Arial" w:cs="Arial"/>
          <w:i/>
          <w:iCs/>
          <w:sz w:val="20"/>
          <w:szCs w:val="20"/>
        </w:rPr>
        <w:t>Data in rest</w:t>
      </w:r>
    </w:p>
    <w:p w14:paraId="5056EBF9" w14:textId="77777777" w:rsidR="00DD5F31" w:rsidRPr="00B01F9E" w:rsidRDefault="00DD5F31" w:rsidP="00A07C53">
      <w:pPr>
        <w:pStyle w:val="ListParagraph"/>
        <w:numPr>
          <w:ilvl w:val="1"/>
          <w:numId w:val="10"/>
        </w:numPr>
        <w:spacing w:before="120" w:after="0"/>
        <w:ind w:left="1008"/>
        <w:rPr>
          <w:rFonts w:ascii="Arial" w:eastAsia="Arial" w:hAnsi="Arial" w:cs="Arial"/>
          <w:sz w:val="20"/>
          <w:szCs w:val="20"/>
        </w:rPr>
      </w:pPr>
      <w:r w:rsidRPr="00B01F9E">
        <w:rPr>
          <w:rFonts w:ascii="Arial" w:eastAsia="Arial" w:hAnsi="Arial" w:cs="Arial"/>
          <w:sz w:val="20"/>
          <w:szCs w:val="20"/>
        </w:rPr>
        <w:t>No PII and PHI data are involved.</w:t>
      </w:r>
    </w:p>
    <w:p w14:paraId="31A79224" w14:textId="77777777" w:rsidR="00DD5F31" w:rsidRPr="00B01F9E" w:rsidRDefault="00DD5F31" w:rsidP="00A07C53">
      <w:pPr>
        <w:pStyle w:val="ListParagraph"/>
        <w:numPr>
          <w:ilvl w:val="1"/>
          <w:numId w:val="10"/>
        </w:numPr>
        <w:spacing w:before="120" w:after="0"/>
        <w:ind w:left="1008"/>
        <w:rPr>
          <w:rFonts w:ascii="Arial" w:eastAsia="Arial" w:hAnsi="Arial" w:cs="Arial"/>
          <w:sz w:val="20"/>
          <w:szCs w:val="20"/>
        </w:rPr>
      </w:pPr>
      <w:r w:rsidRPr="00B01F9E">
        <w:rPr>
          <w:rFonts w:ascii="Arial" w:eastAsia="Arial" w:hAnsi="Arial" w:cs="Arial"/>
          <w:sz w:val="20"/>
          <w:szCs w:val="20"/>
        </w:rPr>
        <w:t>Data encrypted at rest</w:t>
      </w:r>
    </w:p>
    <w:p w14:paraId="3562F6FB" w14:textId="77777777" w:rsidR="00CA531C" w:rsidRPr="00B01F9E" w:rsidRDefault="00CA531C">
      <w:pPr>
        <w:rPr>
          <w:rFonts w:ascii="Arial" w:hAnsi="Arial" w:cs="Arial"/>
          <w:b/>
          <w:color w:val="009BBF"/>
          <w:sz w:val="20"/>
          <w:szCs w:val="20"/>
        </w:rPr>
      </w:pPr>
      <w:r w:rsidRPr="00B01F9E">
        <w:rPr>
          <w:rFonts w:ascii="Arial" w:hAnsi="Arial" w:cs="Arial"/>
          <w:b/>
          <w:color w:val="009BBF"/>
          <w:sz w:val="20"/>
          <w:szCs w:val="20"/>
        </w:rPr>
        <w:br w:type="page"/>
      </w:r>
    </w:p>
    <w:p w14:paraId="049E2B06" w14:textId="0E2826BE" w:rsidR="00DD5F31" w:rsidRPr="00B01F9E" w:rsidRDefault="00DD5F31" w:rsidP="00C2349F">
      <w:pPr>
        <w:spacing w:before="120" w:after="0"/>
        <w:rPr>
          <w:rFonts w:ascii="Arial" w:hAnsi="Arial" w:cs="Arial"/>
          <w:b/>
          <w:color w:val="009BBF"/>
          <w:sz w:val="20"/>
          <w:szCs w:val="20"/>
        </w:rPr>
      </w:pPr>
      <w:r w:rsidRPr="00B01F9E">
        <w:rPr>
          <w:rFonts w:ascii="Arial" w:hAnsi="Arial" w:cs="Arial"/>
          <w:b/>
          <w:color w:val="009BBF"/>
          <w:sz w:val="20"/>
          <w:szCs w:val="20"/>
        </w:rPr>
        <w:lastRenderedPageBreak/>
        <w:t xml:space="preserve">Figure </w:t>
      </w:r>
      <w:r w:rsidR="00556F80" w:rsidRPr="00B01F9E">
        <w:rPr>
          <w:rFonts w:ascii="Arial" w:hAnsi="Arial" w:cs="Arial"/>
          <w:b/>
          <w:color w:val="009BBF"/>
          <w:sz w:val="20"/>
          <w:szCs w:val="20"/>
        </w:rPr>
        <w:t>29</w:t>
      </w:r>
      <w:r w:rsidRPr="00B01F9E">
        <w:rPr>
          <w:rFonts w:ascii="Arial" w:hAnsi="Arial" w:cs="Arial"/>
          <w:b/>
          <w:color w:val="009BBF"/>
          <w:sz w:val="20"/>
          <w:szCs w:val="20"/>
        </w:rPr>
        <w:t xml:space="preserve">: Intake Interface (CAP)- </w:t>
      </w:r>
      <w:r w:rsidRPr="00B01F9E">
        <w:rPr>
          <w:rFonts w:ascii="Arial" w:eastAsia="Arial" w:hAnsi="Arial" w:cs="Arial"/>
          <w:b/>
          <w:color w:val="009BBF"/>
          <w:sz w:val="20"/>
          <w:szCs w:val="20"/>
        </w:rPr>
        <w:t>Sequence Diagram</w:t>
      </w:r>
    </w:p>
    <w:p w14:paraId="42E544A5" w14:textId="71B9A706" w:rsidR="00DD5F31" w:rsidRPr="00B01F9E" w:rsidRDefault="0093328F" w:rsidP="008C4FC4">
      <w:pPr>
        <w:spacing w:after="120"/>
        <w:rPr>
          <w:rFonts w:ascii="Arial" w:eastAsia="Arial" w:hAnsi="Arial" w:cs="Arial"/>
          <w:sz w:val="20"/>
          <w:szCs w:val="20"/>
        </w:rPr>
      </w:pPr>
      <w:r w:rsidRPr="00B01F9E">
        <w:rPr>
          <w:rFonts w:ascii="Arial" w:eastAsia="Arial" w:hAnsi="Arial" w:cs="Arial"/>
          <w:noProof/>
          <w:sz w:val="20"/>
          <w:szCs w:val="20"/>
        </w:rPr>
        <w:drawing>
          <wp:inline distT="0" distB="0" distL="0" distR="0" wp14:anchorId="1866263F" wp14:editId="355AC64B">
            <wp:extent cx="6178118" cy="2242868"/>
            <wp:effectExtent l="0" t="0" r="0" b="5080"/>
            <wp:docPr id="18425274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527403" name="Graphic 1842527403"/>
                    <pic:cNvPicPr/>
                  </pic:nvPicPr>
                  <pic:blipFill>
                    <a:blip r:embed="rId134">
                      <a:extLst>
                        <a:ext uri="{96DAC541-7B7A-43D3-8B79-37D633B846F1}">
                          <asvg:svgBlip xmlns:asvg="http://schemas.microsoft.com/office/drawing/2016/SVG/main" r:embed="rId135"/>
                        </a:ext>
                      </a:extLst>
                    </a:blip>
                    <a:stretch>
                      <a:fillRect/>
                    </a:stretch>
                  </pic:blipFill>
                  <pic:spPr>
                    <a:xfrm>
                      <a:off x="0" y="0"/>
                      <a:ext cx="6179951" cy="2243533"/>
                    </a:xfrm>
                    <a:prstGeom prst="rect">
                      <a:avLst/>
                    </a:prstGeom>
                  </pic:spPr>
                </pic:pic>
              </a:graphicData>
            </a:graphic>
          </wp:inline>
        </w:drawing>
      </w:r>
    </w:p>
    <w:p w14:paraId="70874202" w14:textId="77777777" w:rsidR="00DD5F31" w:rsidRPr="00B01F9E" w:rsidRDefault="00DD5F31" w:rsidP="00163CA6">
      <w:pPr>
        <w:spacing w:after="120"/>
        <w:rPr>
          <w:rFonts w:ascii="Arial" w:hAnsi="Arial" w:cs="Arial"/>
          <w:b/>
          <w:sz w:val="20"/>
          <w:szCs w:val="20"/>
        </w:rPr>
      </w:pPr>
      <w:r w:rsidRPr="00B01F9E">
        <w:rPr>
          <w:rFonts w:ascii="Arial" w:hAnsi="Arial" w:cs="Arial"/>
          <w:b/>
          <w:sz w:val="20"/>
          <w:szCs w:val="20"/>
        </w:rPr>
        <w:t>Full Interface Specifications Document</w:t>
      </w:r>
    </w:p>
    <w:p w14:paraId="38F8D4E5" w14:textId="5DF8D955" w:rsidR="00AB3160" w:rsidRPr="00B01F9E" w:rsidRDefault="00DD5F31" w:rsidP="00163CA6">
      <w:pPr>
        <w:spacing w:after="120"/>
        <w:rPr>
          <w:rFonts w:ascii="Arial" w:hAnsi="Arial" w:cs="Arial"/>
          <w:sz w:val="20"/>
          <w:szCs w:val="20"/>
        </w:rPr>
      </w:pPr>
      <w:r w:rsidRPr="00B01F9E">
        <w:rPr>
          <w:rFonts w:ascii="Arial" w:hAnsi="Arial" w:cs="Arial"/>
          <w:sz w:val="20"/>
          <w:szCs w:val="20"/>
        </w:rPr>
        <w:t>The CAP has provided comprehensive documentation of the interface specifications with this deliverable submission. For complete details, please refer to the Excel file that was submitted alongside the Environment Creation document titled ‘Interface Specifications’.</w:t>
      </w:r>
    </w:p>
    <w:p w14:paraId="7821351A" w14:textId="77777777" w:rsidR="005F1EA4" w:rsidRPr="00B01F9E" w:rsidRDefault="005F1EA4">
      <w:pPr>
        <w:rPr>
          <w:rFonts w:ascii="Arial" w:eastAsiaTheme="majorEastAsia" w:hAnsi="Arial" w:cs="Arial"/>
          <w:b/>
          <w:i/>
          <w:iCs/>
          <w:color w:val="009BBF"/>
          <w:sz w:val="20"/>
          <w:szCs w:val="20"/>
        </w:rPr>
      </w:pPr>
      <w:bookmarkStart w:id="399" w:name="_7.3.1.2_Coding_Feedback"/>
      <w:bookmarkEnd w:id="399"/>
      <w:r w:rsidRPr="00B01F9E">
        <w:rPr>
          <w:rFonts w:ascii="Arial" w:hAnsi="Arial" w:cs="Arial"/>
          <w:b/>
          <w:color w:val="009BBF"/>
          <w:sz w:val="20"/>
          <w:szCs w:val="20"/>
        </w:rPr>
        <w:br w:type="page"/>
      </w:r>
    </w:p>
    <w:p w14:paraId="086C9178" w14:textId="3312ED2A" w:rsidR="00131C0E" w:rsidRPr="00B01F9E" w:rsidRDefault="008403D3" w:rsidP="00163CA6">
      <w:pPr>
        <w:pStyle w:val="Heading4"/>
        <w:spacing w:before="0" w:after="120"/>
        <w:rPr>
          <w:rFonts w:ascii="Arial" w:hAnsi="Arial" w:cs="Arial"/>
          <w:b/>
          <w:color w:val="009BBF"/>
          <w:sz w:val="20"/>
          <w:szCs w:val="20"/>
        </w:rPr>
      </w:pPr>
      <w:bookmarkStart w:id="400" w:name="_7.3.1.2_Coding_Feedback_1"/>
      <w:bookmarkEnd w:id="400"/>
      <w:r w:rsidRPr="00B01F9E">
        <w:rPr>
          <w:rFonts w:ascii="Arial" w:hAnsi="Arial" w:cs="Arial"/>
          <w:b/>
          <w:color w:val="009BBF"/>
          <w:sz w:val="20"/>
          <w:szCs w:val="20"/>
        </w:rPr>
        <w:lastRenderedPageBreak/>
        <w:t>7</w:t>
      </w:r>
      <w:r w:rsidR="00B74426" w:rsidRPr="00B01F9E">
        <w:rPr>
          <w:rFonts w:ascii="Arial" w:hAnsi="Arial" w:cs="Arial"/>
          <w:b/>
          <w:color w:val="009BBF"/>
          <w:sz w:val="20"/>
          <w:szCs w:val="20"/>
        </w:rPr>
        <w:t>.3.</w:t>
      </w:r>
      <w:r w:rsidR="00E5655E" w:rsidRPr="00B01F9E">
        <w:rPr>
          <w:rFonts w:ascii="Arial" w:hAnsi="Arial" w:cs="Arial"/>
          <w:b/>
          <w:bCs/>
          <w:color w:val="009BBF"/>
          <w:sz w:val="20"/>
          <w:szCs w:val="20"/>
        </w:rPr>
        <w:t>1.2</w:t>
      </w:r>
      <w:r w:rsidR="00B74426" w:rsidRPr="00B01F9E">
        <w:rPr>
          <w:rFonts w:ascii="Arial" w:hAnsi="Arial" w:cs="Arial"/>
          <w:b/>
          <w:bCs/>
          <w:color w:val="009BBF"/>
          <w:sz w:val="20"/>
          <w:szCs w:val="20"/>
        </w:rPr>
        <w:t xml:space="preserve"> </w:t>
      </w:r>
      <w:r w:rsidR="00131C0E" w:rsidRPr="00B01F9E">
        <w:rPr>
          <w:rFonts w:ascii="Arial" w:hAnsi="Arial" w:cs="Arial"/>
          <w:b/>
          <w:color w:val="009BBF"/>
          <w:sz w:val="20"/>
          <w:szCs w:val="20"/>
        </w:rPr>
        <w:t xml:space="preserve">Coding Feedback and Vendor Collaboration Survey </w:t>
      </w:r>
    </w:p>
    <w:p w14:paraId="5FDB19F5" w14:textId="4492CD79" w:rsidR="006E5CB8" w:rsidRPr="00B01F9E" w:rsidRDefault="006E5CB8" w:rsidP="00163CA6">
      <w:pPr>
        <w:spacing w:after="120"/>
        <w:rPr>
          <w:rFonts w:ascii="Arial" w:hAnsi="Arial" w:cs="Arial"/>
          <w:b/>
          <w:bCs/>
          <w:sz w:val="20"/>
          <w:szCs w:val="20"/>
        </w:rPr>
      </w:pPr>
      <w:r w:rsidRPr="00B01F9E">
        <w:rPr>
          <w:rFonts w:ascii="Arial" w:hAnsi="Arial" w:cs="Arial"/>
          <w:b/>
          <w:bCs/>
          <w:sz w:val="20"/>
          <w:szCs w:val="20"/>
        </w:rPr>
        <w:t xml:space="preserve">Coding Feedback Survey </w:t>
      </w:r>
    </w:p>
    <w:p w14:paraId="737FBF17" w14:textId="79E85929" w:rsidR="006E5CB8" w:rsidRPr="00B01F9E" w:rsidRDefault="006E5CB8" w:rsidP="00163CA6">
      <w:pPr>
        <w:spacing w:after="120"/>
        <w:rPr>
          <w:rFonts w:ascii="Arial" w:hAnsi="Arial" w:cs="Arial"/>
          <w:sz w:val="20"/>
          <w:szCs w:val="20"/>
        </w:rPr>
      </w:pPr>
      <w:r w:rsidRPr="00B01F9E">
        <w:rPr>
          <w:rFonts w:ascii="Arial" w:hAnsi="Arial" w:cs="Arial"/>
          <w:sz w:val="20"/>
          <w:szCs w:val="20"/>
        </w:rPr>
        <w:t xml:space="preserve">The following questions were provided to Duke though a Microsoft Forms survey. </w:t>
      </w:r>
    </w:p>
    <w:tbl>
      <w:tblPr>
        <w:tblStyle w:val="TableGrid"/>
        <w:tblW w:w="0" w:type="auto"/>
        <w:tblLook w:val="04A0" w:firstRow="1" w:lastRow="0" w:firstColumn="1" w:lastColumn="0" w:noHBand="0" w:noVBand="1"/>
      </w:tblPr>
      <w:tblGrid>
        <w:gridCol w:w="1083"/>
        <w:gridCol w:w="3502"/>
        <w:gridCol w:w="4215"/>
      </w:tblGrid>
      <w:tr w:rsidR="006E5CB8" w:rsidRPr="00B01F9E" w14:paraId="6B0D81B8" w14:textId="77777777" w:rsidTr="00D007BC">
        <w:tc>
          <w:tcPr>
            <w:tcW w:w="1083" w:type="dxa"/>
            <w:shd w:val="clear" w:color="auto" w:fill="009ABF" w:themeFill="text1"/>
          </w:tcPr>
          <w:p w14:paraId="06D2D590" w14:textId="77777777" w:rsidR="006E5CB8" w:rsidRPr="00D007BC" w:rsidRDefault="006E5CB8" w:rsidP="0016170A">
            <w:pPr>
              <w:rPr>
                <w:rFonts w:ascii="Arial" w:hAnsi="Arial" w:cs="Arial"/>
                <w:b/>
                <w:bCs/>
                <w:color w:val="FFFFFF"/>
                <w:sz w:val="20"/>
                <w:szCs w:val="20"/>
              </w:rPr>
            </w:pPr>
            <w:r w:rsidRPr="00D007BC">
              <w:rPr>
                <w:rFonts w:ascii="Arial" w:hAnsi="Arial" w:cs="Arial"/>
                <w:b/>
                <w:bCs/>
                <w:color w:val="FFFFFF"/>
                <w:sz w:val="20"/>
                <w:szCs w:val="20"/>
              </w:rPr>
              <w:t>Question number</w:t>
            </w:r>
          </w:p>
        </w:tc>
        <w:tc>
          <w:tcPr>
            <w:tcW w:w="3502" w:type="dxa"/>
            <w:shd w:val="clear" w:color="auto" w:fill="009ABF" w:themeFill="text1"/>
          </w:tcPr>
          <w:p w14:paraId="6157A0B2" w14:textId="77777777" w:rsidR="006E5CB8" w:rsidRPr="00D007BC" w:rsidRDefault="006E5CB8" w:rsidP="0016170A">
            <w:pPr>
              <w:rPr>
                <w:rFonts w:ascii="Arial" w:hAnsi="Arial" w:cs="Arial"/>
                <w:b/>
                <w:bCs/>
                <w:color w:val="FFFFFF"/>
                <w:sz w:val="20"/>
                <w:szCs w:val="20"/>
              </w:rPr>
            </w:pPr>
            <w:r w:rsidRPr="00D007BC">
              <w:rPr>
                <w:rFonts w:ascii="Arial" w:hAnsi="Arial" w:cs="Arial"/>
                <w:b/>
                <w:bCs/>
                <w:color w:val="FFFFFF"/>
                <w:sz w:val="20"/>
                <w:szCs w:val="20"/>
              </w:rPr>
              <w:t>Question text</w:t>
            </w:r>
          </w:p>
        </w:tc>
        <w:tc>
          <w:tcPr>
            <w:tcW w:w="4215" w:type="dxa"/>
            <w:shd w:val="clear" w:color="auto" w:fill="009ABF" w:themeFill="text1"/>
          </w:tcPr>
          <w:p w14:paraId="56468948" w14:textId="403FEE24" w:rsidR="006E5CB8" w:rsidRPr="00D007BC" w:rsidRDefault="006E5CB8" w:rsidP="0016170A">
            <w:pPr>
              <w:rPr>
                <w:rFonts w:ascii="Arial" w:hAnsi="Arial" w:cs="Arial"/>
                <w:b/>
                <w:color w:val="FFFFFF"/>
                <w:sz w:val="20"/>
                <w:szCs w:val="20"/>
              </w:rPr>
            </w:pPr>
            <w:r w:rsidRPr="00D007BC">
              <w:rPr>
                <w:rFonts w:ascii="Arial" w:hAnsi="Arial" w:cs="Arial"/>
                <w:b/>
                <w:bCs/>
                <w:color w:val="FFFFFF"/>
                <w:sz w:val="20"/>
                <w:szCs w:val="20"/>
              </w:rPr>
              <w:t>Answers</w:t>
            </w:r>
          </w:p>
        </w:tc>
      </w:tr>
      <w:tr w:rsidR="006E5CB8" w:rsidRPr="00B01F9E" w14:paraId="442D9360" w14:textId="77777777" w:rsidTr="0016170A">
        <w:trPr>
          <w:trHeight w:val="20"/>
        </w:trPr>
        <w:tc>
          <w:tcPr>
            <w:tcW w:w="1083" w:type="dxa"/>
            <w:vMerge w:val="restart"/>
          </w:tcPr>
          <w:p w14:paraId="003665A3" w14:textId="77777777" w:rsidR="006E5CB8" w:rsidRPr="00B01F9E" w:rsidRDefault="006E5CB8" w:rsidP="0016170A">
            <w:pPr>
              <w:rPr>
                <w:rFonts w:ascii="Arial" w:hAnsi="Arial" w:cs="Arial"/>
                <w:sz w:val="20"/>
                <w:szCs w:val="20"/>
              </w:rPr>
            </w:pPr>
            <w:r w:rsidRPr="00B01F9E">
              <w:rPr>
                <w:rFonts w:ascii="Arial" w:hAnsi="Arial" w:cs="Arial"/>
                <w:sz w:val="20"/>
                <w:szCs w:val="20"/>
              </w:rPr>
              <w:t>3</w:t>
            </w:r>
          </w:p>
        </w:tc>
        <w:tc>
          <w:tcPr>
            <w:tcW w:w="3502" w:type="dxa"/>
            <w:vMerge w:val="restart"/>
          </w:tcPr>
          <w:p w14:paraId="41E5C002" w14:textId="35440EA6" w:rsidR="006E5CB8" w:rsidRPr="00B01F9E" w:rsidRDefault="006E5CB8" w:rsidP="0016170A">
            <w:pPr>
              <w:rPr>
                <w:rFonts w:ascii="Arial" w:hAnsi="Arial" w:cs="Arial"/>
                <w:sz w:val="20"/>
                <w:szCs w:val="20"/>
              </w:rPr>
            </w:pPr>
            <w:r w:rsidRPr="00B01F9E">
              <w:rPr>
                <w:rFonts w:ascii="Arial" w:hAnsi="Arial" w:cs="Arial"/>
                <w:sz w:val="20"/>
                <w:szCs w:val="20"/>
              </w:rPr>
              <w:t>Please indicate your job title</w:t>
            </w:r>
          </w:p>
        </w:tc>
        <w:tc>
          <w:tcPr>
            <w:tcW w:w="4215" w:type="dxa"/>
          </w:tcPr>
          <w:p w14:paraId="7E3B4E08" w14:textId="77777777" w:rsidR="006E5CB8" w:rsidRPr="00B01F9E" w:rsidRDefault="006E5CB8" w:rsidP="0016170A">
            <w:pPr>
              <w:rPr>
                <w:rFonts w:ascii="Arial" w:hAnsi="Arial" w:cs="Arial"/>
                <w:sz w:val="20"/>
                <w:szCs w:val="20"/>
              </w:rPr>
            </w:pPr>
            <w:r w:rsidRPr="00B01F9E">
              <w:rPr>
                <w:rFonts w:ascii="Arial" w:hAnsi="Arial" w:cs="Arial"/>
                <w:sz w:val="20"/>
                <w:szCs w:val="20"/>
              </w:rPr>
              <w:t>Laboratory Manager/Supervisor/Director</w:t>
            </w:r>
          </w:p>
        </w:tc>
      </w:tr>
      <w:tr w:rsidR="006E5CB8" w:rsidRPr="00B01F9E" w14:paraId="77F6421B" w14:textId="77777777" w:rsidTr="0016170A">
        <w:trPr>
          <w:trHeight w:val="20"/>
        </w:trPr>
        <w:tc>
          <w:tcPr>
            <w:tcW w:w="1083" w:type="dxa"/>
            <w:vMerge/>
          </w:tcPr>
          <w:p w14:paraId="237B9721" w14:textId="77777777" w:rsidR="006E5CB8" w:rsidRPr="00B01F9E" w:rsidRDefault="006E5CB8" w:rsidP="0016170A">
            <w:pPr>
              <w:rPr>
                <w:rFonts w:ascii="Arial" w:hAnsi="Arial" w:cs="Arial"/>
                <w:sz w:val="20"/>
                <w:szCs w:val="20"/>
              </w:rPr>
            </w:pPr>
          </w:p>
        </w:tc>
        <w:tc>
          <w:tcPr>
            <w:tcW w:w="3502" w:type="dxa"/>
            <w:vMerge/>
          </w:tcPr>
          <w:p w14:paraId="57618AE1" w14:textId="77777777" w:rsidR="006E5CB8" w:rsidRPr="00B01F9E" w:rsidRDefault="006E5CB8" w:rsidP="0016170A">
            <w:pPr>
              <w:rPr>
                <w:rFonts w:ascii="Arial" w:hAnsi="Arial" w:cs="Arial"/>
                <w:sz w:val="20"/>
                <w:szCs w:val="20"/>
              </w:rPr>
            </w:pPr>
          </w:p>
        </w:tc>
        <w:tc>
          <w:tcPr>
            <w:tcW w:w="4215" w:type="dxa"/>
          </w:tcPr>
          <w:p w14:paraId="793EC41B" w14:textId="77777777" w:rsidR="006E5CB8" w:rsidRPr="00B01F9E" w:rsidRDefault="006E5CB8" w:rsidP="0016170A">
            <w:pPr>
              <w:rPr>
                <w:rFonts w:ascii="Arial" w:hAnsi="Arial" w:cs="Arial"/>
                <w:sz w:val="20"/>
                <w:szCs w:val="20"/>
              </w:rPr>
            </w:pPr>
            <w:r w:rsidRPr="00B01F9E">
              <w:rPr>
                <w:rFonts w:ascii="Arial" w:hAnsi="Arial" w:cs="Arial"/>
                <w:sz w:val="20"/>
                <w:szCs w:val="20"/>
              </w:rPr>
              <w:t>IT Analyst</w:t>
            </w:r>
          </w:p>
        </w:tc>
      </w:tr>
      <w:tr w:rsidR="006E5CB8" w:rsidRPr="00B01F9E" w14:paraId="7D7DE4BB" w14:textId="77777777" w:rsidTr="0016170A">
        <w:trPr>
          <w:trHeight w:val="20"/>
        </w:trPr>
        <w:tc>
          <w:tcPr>
            <w:tcW w:w="1083" w:type="dxa"/>
            <w:vMerge/>
          </w:tcPr>
          <w:p w14:paraId="3D530137" w14:textId="77777777" w:rsidR="006E5CB8" w:rsidRPr="00B01F9E" w:rsidRDefault="006E5CB8" w:rsidP="0016170A">
            <w:pPr>
              <w:rPr>
                <w:rFonts w:ascii="Arial" w:hAnsi="Arial" w:cs="Arial"/>
                <w:sz w:val="20"/>
                <w:szCs w:val="20"/>
              </w:rPr>
            </w:pPr>
          </w:p>
        </w:tc>
        <w:tc>
          <w:tcPr>
            <w:tcW w:w="3502" w:type="dxa"/>
            <w:vMerge/>
          </w:tcPr>
          <w:p w14:paraId="34627B1D" w14:textId="77777777" w:rsidR="006E5CB8" w:rsidRPr="00B01F9E" w:rsidRDefault="006E5CB8" w:rsidP="0016170A">
            <w:pPr>
              <w:rPr>
                <w:rFonts w:ascii="Arial" w:hAnsi="Arial" w:cs="Arial"/>
                <w:sz w:val="20"/>
                <w:szCs w:val="20"/>
              </w:rPr>
            </w:pPr>
          </w:p>
        </w:tc>
        <w:tc>
          <w:tcPr>
            <w:tcW w:w="4215" w:type="dxa"/>
          </w:tcPr>
          <w:p w14:paraId="192A0E93" w14:textId="77777777" w:rsidR="006E5CB8" w:rsidRPr="00B01F9E" w:rsidRDefault="006E5CB8" w:rsidP="0016170A">
            <w:pPr>
              <w:rPr>
                <w:rFonts w:ascii="Arial" w:hAnsi="Arial" w:cs="Arial"/>
                <w:sz w:val="20"/>
                <w:szCs w:val="20"/>
              </w:rPr>
            </w:pPr>
            <w:r w:rsidRPr="00B01F9E">
              <w:rPr>
                <w:rFonts w:ascii="Arial" w:hAnsi="Arial" w:cs="Arial"/>
                <w:sz w:val="20"/>
                <w:szCs w:val="20"/>
              </w:rPr>
              <w:t>Other</w:t>
            </w:r>
          </w:p>
        </w:tc>
      </w:tr>
      <w:tr w:rsidR="006E5CB8" w:rsidRPr="00B01F9E" w14:paraId="7F5123B6" w14:textId="77777777" w:rsidTr="0016170A">
        <w:trPr>
          <w:trHeight w:val="20"/>
        </w:trPr>
        <w:tc>
          <w:tcPr>
            <w:tcW w:w="1083" w:type="dxa"/>
            <w:vMerge w:val="restart"/>
          </w:tcPr>
          <w:p w14:paraId="61BCD723" w14:textId="77777777" w:rsidR="006E5CB8" w:rsidRPr="00B01F9E" w:rsidRDefault="006E5CB8" w:rsidP="0016170A">
            <w:pPr>
              <w:rPr>
                <w:rFonts w:ascii="Arial" w:hAnsi="Arial" w:cs="Arial"/>
                <w:sz w:val="20"/>
                <w:szCs w:val="20"/>
              </w:rPr>
            </w:pPr>
            <w:r w:rsidRPr="00B01F9E">
              <w:rPr>
                <w:rFonts w:ascii="Arial" w:hAnsi="Arial" w:cs="Arial"/>
                <w:sz w:val="20"/>
                <w:szCs w:val="20"/>
              </w:rPr>
              <w:t>4</w:t>
            </w:r>
          </w:p>
        </w:tc>
        <w:tc>
          <w:tcPr>
            <w:tcW w:w="3502" w:type="dxa"/>
            <w:vMerge w:val="restart"/>
          </w:tcPr>
          <w:p w14:paraId="249647A3" w14:textId="77777777" w:rsidR="006E5CB8" w:rsidRPr="00B01F9E" w:rsidRDefault="006E5CB8" w:rsidP="0016170A">
            <w:pPr>
              <w:rPr>
                <w:rFonts w:ascii="Arial" w:hAnsi="Arial" w:cs="Arial"/>
                <w:sz w:val="20"/>
                <w:szCs w:val="20"/>
              </w:rPr>
            </w:pPr>
            <w:r w:rsidRPr="00B01F9E">
              <w:rPr>
                <w:rFonts w:ascii="Arial" w:hAnsi="Arial" w:cs="Arial"/>
                <w:sz w:val="20"/>
                <w:szCs w:val="20"/>
              </w:rPr>
              <w:t>Who determines if the correct LIDR code has been assigned to the tests in your Laboratory Information System (LIS)?</w:t>
            </w:r>
          </w:p>
        </w:tc>
        <w:tc>
          <w:tcPr>
            <w:tcW w:w="4215" w:type="dxa"/>
          </w:tcPr>
          <w:p w14:paraId="227BB811" w14:textId="77777777" w:rsidR="006E5CB8" w:rsidRPr="00B01F9E" w:rsidRDefault="006E5CB8" w:rsidP="0016170A">
            <w:pPr>
              <w:rPr>
                <w:rFonts w:ascii="Arial" w:hAnsi="Arial" w:cs="Arial"/>
                <w:sz w:val="20"/>
                <w:szCs w:val="20"/>
              </w:rPr>
            </w:pPr>
            <w:r w:rsidRPr="00B01F9E">
              <w:rPr>
                <w:rFonts w:ascii="Arial" w:hAnsi="Arial" w:cs="Arial"/>
                <w:sz w:val="20"/>
                <w:szCs w:val="20"/>
              </w:rPr>
              <w:t>Laboratory Director (Medical)</w:t>
            </w:r>
          </w:p>
        </w:tc>
      </w:tr>
      <w:tr w:rsidR="006E5CB8" w:rsidRPr="00B01F9E" w14:paraId="4EF1A27E" w14:textId="77777777" w:rsidTr="0016170A">
        <w:trPr>
          <w:trHeight w:val="20"/>
        </w:trPr>
        <w:tc>
          <w:tcPr>
            <w:tcW w:w="1083" w:type="dxa"/>
            <w:vMerge/>
          </w:tcPr>
          <w:p w14:paraId="66D3FE84" w14:textId="77777777" w:rsidR="006E5CB8" w:rsidRPr="00B01F9E" w:rsidRDefault="006E5CB8" w:rsidP="0016170A">
            <w:pPr>
              <w:rPr>
                <w:rFonts w:ascii="Arial" w:hAnsi="Arial" w:cs="Arial"/>
                <w:sz w:val="20"/>
                <w:szCs w:val="20"/>
              </w:rPr>
            </w:pPr>
          </w:p>
        </w:tc>
        <w:tc>
          <w:tcPr>
            <w:tcW w:w="3502" w:type="dxa"/>
            <w:vMerge/>
          </w:tcPr>
          <w:p w14:paraId="6DD80277" w14:textId="77777777" w:rsidR="006E5CB8" w:rsidRPr="00B01F9E" w:rsidRDefault="006E5CB8" w:rsidP="0016170A">
            <w:pPr>
              <w:rPr>
                <w:rFonts w:ascii="Arial" w:hAnsi="Arial" w:cs="Arial"/>
                <w:sz w:val="20"/>
                <w:szCs w:val="20"/>
              </w:rPr>
            </w:pPr>
          </w:p>
        </w:tc>
        <w:tc>
          <w:tcPr>
            <w:tcW w:w="4215" w:type="dxa"/>
          </w:tcPr>
          <w:p w14:paraId="3BDAAB7D" w14:textId="77777777" w:rsidR="006E5CB8" w:rsidRPr="00B01F9E" w:rsidRDefault="006E5CB8" w:rsidP="0016170A">
            <w:pPr>
              <w:rPr>
                <w:rFonts w:ascii="Arial" w:hAnsi="Arial" w:cs="Arial"/>
                <w:sz w:val="20"/>
                <w:szCs w:val="20"/>
              </w:rPr>
            </w:pPr>
            <w:r w:rsidRPr="00B01F9E">
              <w:rPr>
                <w:rFonts w:ascii="Arial" w:hAnsi="Arial" w:cs="Arial"/>
                <w:sz w:val="20"/>
                <w:szCs w:val="20"/>
              </w:rPr>
              <w:t>Pathologist</w:t>
            </w:r>
          </w:p>
        </w:tc>
      </w:tr>
      <w:tr w:rsidR="006E5CB8" w:rsidRPr="00B01F9E" w14:paraId="3052E36E" w14:textId="77777777" w:rsidTr="0016170A">
        <w:trPr>
          <w:trHeight w:val="20"/>
        </w:trPr>
        <w:tc>
          <w:tcPr>
            <w:tcW w:w="1083" w:type="dxa"/>
            <w:vMerge/>
          </w:tcPr>
          <w:p w14:paraId="26F38B93" w14:textId="77777777" w:rsidR="006E5CB8" w:rsidRPr="00B01F9E" w:rsidRDefault="006E5CB8" w:rsidP="0016170A">
            <w:pPr>
              <w:rPr>
                <w:rFonts w:ascii="Arial" w:hAnsi="Arial" w:cs="Arial"/>
                <w:sz w:val="20"/>
                <w:szCs w:val="20"/>
              </w:rPr>
            </w:pPr>
          </w:p>
        </w:tc>
        <w:tc>
          <w:tcPr>
            <w:tcW w:w="3502" w:type="dxa"/>
            <w:vMerge/>
          </w:tcPr>
          <w:p w14:paraId="683E4B09" w14:textId="77777777" w:rsidR="006E5CB8" w:rsidRPr="00B01F9E" w:rsidRDefault="006E5CB8" w:rsidP="0016170A">
            <w:pPr>
              <w:rPr>
                <w:rFonts w:ascii="Arial" w:hAnsi="Arial" w:cs="Arial"/>
                <w:sz w:val="20"/>
                <w:szCs w:val="20"/>
              </w:rPr>
            </w:pPr>
          </w:p>
        </w:tc>
        <w:tc>
          <w:tcPr>
            <w:tcW w:w="4215" w:type="dxa"/>
          </w:tcPr>
          <w:p w14:paraId="5846D47F" w14:textId="77777777" w:rsidR="006E5CB8" w:rsidRPr="00B01F9E" w:rsidRDefault="006E5CB8" w:rsidP="0016170A">
            <w:pPr>
              <w:rPr>
                <w:rFonts w:ascii="Arial" w:hAnsi="Arial" w:cs="Arial"/>
                <w:sz w:val="20"/>
                <w:szCs w:val="20"/>
              </w:rPr>
            </w:pPr>
            <w:r w:rsidRPr="00B01F9E">
              <w:rPr>
                <w:rFonts w:ascii="Arial" w:hAnsi="Arial" w:cs="Arial"/>
                <w:sz w:val="20"/>
                <w:szCs w:val="20"/>
              </w:rPr>
              <w:t>Administrative Laboratory Director</w:t>
            </w:r>
          </w:p>
        </w:tc>
      </w:tr>
      <w:tr w:rsidR="006E5CB8" w:rsidRPr="00B01F9E" w14:paraId="159BFC86" w14:textId="77777777" w:rsidTr="0016170A">
        <w:trPr>
          <w:trHeight w:val="20"/>
        </w:trPr>
        <w:tc>
          <w:tcPr>
            <w:tcW w:w="1083" w:type="dxa"/>
            <w:vMerge/>
          </w:tcPr>
          <w:p w14:paraId="76EBBDE3" w14:textId="77777777" w:rsidR="006E5CB8" w:rsidRPr="00B01F9E" w:rsidRDefault="006E5CB8" w:rsidP="0016170A">
            <w:pPr>
              <w:rPr>
                <w:rFonts w:ascii="Arial" w:hAnsi="Arial" w:cs="Arial"/>
                <w:sz w:val="20"/>
                <w:szCs w:val="20"/>
              </w:rPr>
            </w:pPr>
          </w:p>
        </w:tc>
        <w:tc>
          <w:tcPr>
            <w:tcW w:w="3502" w:type="dxa"/>
            <w:vMerge/>
          </w:tcPr>
          <w:p w14:paraId="4CE09FE1" w14:textId="77777777" w:rsidR="006E5CB8" w:rsidRPr="00B01F9E" w:rsidRDefault="006E5CB8" w:rsidP="0016170A">
            <w:pPr>
              <w:rPr>
                <w:rFonts w:ascii="Arial" w:hAnsi="Arial" w:cs="Arial"/>
                <w:sz w:val="20"/>
                <w:szCs w:val="20"/>
              </w:rPr>
            </w:pPr>
          </w:p>
        </w:tc>
        <w:tc>
          <w:tcPr>
            <w:tcW w:w="4215" w:type="dxa"/>
          </w:tcPr>
          <w:p w14:paraId="396FEB20" w14:textId="77777777" w:rsidR="006E5CB8" w:rsidRPr="00B01F9E" w:rsidRDefault="006E5CB8" w:rsidP="0016170A">
            <w:pPr>
              <w:rPr>
                <w:rFonts w:ascii="Arial" w:hAnsi="Arial" w:cs="Arial"/>
                <w:sz w:val="20"/>
                <w:szCs w:val="20"/>
              </w:rPr>
            </w:pPr>
            <w:r w:rsidRPr="00B01F9E">
              <w:rPr>
                <w:rFonts w:ascii="Arial" w:hAnsi="Arial" w:cs="Arial"/>
                <w:sz w:val="20"/>
                <w:szCs w:val="20"/>
              </w:rPr>
              <w:t>Lab Manager/Supervisor</w:t>
            </w:r>
          </w:p>
        </w:tc>
      </w:tr>
      <w:tr w:rsidR="006E5CB8" w:rsidRPr="00B01F9E" w14:paraId="37A386D5" w14:textId="77777777" w:rsidTr="0016170A">
        <w:trPr>
          <w:trHeight w:val="20"/>
        </w:trPr>
        <w:tc>
          <w:tcPr>
            <w:tcW w:w="1083" w:type="dxa"/>
            <w:vMerge/>
          </w:tcPr>
          <w:p w14:paraId="1C33689D" w14:textId="77777777" w:rsidR="006E5CB8" w:rsidRPr="00B01F9E" w:rsidRDefault="006E5CB8" w:rsidP="0016170A">
            <w:pPr>
              <w:rPr>
                <w:rFonts w:ascii="Arial" w:hAnsi="Arial" w:cs="Arial"/>
                <w:sz w:val="20"/>
                <w:szCs w:val="20"/>
              </w:rPr>
            </w:pPr>
          </w:p>
        </w:tc>
        <w:tc>
          <w:tcPr>
            <w:tcW w:w="3502" w:type="dxa"/>
            <w:vMerge/>
          </w:tcPr>
          <w:p w14:paraId="7B4110E5" w14:textId="77777777" w:rsidR="006E5CB8" w:rsidRPr="00B01F9E" w:rsidRDefault="006E5CB8" w:rsidP="0016170A">
            <w:pPr>
              <w:rPr>
                <w:rFonts w:ascii="Arial" w:hAnsi="Arial" w:cs="Arial"/>
                <w:sz w:val="20"/>
                <w:szCs w:val="20"/>
              </w:rPr>
            </w:pPr>
          </w:p>
        </w:tc>
        <w:tc>
          <w:tcPr>
            <w:tcW w:w="4215" w:type="dxa"/>
          </w:tcPr>
          <w:p w14:paraId="3E46A7E3" w14:textId="77777777" w:rsidR="006E5CB8" w:rsidRPr="00B01F9E" w:rsidRDefault="006E5CB8" w:rsidP="0016170A">
            <w:pPr>
              <w:rPr>
                <w:rFonts w:ascii="Arial" w:hAnsi="Arial" w:cs="Arial"/>
                <w:sz w:val="20"/>
                <w:szCs w:val="20"/>
              </w:rPr>
            </w:pPr>
            <w:r w:rsidRPr="00B01F9E">
              <w:rPr>
                <w:rFonts w:ascii="Arial" w:hAnsi="Arial" w:cs="Arial"/>
                <w:sz w:val="20"/>
                <w:szCs w:val="20"/>
              </w:rPr>
              <w:t>Medical Technologist</w:t>
            </w:r>
          </w:p>
        </w:tc>
      </w:tr>
      <w:tr w:rsidR="006E5CB8" w:rsidRPr="00B01F9E" w14:paraId="446CD14E" w14:textId="77777777" w:rsidTr="0016170A">
        <w:trPr>
          <w:trHeight w:val="20"/>
        </w:trPr>
        <w:tc>
          <w:tcPr>
            <w:tcW w:w="1083" w:type="dxa"/>
            <w:vMerge/>
          </w:tcPr>
          <w:p w14:paraId="17786B47" w14:textId="77777777" w:rsidR="006E5CB8" w:rsidRPr="00B01F9E" w:rsidRDefault="006E5CB8" w:rsidP="0016170A">
            <w:pPr>
              <w:rPr>
                <w:rFonts w:ascii="Arial" w:hAnsi="Arial" w:cs="Arial"/>
                <w:sz w:val="20"/>
                <w:szCs w:val="20"/>
              </w:rPr>
            </w:pPr>
          </w:p>
        </w:tc>
        <w:tc>
          <w:tcPr>
            <w:tcW w:w="3502" w:type="dxa"/>
            <w:vMerge/>
          </w:tcPr>
          <w:p w14:paraId="01B84ABA" w14:textId="77777777" w:rsidR="006E5CB8" w:rsidRPr="00B01F9E" w:rsidRDefault="006E5CB8" w:rsidP="0016170A">
            <w:pPr>
              <w:rPr>
                <w:rFonts w:ascii="Arial" w:hAnsi="Arial" w:cs="Arial"/>
                <w:sz w:val="20"/>
                <w:szCs w:val="20"/>
              </w:rPr>
            </w:pPr>
          </w:p>
        </w:tc>
        <w:tc>
          <w:tcPr>
            <w:tcW w:w="4215" w:type="dxa"/>
          </w:tcPr>
          <w:p w14:paraId="1F1A0635" w14:textId="77777777" w:rsidR="006E5CB8" w:rsidRPr="00B01F9E" w:rsidRDefault="006E5CB8" w:rsidP="0016170A">
            <w:pPr>
              <w:rPr>
                <w:rFonts w:ascii="Arial" w:hAnsi="Arial" w:cs="Arial"/>
                <w:sz w:val="20"/>
                <w:szCs w:val="20"/>
              </w:rPr>
            </w:pPr>
            <w:r w:rsidRPr="00B01F9E">
              <w:rPr>
                <w:rFonts w:ascii="Arial" w:hAnsi="Arial" w:cs="Arial"/>
                <w:sz w:val="20"/>
                <w:szCs w:val="20"/>
              </w:rPr>
              <w:t>Information Technology (IT) Staff</w:t>
            </w:r>
          </w:p>
        </w:tc>
      </w:tr>
      <w:tr w:rsidR="006E5CB8" w:rsidRPr="00B01F9E" w14:paraId="775F68E6" w14:textId="77777777" w:rsidTr="0016170A">
        <w:trPr>
          <w:trHeight w:val="20"/>
        </w:trPr>
        <w:tc>
          <w:tcPr>
            <w:tcW w:w="1083" w:type="dxa"/>
            <w:vMerge/>
          </w:tcPr>
          <w:p w14:paraId="1DA68411" w14:textId="77777777" w:rsidR="006E5CB8" w:rsidRPr="00B01F9E" w:rsidRDefault="006E5CB8" w:rsidP="0016170A">
            <w:pPr>
              <w:rPr>
                <w:rFonts w:ascii="Arial" w:hAnsi="Arial" w:cs="Arial"/>
                <w:sz w:val="20"/>
                <w:szCs w:val="20"/>
              </w:rPr>
            </w:pPr>
          </w:p>
        </w:tc>
        <w:tc>
          <w:tcPr>
            <w:tcW w:w="3502" w:type="dxa"/>
            <w:vMerge/>
          </w:tcPr>
          <w:p w14:paraId="182534C7" w14:textId="77777777" w:rsidR="006E5CB8" w:rsidRPr="00B01F9E" w:rsidRDefault="006E5CB8" w:rsidP="0016170A">
            <w:pPr>
              <w:rPr>
                <w:rFonts w:ascii="Arial" w:hAnsi="Arial" w:cs="Arial"/>
                <w:sz w:val="20"/>
                <w:szCs w:val="20"/>
              </w:rPr>
            </w:pPr>
          </w:p>
        </w:tc>
        <w:tc>
          <w:tcPr>
            <w:tcW w:w="4215" w:type="dxa"/>
          </w:tcPr>
          <w:p w14:paraId="04E59A5C" w14:textId="77777777" w:rsidR="006E5CB8" w:rsidRPr="00B01F9E" w:rsidRDefault="006E5CB8" w:rsidP="0016170A">
            <w:pPr>
              <w:rPr>
                <w:rFonts w:ascii="Arial" w:hAnsi="Arial" w:cs="Arial"/>
                <w:sz w:val="20"/>
                <w:szCs w:val="20"/>
              </w:rPr>
            </w:pPr>
            <w:r w:rsidRPr="00B01F9E">
              <w:rPr>
                <w:rFonts w:ascii="Arial" w:hAnsi="Arial" w:cs="Arial"/>
                <w:sz w:val="20"/>
                <w:szCs w:val="20"/>
              </w:rPr>
              <w:t>Vendor (or 3rd Party)</w:t>
            </w:r>
          </w:p>
        </w:tc>
      </w:tr>
      <w:tr w:rsidR="006E5CB8" w:rsidRPr="00B01F9E" w14:paraId="231E3FD4" w14:textId="77777777" w:rsidTr="0016170A">
        <w:trPr>
          <w:trHeight w:val="20"/>
        </w:trPr>
        <w:tc>
          <w:tcPr>
            <w:tcW w:w="1083" w:type="dxa"/>
            <w:vMerge/>
          </w:tcPr>
          <w:p w14:paraId="22484993" w14:textId="77777777" w:rsidR="006E5CB8" w:rsidRPr="00B01F9E" w:rsidRDefault="006E5CB8" w:rsidP="0016170A">
            <w:pPr>
              <w:rPr>
                <w:rFonts w:ascii="Arial" w:hAnsi="Arial" w:cs="Arial"/>
                <w:sz w:val="20"/>
                <w:szCs w:val="20"/>
              </w:rPr>
            </w:pPr>
          </w:p>
        </w:tc>
        <w:tc>
          <w:tcPr>
            <w:tcW w:w="3502" w:type="dxa"/>
            <w:vMerge/>
          </w:tcPr>
          <w:p w14:paraId="4A3B565B" w14:textId="77777777" w:rsidR="006E5CB8" w:rsidRPr="00B01F9E" w:rsidRDefault="006E5CB8" w:rsidP="0016170A">
            <w:pPr>
              <w:rPr>
                <w:rFonts w:ascii="Arial" w:hAnsi="Arial" w:cs="Arial"/>
                <w:sz w:val="20"/>
                <w:szCs w:val="20"/>
              </w:rPr>
            </w:pPr>
          </w:p>
        </w:tc>
        <w:tc>
          <w:tcPr>
            <w:tcW w:w="4215" w:type="dxa"/>
          </w:tcPr>
          <w:p w14:paraId="24E5E8BC" w14:textId="77777777" w:rsidR="006E5CB8" w:rsidRPr="00B01F9E" w:rsidRDefault="006E5CB8" w:rsidP="0016170A">
            <w:pPr>
              <w:rPr>
                <w:rFonts w:ascii="Arial" w:hAnsi="Arial" w:cs="Arial"/>
                <w:sz w:val="20"/>
                <w:szCs w:val="20"/>
              </w:rPr>
            </w:pPr>
            <w:r w:rsidRPr="00B01F9E">
              <w:rPr>
                <w:rFonts w:ascii="Arial" w:hAnsi="Arial" w:cs="Arial"/>
                <w:sz w:val="20"/>
                <w:szCs w:val="20"/>
              </w:rPr>
              <w:t>Unsure</w:t>
            </w:r>
          </w:p>
        </w:tc>
      </w:tr>
      <w:tr w:rsidR="006E5CB8" w:rsidRPr="00B01F9E" w14:paraId="1C4CF426" w14:textId="77777777" w:rsidTr="0016170A">
        <w:trPr>
          <w:trHeight w:val="20"/>
        </w:trPr>
        <w:tc>
          <w:tcPr>
            <w:tcW w:w="1083" w:type="dxa"/>
            <w:vMerge/>
          </w:tcPr>
          <w:p w14:paraId="5A835F16" w14:textId="77777777" w:rsidR="006E5CB8" w:rsidRPr="00B01F9E" w:rsidRDefault="006E5CB8" w:rsidP="0016170A">
            <w:pPr>
              <w:rPr>
                <w:rFonts w:ascii="Arial" w:hAnsi="Arial" w:cs="Arial"/>
                <w:sz w:val="20"/>
                <w:szCs w:val="20"/>
              </w:rPr>
            </w:pPr>
          </w:p>
        </w:tc>
        <w:tc>
          <w:tcPr>
            <w:tcW w:w="3502" w:type="dxa"/>
            <w:vMerge/>
          </w:tcPr>
          <w:p w14:paraId="7CE3BC3C" w14:textId="77777777" w:rsidR="006E5CB8" w:rsidRPr="00B01F9E" w:rsidRDefault="006E5CB8" w:rsidP="0016170A">
            <w:pPr>
              <w:rPr>
                <w:rFonts w:ascii="Arial" w:hAnsi="Arial" w:cs="Arial"/>
                <w:sz w:val="20"/>
                <w:szCs w:val="20"/>
              </w:rPr>
            </w:pPr>
          </w:p>
        </w:tc>
        <w:tc>
          <w:tcPr>
            <w:tcW w:w="4215" w:type="dxa"/>
          </w:tcPr>
          <w:p w14:paraId="29617EDF" w14:textId="77777777" w:rsidR="006E5CB8" w:rsidRPr="00B01F9E" w:rsidRDefault="006E5CB8" w:rsidP="0016170A">
            <w:pPr>
              <w:rPr>
                <w:rFonts w:ascii="Arial" w:hAnsi="Arial" w:cs="Arial"/>
                <w:sz w:val="20"/>
                <w:szCs w:val="20"/>
              </w:rPr>
            </w:pPr>
            <w:r w:rsidRPr="00B01F9E">
              <w:rPr>
                <w:rFonts w:ascii="Arial" w:hAnsi="Arial" w:cs="Arial"/>
                <w:sz w:val="20"/>
                <w:szCs w:val="20"/>
              </w:rPr>
              <w:t>Other</w:t>
            </w:r>
          </w:p>
        </w:tc>
      </w:tr>
      <w:tr w:rsidR="006E5CB8" w:rsidRPr="00B01F9E" w14:paraId="2DC9E82D" w14:textId="77777777" w:rsidTr="0016170A">
        <w:trPr>
          <w:trHeight w:val="20"/>
        </w:trPr>
        <w:tc>
          <w:tcPr>
            <w:tcW w:w="1083" w:type="dxa"/>
            <w:vMerge w:val="restart"/>
          </w:tcPr>
          <w:p w14:paraId="4F3F260D" w14:textId="77777777" w:rsidR="006E5CB8" w:rsidRPr="00B01F9E" w:rsidRDefault="006E5CB8" w:rsidP="0016170A">
            <w:pPr>
              <w:rPr>
                <w:rFonts w:ascii="Arial" w:hAnsi="Arial" w:cs="Arial"/>
                <w:sz w:val="20"/>
                <w:szCs w:val="20"/>
              </w:rPr>
            </w:pPr>
            <w:r w:rsidRPr="00B01F9E">
              <w:rPr>
                <w:rFonts w:ascii="Arial" w:hAnsi="Arial" w:cs="Arial"/>
                <w:sz w:val="20"/>
                <w:szCs w:val="20"/>
              </w:rPr>
              <w:t>5</w:t>
            </w:r>
          </w:p>
        </w:tc>
        <w:tc>
          <w:tcPr>
            <w:tcW w:w="3502" w:type="dxa"/>
            <w:vMerge w:val="restart"/>
          </w:tcPr>
          <w:p w14:paraId="44A3AF2B" w14:textId="77777777" w:rsidR="006E5CB8" w:rsidRPr="00B01F9E" w:rsidRDefault="006E5CB8" w:rsidP="0016170A">
            <w:pPr>
              <w:rPr>
                <w:rFonts w:ascii="Arial" w:hAnsi="Arial" w:cs="Arial"/>
                <w:sz w:val="20"/>
                <w:szCs w:val="20"/>
              </w:rPr>
            </w:pPr>
            <w:r w:rsidRPr="00B01F9E">
              <w:rPr>
                <w:rFonts w:ascii="Arial" w:hAnsi="Arial" w:cs="Arial"/>
                <w:sz w:val="20"/>
                <w:szCs w:val="20"/>
              </w:rPr>
              <w:t>What do you do when you are unsure which LIDR code to select for a test or its result?</w:t>
            </w:r>
          </w:p>
        </w:tc>
        <w:tc>
          <w:tcPr>
            <w:tcW w:w="4215" w:type="dxa"/>
          </w:tcPr>
          <w:p w14:paraId="1A78F7DF" w14:textId="77777777" w:rsidR="006E5CB8" w:rsidRPr="00B01F9E" w:rsidRDefault="006E5CB8" w:rsidP="0016170A">
            <w:pPr>
              <w:rPr>
                <w:rFonts w:ascii="Arial" w:hAnsi="Arial" w:cs="Arial"/>
                <w:sz w:val="20"/>
                <w:szCs w:val="20"/>
              </w:rPr>
            </w:pPr>
            <w:r w:rsidRPr="00B01F9E">
              <w:rPr>
                <w:rFonts w:ascii="Arial" w:hAnsi="Arial" w:cs="Arial"/>
                <w:sz w:val="20"/>
                <w:szCs w:val="20"/>
              </w:rPr>
              <w:t>I make my best guess</w:t>
            </w:r>
          </w:p>
        </w:tc>
      </w:tr>
      <w:tr w:rsidR="006E5CB8" w:rsidRPr="00B01F9E" w14:paraId="7B335363" w14:textId="77777777" w:rsidTr="0016170A">
        <w:trPr>
          <w:trHeight w:val="20"/>
        </w:trPr>
        <w:tc>
          <w:tcPr>
            <w:tcW w:w="1083" w:type="dxa"/>
            <w:vMerge/>
          </w:tcPr>
          <w:p w14:paraId="35DCC8BC" w14:textId="77777777" w:rsidR="006E5CB8" w:rsidRPr="00B01F9E" w:rsidRDefault="006E5CB8" w:rsidP="0016170A">
            <w:pPr>
              <w:rPr>
                <w:rFonts w:ascii="Arial" w:hAnsi="Arial" w:cs="Arial"/>
                <w:sz w:val="20"/>
                <w:szCs w:val="20"/>
              </w:rPr>
            </w:pPr>
          </w:p>
        </w:tc>
        <w:tc>
          <w:tcPr>
            <w:tcW w:w="3502" w:type="dxa"/>
            <w:vMerge/>
          </w:tcPr>
          <w:p w14:paraId="720DAB96" w14:textId="77777777" w:rsidR="006E5CB8" w:rsidRPr="00B01F9E" w:rsidRDefault="006E5CB8" w:rsidP="0016170A">
            <w:pPr>
              <w:rPr>
                <w:rFonts w:ascii="Arial" w:hAnsi="Arial" w:cs="Arial"/>
                <w:sz w:val="20"/>
                <w:szCs w:val="20"/>
              </w:rPr>
            </w:pPr>
          </w:p>
        </w:tc>
        <w:tc>
          <w:tcPr>
            <w:tcW w:w="4215" w:type="dxa"/>
          </w:tcPr>
          <w:p w14:paraId="71E50D12" w14:textId="77777777" w:rsidR="006E5CB8" w:rsidRPr="00B01F9E" w:rsidRDefault="006E5CB8" w:rsidP="0016170A">
            <w:pPr>
              <w:rPr>
                <w:rFonts w:ascii="Arial" w:hAnsi="Arial" w:cs="Arial"/>
                <w:sz w:val="20"/>
                <w:szCs w:val="20"/>
              </w:rPr>
            </w:pPr>
            <w:r w:rsidRPr="00B01F9E">
              <w:rPr>
                <w:rFonts w:ascii="Arial" w:hAnsi="Arial" w:cs="Arial"/>
                <w:sz w:val="20"/>
                <w:szCs w:val="20"/>
              </w:rPr>
              <w:t>I ask the lab manager/supervisor or a laboratory technologist</w:t>
            </w:r>
          </w:p>
        </w:tc>
      </w:tr>
      <w:tr w:rsidR="006E5CB8" w:rsidRPr="00B01F9E" w14:paraId="3D3BB424" w14:textId="77777777" w:rsidTr="0016170A">
        <w:trPr>
          <w:trHeight w:val="20"/>
        </w:trPr>
        <w:tc>
          <w:tcPr>
            <w:tcW w:w="1083" w:type="dxa"/>
            <w:vMerge/>
          </w:tcPr>
          <w:p w14:paraId="7B12F3DF" w14:textId="77777777" w:rsidR="006E5CB8" w:rsidRPr="00B01F9E" w:rsidRDefault="006E5CB8" w:rsidP="0016170A">
            <w:pPr>
              <w:rPr>
                <w:rFonts w:ascii="Arial" w:hAnsi="Arial" w:cs="Arial"/>
                <w:sz w:val="20"/>
                <w:szCs w:val="20"/>
              </w:rPr>
            </w:pPr>
          </w:p>
        </w:tc>
        <w:tc>
          <w:tcPr>
            <w:tcW w:w="3502" w:type="dxa"/>
            <w:vMerge/>
          </w:tcPr>
          <w:p w14:paraId="2122BC68" w14:textId="77777777" w:rsidR="006E5CB8" w:rsidRPr="00B01F9E" w:rsidRDefault="006E5CB8" w:rsidP="0016170A">
            <w:pPr>
              <w:rPr>
                <w:rFonts w:ascii="Arial" w:hAnsi="Arial" w:cs="Arial"/>
                <w:sz w:val="20"/>
                <w:szCs w:val="20"/>
              </w:rPr>
            </w:pPr>
          </w:p>
        </w:tc>
        <w:tc>
          <w:tcPr>
            <w:tcW w:w="4215" w:type="dxa"/>
          </w:tcPr>
          <w:p w14:paraId="17193610" w14:textId="77777777" w:rsidR="006E5CB8" w:rsidRPr="00B01F9E" w:rsidRDefault="006E5CB8" w:rsidP="0016170A">
            <w:pPr>
              <w:rPr>
                <w:rFonts w:ascii="Arial" w:hAnsi="Arial" w:cs="Arial"/>
                <w:sz w:val="20"/>
                <w:szCs w:val="20"/>
              </w:rPr>
            </w:pPr>
            <w:r w:rsidRPr="00B01F9E">
              <w:rPr>
                <w:rFonts w:ascii="Arial" w:hAnsi="Arial" w:cs="Arial"/>
                <w:sz w:val="20"/>
                <w:szCs w:val="20"/>
              </w:rPr>
              <w:t>I ask an IT professional</w:t>
            </w:r>
          </w:p>
        </w:tc>
      </w:tr>
      <w:tr w:rsidR="006E5CB8" w:rsidRPr="00B01F9E" w14:paraId="65C40271" w14:textId="77777777" w:rsidTr="0016170A">
        <w:trPr>
          <w:trHeight w:val="20"/>
        </w:trPr>
        <w:tc>
          <w:tcPr>
            <w:tcW w:w="1083" w:type="dxa"/>
            <w:vMerge/>
          </w:tcPr>
          <w:p w14:paraId="367AA8FD" w14:textId="77777777" w:rsidR="006E5CB8" w:rsidRPr="00B01F9E" w:rsidRDefault="006E5CB8" w:rsidP="0016170A">
            <w:pPr>
              <w:rPr>
                <w:rFonts w:ascii="Arial" w:hAnsi="Arial" w:cs="Arial"/>
                <w:sz w:val="20"/>
                <w:szCs w:val="20"/>
              </w:rPr>
            </w:pPr>
          </w:p>
        </w:tc>
        <w:tc>
          <w:tcPr>
            <w:tcW w:w="3502" w:type="dxa"/>
            <w:vMerge/>
          </w:tcPr>
          <w:p w14:paraId="1AB1B892" w14:textId="77777777" w:rsidR="006E5CB8" w:rsidRPr="00B01F9E" w:rsidRDefault="006E5CB8" w:rsidP="0016170A">
            <w:pPr>
              <w:rPr>
                <w:rFonts w:ascii="Arial" w:hAnsi="Arial" w:cs="Arial"/>
                <w:sz w:val="20"/>
                <w:szCs w:val="20"/>
              </w:rPr>
            </w:pPr>
          </w:p>
        </w:tc>
        <w:tc>
          <w:tcPr>
            <w:tcW w:w="4215" w:type="dxa"/>
          </w:tcPr>
          <w:p w14:paraId="0CB0629E" w14:textId="77777777" w:rsidR="006E5CB8" w:rsidRPr="00B01F9E" w:rsidRDefault="006E5CB8" w:rsidP="0016170A">
            <w:pPr>
              <w:rPr>
                <w:rFonts w:ascii="Arial" w:hAnsi="Arial" w:cs="Arial"/>
                <w:sz w:val="20"/>
                <w:szCs w:val="20"/>
              </w:rPr>
            </w:pPr>
            <w:r w:rsidRPr="00B01F9E">
              <w:rPr>
                <w:rFonts w:ascii="Arial" w:hAnsi="Arial" w:cs="Arial"/>
                <w:sz w:val="20"/>
                <w:szCs w:val="20"/>
              </w:rPr>
              <w:t>I ask a PhD laboratorian or a pathologist (and/or the medical director of the laboratory)</w:t>
            </w:r>
          </w:p>
        </w:tc>
      </w:tr>
      <w:tr w:rsidR="006E5CB8" w:rsidRPr="00B01F9E" w14:paraId="74A2FBCD" w14:textId="77777777" w:rsidTr="0016170A">
        <w:trPr>
          <w:trHeight w:val="20"/>
        </w:trPr>
        <w:tc>
          <w:tcPr>
            <w:tcW w:w="1083" w:type="dxa"/>
            <w:vMerge/>
          </w:tcPr>
          <w:p w14:paraId="2B9E87FD" w14:textId="77777777" w:rsidR="006E5CB8" w:rsidRPr="00B01F9E" w:rsidRDefault="006E5CB8" w:rsidP="0016170A">
            <w:pPr>
              <w:rPr>
                <w:rFonts w:ascii="Arial" w:hAnsi="Arial" w:cs="Arial"/>
                <w:sz w:val="20"/>
                <w:szCs w:val="20"/>
              </w:rPr>
            </w:pPr>
          </w:p>
        </w:tc>
        <w:tc>
          <w:tcPr>
            <w:tcW w:w="3502" w:type="dxa"/>
            <w:vMerge/>
          </w:tcPr>
          <w:p w14:paraId="7BD3ADB4" w14:textId="77777777" w:rsidR="006E5CB8" w:rsidRPr="00B01F9E" w:rsidRDefault="006E5CB8" w:rsidP="0016170A">
            <w:pPr>
              <w:rPr>
                <w:rFonts w:ascii="Arial" w:hAnsi="Arial" w:cs="Arial"/>
                <w:sz w:val="20"/>
                <w:szCs w:val="20"/>
              </w:rPr>
            </w:pPr>
          </w:p>
        </w:tc>
        <w:tc>
          <w:tcPr>
            <w:tcW w:w="4215" w:type="dxa"/>
          </w:tcPr>
          <w:p w14:paraId="78B937EA" w14:textId="77777777" w:rsidR="006E5CB8" w:rsidRPr="00B01F9E" w:rsidRDefault="006E5CB8" w:rsidP="0016170A">
            <w:pPr>
              <w:rPr>
                <w:rFonts w:ascii="Arial" w:hAnsi="Arial" w:cs="Arial"/>
                <w:sz w:val="20"/>
                <w:szCs w:val="20"/>
              </w:rPr>
            </w:pPr>
            <w:r w:rsidRPr="00B01F9E">
              <w:rPr>
                <w:rFonts w:ascii="Arial" w:hAnsi="Arial" w:cs="Arial"/>
                <w:sz w:val="20"/>
                <w:szCs w:val="20"/>
              </w:rPr>
              <w:t>Search in LIDR</w:t>
            </w:r>
          </w:p>
        </w:tc>
      </w:tr>
      <w:tr w:rsidR="006E5CB8" w:rsidRPr="00B01F9E" w14:paraId="254E1C6B" w14:textId="77777777" w:rsidTr="0016170A">
        <w:trPr>
          <w:trHeight w:val="20"/>
        </w:trPr>
        <w:tc>
          <w:tcPr>
            <w:tcW w:w="1083" w:type="dxa"/>
            <w:vMerge/>
          </w:tcPr>
          <w:p w14:paraId="2BA2D8B1" w14:textId="77777777" w:rsidR="006E5CB8" w:rsidRPr="00B01F9E" w:rsidRDefault="006E5CB8" w:rsidP="0016170A">
            <w:pPr>
              <w:rPr>
                <w:rFonts w:ascii="Arial" w:hAnsi="Arial" w:cs="Arial"/>
                <w:sz w:val="20"/>
                <w:szCs w:val="20"/>
              </w:rPr>
            </w:pPr>
          </w:p>
        </w:tc>
        <w:tc>
          <w:tcPr>
            <w:tcW w:w="3502" w:type="dxa"/>
            <w:vMerge/>
          </w:tcPr>
          <w:p w14:paraId="215FC376" w14:textId="77777777" w:rsidR="006E5CB8" w:rsidRPr="00B01F9E" w:rsidRDefault="006E5CB8" w:rsidP="0016170A">
            <w:pPr>
              <w:rPr>
                <w:rFonts w:ascii="Arial" w:hAnsi="Arial" w:cs="Arial"/>
                <w:sz w:val="20"/>
                <w:szCs w:val="20"/>
              </w:rPr>
            </w:pPr>
          </w:p>
        </w:tc>
        <w:tc>
          <w:tcPr>
            <w:tcW w:w="4215" w:type="dxa"/>
          </w:tcPr>
          <w:p w14:paraId="5F99AB51" w14:textId="77777777" w:rsidR="006E5CB8" w:rsidRPr="00B01F9E" w:rsidRDefault="006E5CB8" w:rsidP="0016170A">
            <w:pPr>
              <w:rPr>
                <w:rFonts w:ascii="Arial" w:hAnsi="Arial" w:cs="Arial"/>
                <w:sz w:val="20"/>
                <w:szCs w:val="20"/>
              </w:rPr>
            </w:pPr>
            <w:r w:rsidRPr="00B01F9E">
              <w:rPr>
                <w:rFonts w:ascii="Arial" w:hAnsi="Arial" w:cs="Arial"/>
                <w:sz w:val="20"/>
                <w:szCs w:val="20"/>
              </w:rPr>
              <w:t>Search in search.loinc.org</w:t>
            </w:r>
          </w:p>
        </w:tc>
      </w:tr>
      <w:tr w:rsidR="006E5CB8" w:rsidRPr="00B01F9E" w14:paraId="4E7295C5" w14:textId="77777777" w:rsidTr="0016170A">
        <w:trPr>
          <w:trHeight w:val="20"/>
        </w:trPr>
        <w:tc>
          <w:tcPr>
            <w:tcW w:w="1083" w:type="dxa"/>
            <w:vMerge/>
          </w:tcPr>
          <w:p w14:paraId="40A4EE1E" w14:textId="77777777" w:rsidR="006E5CB8" w:rsidRPr="00B01F9E" w:rsidRDefault="006E5CB8" w:rsidP="0016170A">
            <w:pPr>
              <w:rPr>
                <w:rFonts w:ascii="Arial" w:hAnsi="Arial" w:cs="Arial"/>
                <w:sz w:val="20"/>
                <w:szCs w:val="20"/>
              </w:rPr>
            </w:pPr>
          </w:p>
        </w:tc>
        <w:tc>
          <w:tcPr>
            <w:tcW w:w="3502" w:type="dxa"/>
            <w:vMerge/>
          </w:tcPr>
          <w:p w14:paraId="124FC60D" w14:textId="77777777" w:rsidR="006E5CB8" w:rsidRPr="00B01F9E" w:rsidRDefault="006E5CB8" w:rsidP="0016170A">
            <w:pPr>
              <w:rPr>
                <w:rFonts w:ascii="Arial" w:hAnsi="Arial" w:cs="Arial"/>
                <w:sz w:val="20"/>
                <w:szCs w:val="20"/>
              </w:rPr>
            </w:pPr>
          </w:p>
        </w:tc>
        <w:tc>
          <w:tcPr>
            <w:tcW w:w="4215" w:type="dxa"/>
          </w:tcPr>
          <w:p w14:paraId="1A3A6CF4" w14:textId="77777777" w:rsidR="006E5CB8" w:rsidRPr="00B01F9E" w:rsidRDefault="006E5CB8" w:rsidP="0016170A">
            <w:pPr>
              <w:rPr>
                <w:rFonts w:ascii="Arial" w:hAnsi="Arial" w:cs="Arial"/>
                <w:sz w:val="20"/>
                <w:szCs w:val="20"/>
              </w:rPr>
            </w:pPr>
            <w:r w:rsidRPr="00B01F9E">
              <w:rPr>
                <w:rFonts w:ascii="Arial" w:hAnsi="Arial" w:cs="Arial"/>
                <w:sz w:val="20"/>
                <w:szCs w:val="20"/>
              </w:rPr>
              <w:t>Other</w:t>
            </w:r>
          </w:p>
        </w:tc>
      </w:tr>
      <w:tr w:rsidR="006E5CB8" w:rsidRPr="00B01F9E" w14:paraId="014820BE" w14:textId="77777777" w:rsidTr="0016170A">
        <w:tc>
          <w:tcPr>
            <w:tcW w:w="1083" w:type="dxa"/>
            <w:vMerge w:val="restart"/>
          </w:tcPr>
          <w:p w14:paraId="1CE88B33" w14:textId="77777777" w:rsidR="006E5CB8" w:rsidRPr="00B01F9E" w:rsidRDefault="006E5CB8" w:rsidP="0016170A">
            <w:pPr>
              <w:rPr>
                <w:rFonts w:ascii="Arial" w:hAnsi="Arial" w:cs="Arial"/>
                <w:sz w:val="20"/>
                <w:szCs w:val="20"/>
              </w:rPr>
            </w:pPr>
            <w:r w:rsidRPr="00B01F9E">
              <w:rPr>
                <w:rFonts w:ascii="Arial" w:hAnsi="Arial" w:cs="Arial"/>
                <w:sz w:val="20"/>
                <w:szCs w:val="20"/>
              </w:rPr>
              <w:t>6</w:t>
            </w:r>
          </w:p>
        </w:tc>
        <w:tc>
          <w:tcPr>
            <w:tcW w:w="3502" w:type="dxa"/>
            <w:vMerge w:val="restart"/>
          </w:tcPr>
          <w:p w14:paraId="2030D4D5" w14:textId="77777777" w:rsidR="006E5CB8" w:rsidRPr="00B01F9E" w:rsidRDefault="006E5CB8" w:rsidP="0016170A">
            <w:pPr>
              <w:rPr>
                <w:rFonts w:ascii="Arial" w:hAnsi="Arial" w:cs="Arial"/>
                <w:sz w:val="20"/>
                <w:szCs w:val="20"/>
              </w:rPr>
            </w:pPr>
            <w:r w:rsidRPr="00B01F9E">
              <w:rPr>
                <w:rFonts w:ascii="Arial" w:hAnsi="Arial" w:cs="Arial"/>
                <w:sz w:val="20"/>
                <w:szCs w:val="20"/>
              </w:rPr>
              <w:t>How often are LIDR codes assessed at your workplace to ensure they remain the best test codes?</w:t>
            </w:r>
          </w:p>
        </w:tc>
        <w:tc>
          <w:tcPr>
            <w:tcW w:w="4215" w:type="dxa"/>
          </w:tcPr>
          <w:p w14:paraId="1BAE1AD5" w14:textId="77777777" w:rsidR="006E5CB8" w:rsidRPr="00B01F9E" w:rsidRDefault="006E5CB8" w:rsidP="0016170A">
            <w:pPr>
              <w:rPr>
                <w:rFonts w:ascii="Arial" w:hAnsi="Arial" w:cs="Arial"/>
                <w:sz w:val="20"/>
                <w:szCs w:val="20"/>
              </w:rPr>
            </w:pPr>
            <w:r w:rsidRPr="00B01F9E">
              <w:rPr>
                <w:rFonts w:ascii="Arial" w:hAnsi="Arial" w:cs="Arial"/>
                <w:sz w:val="20"/>
                <w:szCs w:val="20"/>
              </w:rPr>
              <w:t>Rarely or never</w:t>
            </w:r>
          </w:p>
        </w:tc>
      </w:tr>
      <w:tr w:rsidR="006E5CB8" w:rsidRPr="00B01F9E" w14:paraId="66131530" w14:textId="77777777" w:rsidTr="0016170A">
        <w:tc>
          <w:tcPr>
            <w:tcW w:w="1083" w:type="dxa"/>
            <w:vMerge/>
          </w:tcPr>
          <w:p w14:paraId="471CD7D0" w14:textId="77777777" w:rsidR="006E5CB8" w:rsidRPr="00B01F9E" w:rsidRDefault="006E5CB8" w:rsidP="0016170A">
            <w:pPr>
              <w:rPr>
                <w:rFonts w:ascii="Arial" w:hAnsi="Arial" w:cs="Arial"/>
                <w:sz w:val="20"/>
                <w:szCs w:val="20"/>
              </w:rPr>
            </w:pPr>
          </w:p>
        </w:tc>
        <w:tc>
          <w:tcPr>
            <w:tcW w:w="3502" w:type="dxa"/>
            <w:vMerge/>
          </w:tcPr>
          <w:p w14:paraId="389028A5" w14:textId="77777777" w:rsidR="006E5CB8" w:rsidRPr="00B01F9E" w:rsidRDefault="006E5CB8" w:rsidP="0016170A">
            <w:pPr>
              <w:rPr>
                <w:rFonts w:ascii="Arial" w:hAnsi="Arial" w:cs="Arial"/>
                <w:sz w:val="20"/>
                <w:szCs w:val="20"/>
              </w:rPr>
            </w:pPr>
          </w:p>
        </w:tc>
        <w:tc>
          <w:tcPr>
            <w:tcW w:w="4215" w:type="dxa"/>
          </w:tcPr>
          <w:p w14:paraId="3ABC54EF" w14:textId="77777777" w:rsidR="006E5CB8" w:rsidRPr="00B01F9E" w:rsidRDefault="006E5CB8" w:rsidP="0016170A">
            <w:pPr>
              <w:rPr>
                <w:rFonts w:ascii="Arial" w:hAnsi="Arial" w:cs="Arial"/>
                <w:sz w:val="20"/>
                <w:szCs w:val="20"/>
              </w:rPr>
            </w:pPr>
            <w:r w:rsidRPr="00B01F9E">
              <w:rPr>
                <w:rFonts w:ascii="Arial" w:hAnsi="Arial" w:cs="Arial"/>
                <w:sz w:val="20"/>
                <w:szCs w:val="20"/>
              </w:rPr>
              <w:t>Every year</w:t>
            </w:r>
          </w:p>
        </w:tc>
      </w:tr>
      <w:tr w:rsidR="006E5CB8" w:rsidRPr="00B01F9E" w14:paraId="2D1E2433" w14:textId="77777777" w:rsidTr="0016170A">
        <w:tc>
          <w:tcPr>
            <w:tcW w:w="1083" w:type="dxa"/>
            <w:vMerge/>
          </w:tcPr>
          <w:p w14:paraId="0520AD68" w14:textId="77777777" w:rsidR="006E5CB8" w:rsidRPr="00B01F9E" w:rsidRDefault="006E5CB8" w:rsidP="0016170A">
            <w:pPr>
              <w:rPr>
                <w:rFonts w:ascii="Arial" w:hAnsi="Arial" w:cs="Arial"/>
                <w:sz w:val="20"/>
                <w:szCs w:val="20"/>
              </w:rPr>
            </w:pPr>
          </w:p>
        </w:tc>
        <w:tc>
          <w:tcPr>
            <w:tcW w:w="3502" w:type="dxa"/>
            <w:vMerge/>
          </w:tcPr>
          <w:p w14:paraId="51A90F86" w14:textId="77777777" w:rsidR="006E5CB8" w:rsidRPr="00B01F9E" w:rsidRDefault="006E5CB8" w:rsidP="0016170A">
            <w:pPr>
              <w:rPr>
                <w:rFonts w:ascii="Arial" w:hAnsi="Arial" w:cs="Arial"/>
                <w:sz w:val="20"/>
                <w:szCs w:val="20"/>
              </w:rPr>
            </w:pPr>
          </w:p>
        </w:tc>
        <w:tc>
          <w:tcPr>
            <w:tcW w:w="4215" w:type="dxa"/>
          </w:tcPr>
          <w:p w14:paraId="7A65C406" w14:textId="77777777" w:rsidR="006E5CB8" w:rsidRPr="00B01F9E" w:rsidRDefault="006E5CB8" w:rsidP="0016170A">
            <w:pPr>
              <w:rPr>
                <w:rFonts w:ascii="Arial" w:hAnsi="Arial" w:cs="Arial"/>
                <w:sz w:val="20"/>
                <w:szCs w:val="20"/>
              </w:rPr>
            </w:pPr>
            <w:r w:rsidRPr="00B01F9E">
              <w:rPr>
                <w:rFonts w:ascii="Arial" w:hAnsi="Arial" w:cs="Arial"/>
                <w:sz w:val="20"/>
                <w:szCs w:val="20"/>
              </w:rPr>
              <w:t>Every 6 months</w:t>
            </w:r>
          </w:p>
        </w:tc>
      </w:tr>
      <w:tr w:rsidR="006E5CB8" w:rsidRPr="00B01F9E" w14:paraId="04593000" w14:textId="77777777" w:rsidTr="0016170A">
        <w:tc>
          <w:tcPr>
            <w:tcW w:w="1083" w:type="dxa"/>
            <w:vMerge/>
          </w:tcPr>
          <w:p w14:paraId="785F827A" w14:textId="77777777" w:rsidR="006E5CB8" w:rsidRPr="00B01F9E" w:rsidRDefault="006E5CB8" w:rsidP="0016170A">
            <w:pPr>
              <w:rPr>
                <w:rFonts w:ascii="Arial" w:hAnsi="Arial" w:cs="Arial"/>
                <w:sz w:val="20"/>
                <w:szCs w:val="20"/>
              </w:rPr>
            </w:pPr>
          </w:p>
        </w:tc>
        <w:tc>
          <w:tcPr>
            <w:tcW w:w="3502" w:type="dxa"/>
            <w:vMerge/>
          </w:tcPr>
          <w:p w14:paraId="031D8D3E" w14:textId="77777777" w:rsidR="006E5CB8" w:rsidRPr="00B01F9E" w:rsidRDefault="006E5CB8" w:rsidP="0016170A">
            <w:pPr>
              <w:rPr>
                <w:rFonts w:ascii="Arial" w:hAnsi="Arial" w:cs="Arial"/>
                <w:sz w:val="20"/>
                <w:szCs w:val="20"/>
              </w:rPr>
            </w:pPr>
          </w:p>
        </w:tc>
        <w:tc>
          <w:tcPr>
            <w:tcW w:w="4215" w:type="dxa"/>
          </w:tcPr>
          <w:p w14:paraId="2AB1DC32" w14:textId="77777777" w:rsidR="006E5CB8" w:rsidRPr="00B01F9E" w:rsidRDefault="006E5CB8" w:rsidP="0016170A">
            <w:pPr>
              <w:rPr>
                <w:rFonts w:ascii="Arial" w:hAnsi="Arial" w:cs="Arial"/>
                <w:sz w:val="20"/>
                <w:szCs w:val="20"/>
              </w:rPr>
            </w:pPr>
            <w:r w:rsidRPr="00B01F9E">
              <w:rPr>
                <w:rFonts w:ascii="Arial" w:hAnsi="Arial" w:cs="Arial"/>
                <w:sz w:val="20"/>
                <w:szCs w:val="20"/>
              </w:rPr>
              <w:t>Any time a new instrument is added</w:t>
            </w:r>
          </w:p>
        </w:tc>
      </w:tr>
      <w:tr w:rsidR="006E5CB8" w:rsidRPr="00B01F9E" w14:paraId="4583B1B1" w14:textId="77777777" w:rsidTr="0016170A">
        <w:tc>
          <w:tcPr>
            <w:tcW w:w="1083" w:type="dxa"/>
            <w:vMerge/>
          </w:tcPr>
          <w:p w14:paraId="6C932E90" w14:textId="77777777" w:rsidR="006E5CB8" w:rsidRPr="00B01F9E" w:rsidRDefault="006E5CB8" w:rsidP="0016170A">
            <w:pPr>
              <w:rPr>
                <w:rFonts w:ascii="Arial" w:hAnsi="Arial" w:cs="Arial"/>
                <w:sz w:val="20"/>
                <w:szCs w:val="20"/>
              </w:rPr>
            </w:pPr>
          </w:p>
        </w:tc>
        <w:tc>
          <w:tcPr>
            <w:tcW w:w="3502" w:type="dxa"/>
            <w:vMerge/>
          </w:tcPr>
          <w:p w14:paraId="656E3DDA" w14:textId="77777777" w:rsidR="006E5CB8" w:rsidRPr="00B01F9E" w:rsidRDefault="006E5CB8" w:rsidP="0016170A">
            <w:pPr>
              <w:rPr>
                <w:rFonts w:ascii="Arial" w:hAnsi="Arial" w:cs="Arial"/>
                <w:sz w:val="20"/>
                <w:szCs w:val="20"/>
              </w:rPr>
            </w:pPr>
          </w:p>
        </w:tc>
        <w:tc>
          <w:tcPr>
            <w:tcW w:w="4215" w:type="dxa"/>
          </w:tcPr>
          <w:p w14:paraId="46765ABC" w14:textId="77777777" w:rsidR="006E5CB8" w:rsidRPr="00B01F9E" w:rsidRDefault="006E5CB8" w:rsidP="0016170A">
            <w:pPr>
              <w:rPr>
                <w:rFonts w:ascii="Arial" w:hAnsi="Arial" w:cs="Arial"/>
                <w:sz w:val="20"/>
                <w:szCs w:val="20"/>
              </w:rPr>
            </w:pPr>
            <w:r w:rsidRPr="00B01F9E">
              <w:rPr>
                <w:rFonts w:ascii="Arial" w:hAnsi="Arial" w:cs="Arial"/>
                <w:sz w:val="20"/>
                <w:szCs w:val="20"/>
              </w:rPr>
              <w:t>Any time a test is modified by the vendor</w:t>
            </w:r>
          </w:p>
        </w:tc>
      </w:tr>
      <w:tr w:rsidR="006E5CB8" w:rsidRPr="00B01F9E" w14:paraId="2BF6A774" w14:textId="77777777" w:rsidTr="0016170A">
        <w:tc>
          <w:tcPr>
            <w:tcW w:w="1083" w:type="dxa"/>
            <w:vMerge/>
          </w:tcPr>
          <w:p w14:paraId="6844B382" w14:textId="77777777" w:rsidR="006E5CB8" w:rsidRPr="00B01F9E" w:rsidRDefault="006E5CB8" w:rsidP="0016170A">
            <w:pPr>
              <w:rPr>
                <w:rFonts w:ascii="Arial" w:hAnsi="Arial" w:cs="Arial"/>
                <w:sz w:val="20"/>
                <w:szCs w:val="20"/>
              </w:rPr>
            </w:pPr>
          </w:p>
        </w:tc>
        <w:tc>
          <w:tcPr>
            <w:tcW w:w="3502" w:type="dxa"/>
            <w:vMerge/>
          </w:tcPr>
          <w:p w14:paraId="2EA764C2" w14:textId="77777777" w:rsidR="006E5CB8" w:rsidRPr="00B01F9E" w:rsidRDefault="006E5CB8" w:rsidP="0016170A">
            <w:pPr>
              <w:rPr>
                <w:rFonts w:ascii="Arial" w:hAnsi="Arial" w:cs="Arial"/>
                <w:sz w:val="20"/>
                <w:szCs w:val="20"/>
              </w:rPr>
            </w:pPr>
          </w:p>
        </w:tc>
        <w:tc>
          <w:tcPr>
            <w:tcW w:w="4215" w:type="dxa"/>
          </w:tcPr>
          <w:p w14:paraId="03CB5E8B" w14:textId="77777777" w:rsidR="006E5CB8" w:rsidRPr="00B01F9E" w:rsidRDefault="006E5CB8" w:rsidP="0016170A">
            <w:pPr>
              <w:rPr>
                <w:rFonts w:ascii="Arial" w:hAnsi="Arial" w:cs="Arial"/>
                <w:sz w:val="20"/>
                <w:szCs w:val="20"/>
              </w:rPr>
            </w:pPr>
            <w:r w:rsidRPr="00B01F9E">
              <w:rPr>
                <w:rFonts w:ascii="Arial" w:hAnsi="Arial" w:cs="Arial"/>
                <w:sz w:val="20"/>
                <w:szCs w:val="20"/>
              </w:rPr>
              <w:t>Any time the medical director of the laboratory changes</w:t>
            </w:r>
          </w:p>
        </w:tc>
      </w:tr>
      <w:tr w:rsidR="006E5CB8" w:rsidRPr="00B01F9E" w14:paraId="15FB23AB" w14:textId="77777777" w:rsidTr="0016170A">
        <w:tc>
          <w:tcPr>
            <w:tcW w:w="1083" w:type="dxa"/>
            <w:vMerge/>
          </w:tcPr>
          <w:p w14:paraId="3082E662" w14:textId="77777777" w:rsidR="006E5CB8" w:rsidRPr="00B01F9E" w:rsidRDefault="006E5CB8" w:rsidP="0016170A">
            <w:pPr>
              <w:rPr>
                <w:rFonts w:ascii="Arial" w:hAnsi="Arial" w:cs="Arial"/>
                <w:sz w:val="20"/>
                <w:szCs w:val="20"/>
              </w:rPr>
            </w:pPr>
          </w:p>
        </w:tc>
        <w:tc>
          <w:tcPr>
            <w:tcW w:w="3502" w:type="dxa"/>
            <w:vMerge/>
          </w:tcPr>
          <w:p w14:paraId="28CCFDE4" w14:textId="77777777" w:rsidR="006E5CB8" w:rsidRPr="00B01F9E" w:rsidRDefault="006E5CB8" w:rsidP="0016170A">
            <w:pPr>
              <w:rPr>
                <w:rFonts w:ascii="Arial" w:hAnsi="Arial" w:cs="Arial"/>
                <w:sz w:val="20"/>
                <w:szCs w:val="20"/>
              </w:rPr>
            </w:pPr>
          </w:p>
        </w:tc>
        <w:tc>
          <w:tcPr>
            <w:tcW w:w="4215" w:type="dxa"/>
          </w:tcPr>
          <w:p w14:paraId="17AE54E2" w14:textId="77777777" w:rsidR="006E5CB8" w:rsidRPr="00B01F9E" w:rsidRDefault="006E5CB8" w:rsidP="0016170A">
            <w:pPr>
              <w:rPr>
                <w:rFonts w:ascii="Arial" w:hAnsi="Arial" w:cs="Arial"/>
                <w:sz w:val="20"/>
                <w:szCs w:val="20"/>
              </w:rPr>
            </w:pPr>
            <w:r w:rsidRPr="00B01F9E">
              <w:rPr>
                <w:rFonts w:ascii="Arial" w:hAnsi="Arial" w:cs="Arial"/>
                <w:sz w:val="20"/>
                <w:szCs w:val="20"/>
              </w:rPr>
              <w:t>Every time a new version of LIDR is released (every 6 months)</w:t>
            </w:r>
          </w:p>
        </w:tc>
      </w:tr>
      <w:tr w:rsidR="006E5CB8" w:rsidRPr="00B01F9E" w14:paraId="0458C16F" w14:textId="77777777" w:rsidTr="0016170A">
        <w:tc>
          <w:tcPr>
            <w:tcW w:w="1083" w:type="dxa"/>
            <w:vMerge/>
          </w:tcPr>
          <w:p w14:paraId="5E94081F" w14:textId="77777777" w:rsidR="006E5CB8" w:rsidRPr="00B01F9E" w:rsidRDefault="006E5CB8" w:rsidP="0016170A">
            <w:pPr>
              <w:rPr>
                <w:rFonts w:ascii="Arial" w:hAnsi="Arial" w:cs="Arial"/>
                <w:sz w:val="20"/>
                <w:szCs w:val="20"/>
              </w:rPr>
            </w:pPr>
          </w:p>
        </w:tc>
        <w:tc>
          <w:tcPr>
            <w:tcW w:w="3502" w:type="dxa"/>
            <w:vMerge/>
          </w:tcPr>
          <w:p w14:paraId="70088585" w14:textId="77777777" w:rsidR="006E5CB8" w:rsidRPr="00B01F9E" w:rsidRDefault="006E5CB8" w:rsidP="0016170A">
            <w:pPr>
              <w:rPr>
                <w:rFonts w:ascii="Arial" w:hAnsi="Arial" w:cs="Arial"/>
                <w:sz w:val="20"/>
                <w:szCs w:val="20"/>
              </w:rPr>
            </w:pPr>
          </w:p>
        </w:tc>
        <w:tc>
          <w:tcPr>
            <w:tcW w:w="4215" w:type="dxa"/>
          </w:tcPr>
          <w:p w14:paraId="529DA1E5" w14:textId="77777777" w:rsidR="006E5CB8" w:rsidRPr="00B01F9E" w:rsidRDefault="006E5CB8" w:rsidP="0016170A">
            <w:pPr>
              <w:rPr>
                <w:rFonts w:ascii="Arial" w:hAnsi="Arial" w:cs="Arial"/>
                <w:sz w:val="20"/>
                <w:szCs w:val="20"/>
              </w:rPr>
            </w:pPr>
            <w:r w:rsidRPr="00B01F9E">
              <w:rPr>
                <w:rFonts w:ascii="Arial" w:hAnsi="Arial" w:cs="Arial"/>
                <w:sz w:val="20"/>
                <w:szCs w:val="20"/>
              </w:rPr>
              <w:t>When the IVD Vendor provides and updates LIDR for my tests/methods</w:t>
            </w:r>
          </w:p>
        </w:tc>
      </w:tr>
      <w:tr w:rsidR="006E5CB8" w:rsidRPr="00B01F9E" w14:paraId="1BAFFDD9" w14:textId="77777777" w:rsidTr="0016170A">
        <w:tc>
          <w:tcPr>
            <w:tcW w:w="1083" w:type="dxa"/>
            <w:vMerge/>
          </w:tcPr>
          <w:p w14:paraId="5C0180BC" w14:textId="77777777" w:rsidR="006E5CB8" w:rsidRPr="00B01F9E" w:rsidRDefault="006E5CB8" w:rsidP="0016170A">
            <w:pPr>
              <w:rPr>
                <w:rFonts w:ascii="Arial" w:hAnsi="Arial" w:cs="Arial"/>
                <w:sz w:val="20"/>
                <w:szCs w:val="20"/>
              </w:rPr>
            </w:pPr>
          </w:p>
        </w:tc>
        <w:tc>
          <w:tcPr>
            <w:tcW w:w="3502" w:type="dxa"/>
            <w:vMerge/>
          </w:tcPr>
          <w:p w14:paraId="40B49C17" w14:textId="77777777" w:rsidR="006E5CB8" w:rsidRPr="00B01F9E" w:rsidRDefault="006E5CB8" w:rsidP="0016170A">
            <w:pPr>
              <w:rPr>
                <w:rFonts w:ascii="Arial" w:hAnsi="Arial" w:cs="Arial"/>
                <w:sz w:val="20"/>
                <w:szCs w:val="20"/>
              </w:rPr>
            </w:pPr>
          </w:p>
        </w:tc>
        <w:tc>
          <w:tcPr>
            <w:tcW w:w="4215" w:type="dxa"/>
          </w:tcPr>
          <w:p w14:paraId="644DE751" w14:textId="5E458A6B" w:rsidR="006E5CB8" w:rsidRPr="00B01F9E" w:rsidRDefault="006E5CB8" w:rsidP="0016170A">
            <w:pPr>
              <w:rPr>
                <w:rFonts w:ascii="Arial" w:hAnsi="Arial" w:cs="Arial"/>
                <w:sz w:val="20"/>
                <w:szCs w:val="20"/>
              </w:rPr>
            </w:pPr>
            <w:r w:rsidRPr="00B01F9E">
              <w:rPr>
                <w:rFonts w:ascii="Arial" w:hAnsi="Arial" w:cs="Arial"/>
                <w:sz w:val="20"/>
                <w:szCs w:val="20"/>
              </w:rPr>
              <w:t>When requested (by clinicians, other laboratories, clinical research staff or IT staff, etc</w:t>
            </w:r>
            <w:r w:rsidR="00DD63F1" w:rsidRPr="00B01F9E">
              <w:rPr>
                <w:rFonts w:ascii="Arial" w:hAnsi="Arial" w:cs="Arial"/>
                <w:sz w:val="20"/>
                <w:szCs w:val="20"/>
              </w:rPr>
              <w:t>.</w:t>
            </w:r>
            <w:r w:rsidRPr="00B01F9E">
              <w:rPr>
                <w:rFonts w:ascii="Arial" w:hAnsi="Arial" w:cs="Arial"/>
                <w:sz w:val="20"/>
                <w:szCs w:val="20"/>
              </w:rPr>
              <w:t>)</w:t>
            </w:r>
          </w:p>
        </w:tc>
      </w:tr>
      <w:tr w:rsidR="006E5CB8" w:rsidRPr="00B01F9E" w14:paraId="430B3103" w14:textId="77777777" w:rsidTr="0016170A">
        <w:tc>
          <w:tcPr>
            <w:tcW w:w="1083" w:type="dxa"/>
            <w:vMerge w:val="restart"/>
          </w:tcPr>
          <w:p w14:paraId="49AA2521" w14:textId="77777777" w:rsidR="006E5CB8" w:rsidRPr="00B01F9E" w:rsidRDefault="006E5CB8" w:rsidP="0016170A">
            <w:pPr>
              <w:rPr>
                <w:rFonts w:ascii="Arial" w:hAnsi="Arial" w:cs="Arial"/>
                <w:sz w:val="20"/>
                <w:szCs w:val="20"/>
              </w:rPr>
            </w:pPr>
            <w:r w:rsidRPr="00B01F9E">
              <w:rPr>
                <w:rFonts w:ascii="Arial" w:hAnsi="Arial" w:cs="Arial"/>
                <w:sz w:val="20"/>
                <w:szCs w:val="20"/>
              </w:rPr>
              <w:t>7</w:t>
            </w:r>
          </w:p>
        </w:tc>
        <w:tc>
          <w:tcPr>
            <w:tcW w:w="3502" w:type="dxa"/>
            <w:vMerge w:val="restart"/>
          </w:tcPr>
          <w:p w14:paraId="1F5F3EC7" w14:textId="77777777" w:rsidR="006E5CB8" w:rsidRPr="00B01F9E" w:rsidRDefault="006E5CB8" w:rsidP="0016170A">
            <w:pPr>
              <w:rPr>
                <w:rFonts w:ascii="Arial" w:hAnsi="Arial" w:cs="Arial"/>
                <w:sz w:val="20"/>
                <w:szCs w:val="20"/>
              </w:rPr>
            </w:pPr>
            <w:r w:rsidRPr="00B01F9E">
              <w:rPr>
                <w:rFonts w:ascii="Arial" w:hAnsi="Arial" w:cs="Arial"/>
                <w:sz w:val="20"/>
                <w:szCs w:val="20"/>
              </w:rPr>
              <w:t>What technological challenges do you face when using LIDR?</w:t>
            </w:r>
          </w:p>
        </w:tc>
        <w:tc>
          <w:tcPr>
            <w:tcW w:w="4215" w:type="dxa"/>
          </w:tcPr>
          <w:p w14:paraId="00D6947D" w14:textId="77777777" w:rsidR="006E5CB8" w:rsidRPr="00B01F9E" w:rsidRDefault="006E5CB8" w:rsidP="0016170A">
            <w:pPr>
              <w:rPr>
                <w:rFonts w:ascii="Arial" w:hAnsi="Arial" w:cs="Arial"/>
                <w:sz w:val="20"/>
                <w:szCs w:val="20"/>
              </w:rPr>
            </w:pPr>
            <w:r w:rsidRPr="00B01F9E">
              <w:rPr>
                <w:rFonts w:ascii="Arial" w:hAnsi="Arial" w:cs="Arial"/>
                <w:sz w:val="20"/>
                <w:szCs w:val="20"/>
              </w:rPr>
              <w:t>The LIS/LIMS is not able to store or send LIDR codes </w:t>
            </w:r>
            <w:r w:rsidRPr="00B01F9E">
              <w:rPr>
                <w:rFonts w:ascii="Arial" w:hAnsi="Arial" w:cs="Arial"/>
                <w:i/>
                <w:iCs/>
                <w:sz w:val="20"/>
                <w:szCs w:val="20"/>
              </w:rPr>
              <w:t>(for orders of single analytes, orders that are panels, results or observations)</w:t>
            </w:r>
          </w:p>
        </w:tc>
      </w:tr>
      <w:tr w:rsidR="006E5CB8" w:rsidRPr="00B01F9E" w14:paraId="48022B85" w14:textId="77777777" w:rsidTr="0016170A">
        <w:tc>
          <w:tcPr>
            <w:tcW w:w="1083" w:type="dxa"/>
            <w:vMerge/>
          </w:tcPr>
          <w:p w14:paraId="1F642360" w14:textId="77777777" w:rsidR="006E5CB8" w:rsidRPr="00B01F9E" w:rsidRDefault="006E5CB8" w:rsidP="0016170A">
            <w:pPr>
              <w:rPr>
                <w:rFonts w:ascii="Arial" w:hAnsi="Arial" w:cs="Arial"/>
                <w:sz w:val="20"/>
                <w:szCs w:val="20"/>
              </w:rPr>
            </w:pPr>
          </w:p>
        </w:tc>
        <w:tc>
          <w:tcPr>
            <w:tcW w:w="3502" w:type="dxa"/>
            <w:vMerge/>
          </w:tcPr>
          <w:p w14:paraId="5FADCC4D" w14:textId="77777777" w:rsidR="006E5CB8" w:rsidRPr="00B01F9E" w:rsidRDefault="006E5CB8" w:rsidP="0016170A">
            <w:pPr>
              <w:rPr>
                <w:rFonts w:ascii="Arial" w:hAnsi="Arial" w:cs="Arial"/>
                <w:sz w:val="20"/>
                <w:szCs w:val="20"/>
              </w:rPr>
            </w:pPr>
          </w:p>
        </w:tc>
        <w:tc>
          <w:tcPr>
            <w:tcW w:w="4215" w:type="dxa"/>
          </w:tcPr>
          <w:p w14:paraId="36327012" w14:textId="77777777" w:rsidR="006E5CB8" w:rsidRPr="00B01F9E" w:rsidRDefault="006E5CB8" w:rsidP="0016170A">
            <w:pPr>
              <w:rPr>
                <w:rFonts w:ascii="Arial" w:hAnsi="Arial" w:cs="Arial"/>
                <w:sz w:val="20"/>
                <w:szCs w:val="20"/>
              </w:rPr>
            </w:pPr>
            <w:r w:rsidRPr="00B01F9E">
              <w:rPr>
                <w:rFonts w:ascii="Arial" w:hAnsi="Arial" w:cs="Arial"/>
                <w:sz w:val="20"/>
                <w:szCs w:val="20"/>
              </w:rPr>
              <w:t>Laboratory instruments that generate the test result cannot store LIDR codes</w:t>
            </w:r>
          </w:p>
        </w:tc>
      </w:tr>
      <w:tr w:rsidR="006E5CB8" w:rsidRPr="00B01F9E" w14:paraId="34D248DB" w14:textId="77777777" w:rsidTr="0016170A">
        <w:tc>
          <w:tcPr>
            <w:tcW w:w="1083" w:type="dxa"/>
            <w:vMerge/>
          </w:tcPr>
          <w:p w14:paraId="164C6403" w14:textId="77777777" w:rsidR="006E5CB8" w:rsidRPr="00B01F9E" w:rsidRDefault="006E5CB8" w:rsidP="0016170A">
            <w:pPr>
              <w:rPr>
                <w:rFonts w:ascii="Arial" w:hAnsi="Arial" w:cs="Arial"/>
                <w:sz w:val="20"/>
                <w:szCs w:val="20"/>
              </w:rPr>
            </w:pPr>
          </w:p>
        </w:tc>
        <w:tc>
          <w:tcPr>
            <w:tcW w:w="3502" w:type="dxa"/>
            <w:vMerge/>
          </w:tcPr>
          <w:p w14:paraId="0BA580A3" w14:textId="77777777" w:rsidR="006E5CB8" w:rsidRPr="00B01F9E" w:rsidRDefault="006E5CB8" w:rsidP="0016170A">
            <w:pPr>
              <w:rPr>
                <w:rFonts w:ascii="Arial" w:hAnsi="Arial" w:cs="Arial"/>
                <w:sz w:val="20"/>
                <w:szCs w:val="20"/>
              </w:rPr>
            </w:pPr>
          </w:p>
        </w:tc>
        <w:tc>
          <w:tcPr>
            <w:tcW w:w="4215" w:type="dxa"/>
          </w:tcPr>
          <w:p w14:paraId="51B556DD" w14:textId="77777777" w:rsidR="006E5CB8" w:rsidRPr="00B01F9E" w:rsidRDefault="006E5CB8" w:rsidP="0016170A">
            <w:pPr>
              <w:rPr>
                <w:rFonts w:ascii="Arial" w:hAnsi="Arial" w:cs="Arial"/>
                <w:sz w:val="20"/>
                <w:szCs w:val="20"/>
              </w:rPr>
            </w:pPr>
            <w:r w:rsidRPr="00B01F9E">
              <w:rPr>
                <w:rFonts w:ascii="Arial" w:hAnsi="Arial" w:cs="Arial"/>
                <w:sz w:val="20"/>
                <w:szCs w:val="20"/>
              </w:rPr>
              <w:t>Laboratory instruments cannot transmit LIDR codes for their test results</w:t>
            </w:r>
          </w:p>
        </w:tc>
      </w:tr>
      <w:tr w:rsidR="006E5CB8" w:rsidRPr="00B01F9E" w14:paraId="44C75F89" w14:textId="77777777" w:rsidTr="0016170A">
        <w:tc>
          <w:tcPr>
            <w:tcW w:w="1083" w:type="dxa"/>
            <w:vMerge/>
          </w:tcPr>
          <w:p w14:paraId="0241DAF8" w14:textId="77777777" w:rsidR="006E5CB8" w:rsidRPr="00B01F9E" w:rsidRDefault="006E5CB8" w:rsidP="0016170A">
            <w:pPr>
              <w:rPr>
                <w:rFonts w:ascii="Arial" w:hAnsi="Arial" w:cs="Arial"/>
                <w:sz w:val="20"/>
                <w:szCs w:val="20"/>
              </w:rPr>
            </w:pPr>
          </w:p>
        </w:tc>
        <w:tc>
          <w:tcPr>
            <w:tcW w:w="3502" w:type="dxa"/>
            <w:vMerge/>
          </w:tcPr>
          <w:p w14:paraId="337A14AA" w14:textId="77777777" w:rsidR="006E5CB8" w:rsidRPr="00B01F9E" w:rsidRDefault="006E5CB8" w:rsidP="0016170A">
            <w:pPr>
              <w:rPr>
                <w:rFonts w:ascii="Arial" w:hAnsi="Arial" w:cs="Arial"/>
                <w:sz w:val="20"/>
                <w:szCs w:val="20"/>
              </w:rPr>
            </w:pPr>
          </w:p>
        </w:tc>
        <w:tc>
          <w:tcPr>
            <w:tcW w:w="4215" w:type="dxa"/>
          </w:tcPr>
          <w:p w14:paraId="20CBC814" w14:textId="77777777" w:rsidR="006E5CB8" w:rsidRPr="00B01F9E" w:rsidRDefault="006E5CB8" w:rsidP="0016170A">
            <w:pPr>
              <w:rPr>
                <w:rFonts w:ascii="Arial" w:hAnsi="Arial" w:cs="Arial"/>
                <w:sz w:val="20"/>
                <w:szCs w:val="20"/>
              </w:rPr>
            </w:pPr>
            <w:r w:rsidRPr="00B01F9E">
              <w:rPr>
                <w:rFonts w:ascii="Arial" w:hAnsi="Arial" w:cs="Arial"/>
                <w:sz w:val="20"/>
                <w:szCs w:val="20"/>
              </w:rPr>
              <w:t>EHR systems are not able to send or receive LIDR codes</w:t>
            </w:r>
          </w:p>
        </w:tc>
      </w:tr>
      <w:tr w:rsidR="006E5CB8" w:rsidRPr="00B01F9E" w14:paraId="754338FD" w14:textId="77777777" w:rsidTr="0016170A">
        <w:tc>
          <w:tcPr>
            <w:tcW w:w="1083" w:type="dxa"/>
            <w:vMerge/>
          </w:tcPr>
          <w:p w14:paraId="2FA8F46B" w14:textId="77777777" w:rsidR="006E5CB8" w:rsidRPr="00B01F9E" w:rsidRDefault="006E5CB8" w:rsidP="0016170A">
            <w:pPr>
              <w:rPr>
                <w:rFonts w:ascii="Arial" w:hAnsi="Arial" w:cs="Arial"/>
                <w:sz w:val="20"/>
                <w:szCs w:val="20"/>
              </w:rPr>
            </w:pPr>
          </w:p>
        </w:tc>
        <w:tc>
          <w:tcPr>
            <w:tcW w:w="3502" w:type="dxa"/>
            <w:vMerge/>
          </w:tcPr>
          <w:p w14:paraId="7FB58B0D" w14:textId="77777777" w:rsidR="006E5CB8" w:rsidRPr="00B01F9E" w:rsidRDefault="006E5CB8" w:rsidP="0016170A">
            <w:pPr>
              <w:rPr>
                <w:rFonts w:ascii="Arial" w:hAnsi="Arial" w:cs="Arial"/>
                <w:sz w:val="20"/>
                <w:szCs w:val="20"/>
              </w:rPr>
            </w:pPr>
          </w:p>
        </w:tc>
        <w:tc>
          <w:tcPr>
            <w:tcW w:w="4215" w:type="dxa"/>
          </w:tcPr>
          <w:p w14:paraId="2B8DAD6F" w14:textId="77777777" w:rsidR="006E5CB8" w:rsidRPr="00B01F9E" w:rsidRDefault="006E5CB8" w:rsidP="0016170A">
            <w:pPr>
              <w:rPr>
                <w:rFonts w:ascii="Arial" w:hAnsi="Arial" w:cs="Arial"/>
                <w:sz w:val="20"/>
                <w:szCs w:val="20"/>
              </w:rPr>
            </w:pPr>
            <w:r w:rsidRPr="00B01F9E">
              <w:rPr>
                <w:rFonts w:ascii="Arial" w:hAnsi="Arial" w:cs="Arial"/>
                <w:sz w:val="20"/>
                <w:szCs w:val="20"/>
              </w:rPr>
              <w:t>Public health reporting systems are not able to send or receive LIDR codes</w:t>
            </w:r>
          </w:p>
        </w:tc>
      </w:tr>
      <w:tr w:rsidR="006E5CB8" w:rsidRPr="00B01F9E" w14:paraId="1C2F1778" w14:textId="77777777" w:rsidTr="0016170A">
        <w:tc>
          <w:tcPr>
            <w:tcW w:w="1083" w:type="dxa"/>
            <w:vMerge/>
          </w:tcPr>
          <w:p w14:paraId="2EEE2E8F" w14:textId="77777777" w:rsidR="006E5CB8" w:rsidRPr="00B01F9E" w:rsidRDefault="006E5CB8" w:rsidP="0016170A">
            <w:pPr>
              <w:rPr>
                <w:rFonts w:ascii="Arial" w:hAnsi="Arial" w:cs="Arial"/>
                <w:sz w:val="20"/>
                <w:szCs w:val="20"/>
              </w:rPr>
            </w:pPr>
          </w:p>
        </w:tc>
        <w:tc>
          <w:tcPr>
            <w:tcW w:w="3502" w:type="dxa"/>
            <w:vMerge/>
          </w:tcPr>
          <w:p w14:paraId="027CE61D" w14:textId="77777777" w:rsidR="006E5CB8" w:rsidRPr="00B01F9E" w:rsidRDefault="006E5CB8" w:rsidP="0016170A">
            <w:pPr>
              <w:rPr>
                <w:rFonts w:ascii="Arial" w:hAnsi="Arial" w:cs="Arial"/>
                <w:sz w:val="20"/>
                <w:szCs w:val="20"/>
              </w:rPr>
            </w:pPr>
          </w:p>
        </w:tc>
        <w:tc>
          <w:tcPr>
            <w:tcW w:w="4215" w:type="dxa"/>
          </w:tcPr>
          <w:p w14:paraId="3E213D07" w14:textId="77777777" w:rsidR="006E5CB8" w:rsidRPr="00B01F9E" w:rsidRDefault="006E5CB8" w:rsidP="0016170A">
            <w:pPr>
              <w:rPr>
                <w:rFonts w:ascii="Arial" w:hAnsi="Arial" w:cs="Arial"/>
                <w:sz w:val="20"/>
                <w:szCs w:val="20"/>
              </w:rPr>
            </w:pPr>
            <w:r w:rsidRPr="00B01F9E">
              <w:rPr>
                <w:rFonts w:ascii="Arial" w:hAnsi="Arial" w:cs="Arial"/>
                <w:sz w:val="20"/>
                <w:szCs w:val="20"/>
              </w:rPr>
              <w:t>The test requires multiple LIDR codes per result and the LIS/LIMS is only able to store one LIDR code per test</w:t>
            </w:r>
          </w:p>
        </w:tc>
      </w:tr>
      <w:tr w:rsidR="006E5CB8" w:rsidRPr="00B01F9E" w14:paraId="1A704B81" w14:textId="77777777" w:rsidTr="0016170A">
        <w:tc>
          <w:tcPr>
            <w:tcW w:w="1083" w:type="dxa"/>
            <w:vMerge/>
          </w:tcPr>
          <w:p w14:paraId="55A40A4B" w14:textId="77777777" w:rsidR="006E5CB8" w:rsidRPr="00B01F9E" w:rsidRDefault="006E5CB8" w:rsidP="0016170A">
            <w:pPr>
              <w:rPr>
                <w:rFonts w:ascii="Arial" w:hAnsi="Arial" w:cs="Arial"/>
                <w:sz w:val="20"/>
                <w:szCs w:val="20"/>
              </w:rPr>
            </w:pPr>
          </w:p>
        </w:tc>
        <w:tc>
          <w:tcPr>
            <w:tcW w:w="3502" w:type="dxa"/>
            <w:vMerge/>
          </w:tcPr>
          <w:p w14:paraId="112BC5D3" w14:textId="77777777" w:rsidR="006E5CB8" w:rsidRPr="00B01F9E" w:rsidRDefault="006E5CB8" w:rsidP="0016170A">
            <w:pPr>
              <w:rPr>
                <w:rFonts w:ascii="Arial" w:hAnsi="Arial" w:cs="Arial"/>
                <w:sz w:val="20"/>
                <w:szCs w:val="20"/>
              </w:rPr>
            </w:pPr>
          </w:p>
        </w:tc>
        <w:tc>
          <w:tcPr>
            <w:tcW w:w="4215" w:type="dxa"/>
          </w:tcPr>
          <w:p w14:paraId="58FA6E8F" w14:textId="77777777" w:rsidR="006E5CB8" w:rsidRPr="00B01F9E" w:rsidRDefault="006E5CB8" w:rsidP="0016170A">
            <w:pPr>
              <w:rPr>
                <w:rFonts w:ascii="Arial" w:hAnsi="Arial" w:cs="Arial"/>
                <w:sz w:val="20"/>
                <w:szCs w:val="20"/>
              </w:rPr>
            </w:pPr>
            <w:r w:rsidRPr="00B01F9E">
              <w:rPr>
                <w:rFonts w:ascii="Arial" w:hAnsi="Arial" w:cs="Arial"/>
                <w:sz w:val="20"/>
                <w:szCs w:val="20"/>
              </w:rPr>
              <w:t>The test requires multiple LIDR codes per result, and the EHR is not able to send or receive more than one LIDR code per test</w:t>
            </w:r>
          </w:p>
        </w:tc>
      </w:tr>
      <w:tr w:rsidR="006E5CB8" w:rsidRPr="00B01F9E" w14:paraId="4F0B54E4" w14:textId="77777777" w:rsidTr="0016170A">
        <w:tc>
          <w:tcPr>
            <w:tcW w:w="1083" w:type="dxa"/>
            <w:vMerge w:val="restart"/>
          </w:tcPr>
          <w:p w14:paraId="610D4863" w14:textId="77777777" w:rsidR="006E5CB8" w:rsidRPr="00B01F9E" w:rsidRDefault="006E5CB8" w:rsidP="0016170A">
            <w:pPr>
              <w:rPr>
                <w:rFonts w:ascii="Arial" w:hAnsi="Arial" w:cs="Arial"/>
                <w:sz w:val="20"/>
                <w:szCs w:val="20"/>
              </w:rPr>
            </w:pPr>
            <w:r w:rsidRPr="00B01F9E">
              <w:rPr>
                <w:rFonts w:ascii="Arial" w:hAnsi="Arial" w:cs="Arial"/>
                <w:sz w:val="20"/>
                <w:szCs w:val="20"/>
              </w:rPr>
              <w:t>8</w:t>
            </w:r>
          </w:p>
        </w:tc>
        <w:tc>
          <w:tcPr>
            <w:tcW w:w="3502" w:type="dxa"/>
            <w:vMerge w:val="restart"/>
          </w:tcPr>
          <w:p w14:paraId="559EE477" w14:textId="77777777" w:rsidR="006E5CB8" w:rsidRPr="00B01F9E" w:rsidRDefault="006E5CB8" w:rsidP="0016170A">
            <w:pPr>
              <w:rPr>
                <w:rFonts w:ascii="Arial" w:hAnsi="Arial" w:cs="Arial"/>
                <w:sz w:val="20"/>
                <w:szCs w:val="20"/>
              </w:rPr>
            </w:pPr>
            <w:r w:rsidRPr="00B01F9E">
              <w:rPr>
                <w:rFonts w:ascii="Arial" w:hAnsi="Arial" w:cs="Arial"/>
                <w:sz w:val="20"/>
                <w:szCs w:val="20"/>
              </w:rPr>
              <w:t>Please rate the level of difficulty your laboratory has with encoding the correct LIDR codes for its specific test compendium in the LIS/EHR. 1 being "Least Difficult", 5 being Most Difficult  </w:t>
            </w:r>
          </w:p>
        </w:tc>
        <w:tc>
          <w:tcPr>
            <w:tcW w:w="4215" w:type="dxa"/>
          </w:tcPr>
          <w:p w14:paraId="2A0CFB24" w14:textId="77777777" w:rsidR="006E5CB8" w:rsidRPr="00B01F9E" w:rsidRDefault="006E5CB8" w:rsidP="0016170A">
            <w:pPr>
              <w:rPr>
                <w:rFonts w:ascii="Arial" w:hAnsi="Arial" w:cs="Arial"/>
                <w:sz w:val="20"/>
                <w:szCs w:val="20"/>
              </w:rPr>
            </w:pPr>
            <w:r w:rsidRPr="00B01F9E">
              <w:rPr>
                <w:rFonts w:ascii="Arial" w:hAnsi="Arial" w:cs="Arial"/>
                <w:sz w:val="20"/>
                <w:szCs w:val="20"/>
              </w:rPr>
              <w:t>1= Least Difficult</w:t>
            </w:r>
          </w:p>
        </w:tc>
      </w:tr>
      <w:tr w:rsidR="006E5CB8" w:rsidRPr="00B01F9E" w14:paraId="5CB13CF6" w14:textId="77777777" w:rsidTr="0016170A">
        <w:tc>
          <w:tcPr>
            <w:tcW w:w="1083" w:type="dxa"/>
            <w:vMerge/>
          </w:tcPr>
          <w:p w14:paraId="00C48D3E" w14:textId="77777777" w:rsidR="006E5CB8" w:rsidRPr="00B01F9E" w:rsidRDefault="006E5CB8" w:rsidP="0016170A">
            <w:pPr>
              <w:rPr>
                <w:rFonts w:ascii="Arial" w:hAnsi="Arial" w:cs="Arial"/>
                <w:sz w:val="20"/>
                <w:szCs w:val="20"/>
              </w:rPr>
            </w:pPr>
          </w:p>
        </w:tc>
        <w:tc>
          <w:tcPr>
            <w:tcW w:w="3502" w:type="dxa"/>
            <w:vMerge/>
          </w:tcPr>
          <w:p w14:paraId="0F6B31E8" w14:textId="77777777" w:rsidR="006E5CB8" w:rsidRPr="00B01F9E" w:rsidRDefault="006E5CB8" w:rsidP="0016170A">
            <w:pPr>
              <w:rPr>
                <w:rFonts w:ascii="Arial" w:hAnsi="Arial" w:cs="Arial"/>
                <w:sz w:val="20"/>
                <w:szCs w:val="20"/>
              </w:rPr>
            </w:pPr>
          </w:p>
        </w:tc>
        <w:tc>
          <w:tcPr>
            <w:tcW w:w="4215" w:type="dxa"/>
          </w:tcPr>
          <w:p w14:paraId="56E9A6CF" w14:textId="77777777" w:rsidR="006E5CB8" w:rsidRPr="00B01F9E" w:rsidRDefault="006E5CB8" w:rsidP="0016170A">
            <w:pPr>
              <w:rPr>
                <w:rFonts w:ascii="Arial" w:hAnsi="Arial" w:cs="Arial"/>
                <w:sz w:val="20"/>
                <w:szCs w:val="20"/>
              </w:rPr>
            </w:pPr>
            <w:r w:rsidRPr="00B01F9E">
              <w:rPr>
                <w:rFonts w:ascii="Arial" w:hAnsi="Arial" w:cs="Arial"/>
                <w:sz w:val="20"/>
                <w:szCs w:val="20"/>
              </w:rPr>
              <w:t>2= Slightly Difficult</w:t>
            </w:r>
          </w:p>
        </w:tc>
      </w:tr>
      <w:tr w:rsidR="006E5CB8" w:rsidRPr="00B01F9E" w14:paraId="06D41D46" w14:textId="77777777" w:rsidTr="0016170A">
        <w:tc>
          <w:tcPr>
            <w:tcW w:w="1083" w:type="dxa"/>
            <w:vMerge/>
          </w:tcPr>
          <w:p w14:paraId="167C7ECA" w14:textId="77777777" w:rsidR="006E5CB8" w:rsidRPr="00B01F9E" w:rsidRDefault="006E5CB8" w:rsidP="0016170A">
            <w:pPr>
              <w:rPr>
                <w:rFonts w:ascii="Arial" w:hAnsi="Arial" w:cs="Arial"/>
                <w:sz w:val="20"/>
                <w:szCs w:val="20"/>
              </w:rPr>
            </w:pPr>
          </w:p>
        </w:tc>
        <w:tc>
          <w:tcPr>
            <w:tcW w:w="3502" w:type="dxa"/>
            <w:vMerge/>
          </w:tcPr>
          <w:p w14:paraId="4118C18E" w14:textId="77777777" w:rsidR="006E5CB8" w:rsidRPr="00B01F9E" w:rsidRDefault="006E5CB8" w:rsidP="0016170A">
            <w:pPr>
              <w:rPr>
                <w:rFonts w:ascii="Arial" w:hAnsi="Arial" w:cs="Arial"/>
                <w:sz w:val="20"/>
                <w:szCs w:val="20"/>
              </w:rPr>
            </w:pPr>
          </w:p>
        </w:tc>
        <w:tc>
          <w:tcPr>
            <w:tcW w:w="4215" w:type="dxa"/>
          </w:tcPr>
          <w:p w14:paraId="6B35B7AB" w14:textId="77777777" w:rsidR="006E5CB8" w:rsidRPr="00B01F9E" w:rsidRDefault="006E5CB8" w:rsidP="0016170A">
            <w:pPr>
              <w:rPr>
                <w:rFonts w:ascii="Arial" w:hAnsi="Arial" w:cs="Arial"/>
                <w:sz w:val="20"/>
                <w:szCs w:val="20"/>
              </w:rPr>
            </w:pPr>
            <w:r w:rsidRPr="00B01F9E">
              <w:rPr>
                <w:rFonts w:ascii="Arial" w:hAnsi="Arial" w:cs="Arial"/>
                <w:sz w:val="20"/>
                <w:szCs w:val="20"/>
              </w:rPr>
              <w:t>3= Moderately Difficult</w:t>
            </w:r>
          </w:p>
        </w:tc>
      </w:tr>
      <w:tr w:rsidR="006E5CB8" w:rsidRPr="00B01F9E" w14:paraId="7A3AB7A6" w14:textId="77777777" w:rsidTr="0016170A">
        <w:tc>
          <w:tcPr>
            <w:tcW w:w="1083" w:type="dxa"/>
            <w:vMerge/>
          </w:tcPr>
          <w:p w14:paraId="1273CD8A" w14:textId="77777777" w:rsidR="006E5CB8" w:rsidRPr="00B01F9E" w:rsidRDefault="006E5CB8" w:rsidP="0016170A">
            <w:pPr>
              <w:rPr>
                <w:rFonts w:ascii="Arial" w:hAnsi="Arial" w:cs="Arial"/>
                <w:sz w:val="20"/>
                <w:szCs w:val="20"/>
              </w:rPr>
            </w:pPr>
          </w:p>
        </w:tc>
        <w:tc>
          <w:tcPr>
            <w:tcW w:w="3502" w:type="dxa"/>
            <w:vMerge/>
          </w:tcPr>
          <w:p w14:paraId="7FA0E911" w14:textId="77777777" w:rsidR="006E5CB8" w:rsidRPr="00B01F9E" w:rsidRDefault="006E5CB8" w:rsidP="0016170A">
            <w:pPr>
              <w:rPr>
                <w:rFonts w:ascii="Arial" w:hAnsi="Arial" w:cs="Arial"/>
                <w:sz w:val="20"/>
                <w:szCs w:val="20"/>
              </w:rPr>
            </w:pPr>
          </w:p>
        </w:tc>
        <w:tc>
          <w:tcPr>
            <w:tcW w:w="4215" w:type="dxa"/>
          </w:tcPr>
          <w:p w14:paraId="15FF3256" w14:textId="77777777" w:rsidR="006E5CB8" w:rsidRPr="00B01F9E" w:rsidRDefault="006E5CB8" w:rsidP="0016170A">
            <w:pPr>
              <w:rPr>
                <w:rFonts w:ascii="Arial" w:hAnsi="Arial" w:cs="Arial"/>
                <w:sz w:val="20"/>
                <w:szCs w:val="20"/>
              </w:rPr>
            </w:pPr>
            <w:r w:rsidRPr="00B01F9E">
              <w:rPr>
                <w:rFonts w:ascii="Arial" w:hAnsi="Arial" w:cs="Arial"/>
                <w:sz w:val="20"/>
                <w:szCs w:val="20"/>
              </w:rPr>
              <w:t>4= Very Difficult</w:t>
            </w:r>
          </w:p>
        </w:tc>
      </w:tr>
      <w:tr w:rsidR="006E5CB8" w:rsidRPr="00B01F9E" w14:paraId="2B4E2FE0" w14:textId="77777777" w:rsidTr="0016170A">
        <w:tc>
          <w:tcPr>
            <w:tcW w:w="1083" w:type="dxa"/>
            <w:vMerge/>
          </w:tcPr>
          <w:p w14:paraId="39A4542A" w14:textId="77777777" w:rsidR="006E5CB8" w:rsidRPr="00B01F9E" w:rsidRDefault="006E5CB8" w:rsidP="0016170A">
            <w:pPr>
              <w:rPr>
                <w:rFonts w:ascii="Arial" w:hAnsi="Arial" w:cs="Arial"/>
                <w:sz w:val="20"/>
                <w:szCs w:val="20"/>
              </w:rPr>
            </w:pPr>
          </w:p>
        </w:tc>
        <w:tc>
          <w:tcPr>
            <w:tcW w:w="3502" w:type="dxa"/>
            <w:vMerge/>
          </w:tcPr>
          <w:p w14:paraId="703DA8A5" w14:textId="77777777" w:rsidR="006E5CB8" w:rsidRPr="00B01F9E" w:rsidRDefault="006E5CB8" w:rsidP="0016170A">
            <w:pPr>
              <w:rPr>
                <w:rFonts w:ascii="Arial" w:hAnsi="Arial" w:cs="Arial"/>
                <w:sz w:val="20"/>
                <w:szCs w:val="20"/>
              </w:rPr>
            </w:pPr>
          </w:p>
        </w:tc>
        <w:tc>
          <w:tcPr>
            <w:tcW w:w="4215" w:type="dxa"/>
          </w:tcPr>
          <w:p w14:paraId="0D164B2A" w14:textId="77777777" w:rsidR="006E5CB8" w:rsidRPr="00B01F9E" w:rsidRDefault="006E5CB8" w:rsidP="0016170A">
            <w:pPr>
              <w:rPr>
                <w:rFonts w:ascii="Arial" w:hAnsi="Arial" w:cs="Arial"/>
                <w:sz w:val="20"/>
                <w:szCs w:val="20"/>
              </w:rPr>
            </w:pPr>
            <w:r w:rsidRPr="00B01F9E">
              <w:rPr>
                <w:rFonts w:ascii="Arial" w:hAnsi="Arial" w:cs="Arial"/>
                <w:sz w:val="20"/>
                <w:szCs w:val="20"/>
              </w:rPr>
              <w:t>5= Most Difficult</w:t>
            </w:r>
          </w:p>
        </w:tc>
      </w:tr>
      <w:tr w:rsidR="006E5CB8" w:rsidRPr="00B01F9E" w14:paraId="4A02D25C" w14:textId="77777777" w:rsidTr="0016170A">
        <w:trPr>
          <w:trHeight w:val="70"/>
        </w:trPr>
        <w:tc>
          <w:tcPr>
            <w:tcW w:w="1083" w:type="dxa"/>
            <w:vMerge/>
          </w:tcPr>
          <w:p w14:paraId="718F5EE4" w14:textId="77777777" w:rsidR="006E5CB8" w:rsidRPr="00B01F9E" w:rsidRDefault="006E5CB8" w:rsidP="0016170A">
            <w:pPr>
              <w:rPr>
                <w:rFonts w:ascii="Arial" w:hAnsi="Arial" w:cs="Arial"/>
                <w:sz w:val="20"/>
                <w:szCs w:val="20"/>
              </w:rPr>
            </w:pPr>
          </w:p>
        </w:tc>
        <w:tc>
          <w:tcPr>
            <w:tcW w:w="3502" w:type="dxa"/>
            <w:vMerge/>
          </w:tcPr>
          <w:p w14:paraId="24384BB6" w14:textId="77777777" w:rsidR="006E5CB8" w:rsidRPr="00B01F9E" w:rsidRDefault="006E5CB8" w:rsidP="0016170A">
            <w:pPr>
              <w:rPr>
                <w:rFonts w:ascii="Arial" w:hAnsi="Arial" w:cs="Arial"/>
                <w:sz w:val="20"/>
                <w:szCs w:val="20"/>
              </w:rPr>
            </w:pPr>
          </w:p>
        </w:tc>
        <w:tc>
          <w:tcPr>
            <w:tcW w:w="4215" w:type="dxa"/>
          </w:tcPr>
          <w:p w14:paraId="614FB5EB" w14:textId="77777777" w:rsidR="006E5CB8" w:rsidRPr="00B01F9E" w:rsidRDefault="006E5CB8" w:rsidP="0016170A">
            <w:pPr>
              <w:rPr>
                <w:rFonts w:ascii="Arial" w:hAnsi="Arial" w:cs="Arial"/>
                <w:sz w:val="20"/>
                <w:szCs w:val="20"/>
              </w:rPr>
            </w:pPr>
            <w:r w:rsidRPr="00B01F9E">
              <w:rPr>
                <w:rFonts w:ascii="Arial" w:hAnsi="Arial" w:cs="Arial"/>
                <w:sz w:val="20"/>
                <w:szCs w:val="20"/>
              </w:rPr>
              <w:t>If not applicable, please leave blank</w:t>
            </w:r>
          </w:p>
        </w:tc>
      </w:tr>
      <w:tr w:rsidR="006E5CB8" w:rsidRPr="00B01F9E" w14:paraId="1BD8BED0" w14:textId="77777777" w:rsidTr="0016170A">
        <w:tc>
          <w:tcPr>
            <w:tcW w:w="1083" w:type="dxa"/>
            <w:vMerge w:val="restart"/>
          </w:tcPr>
          <w:p w14:paraId="694CF307" w14:textId="77777777" w:rsidR="006E5CB8" w:rsidRPr="00B01F9E" w:rsidRDefault="006E5CB8" w:rsidP="0016170A">
            <w:pPr>
              <w:rPr>
                <w:rFonts w:ascii="Arial" w:hAnsi="Arial" w:cs="Arial"/>
                <w:sz w:val="20"/>
                <w:szCs w:val="20"/>
              </w:rPr>
            </w:pPr>
            <w:r w:rsidRPr="00B01F9E">
              <w:rPr>
                <w:rFonts w:ascii="Arial" w:hAnsi="Arial" w:cs="Arial"/>
                <w:sz w:val="20"/>
                <w:szCs w:val="20"/>
              </w:rPr>
              <w:t>9</w:t>
            </w:r>
          </w:p>
        </w:tc>
        <w:tc>
          <w:tcPr>
            <w:tcW w:w="3502" w:type="dxa"/>
            <w:vMerge w:val="restart"/>
          </w:tcPr>
          <w:p w14:paraId="48144B0E" w14:textId="77777777" w:rsidR="006E5CB8" w:rsidRPr="00B01F9E" w:rsidRDefault="006E5CB8" w:rsidP="0016170A">
            <w:pPr>
              <w:rPr>
                <w:rFonts w:ascii="Arial" w:hAnsi="Arial" w:cs="Arial"/>
                <w:sz w:val="20"/>
                <w:szCs w:val="20"/>
              </w:rPr>
            </w:pPr>
            <w:r w:rsidRPr="00B01F9E">
              <w:rPr>
                <w:rFonts w:ascii="Arial" w:hAnsi="Arial" w:cs="Arial"/>
                <w:sz w:val="20"/>
                <w:szCs w:val="20"/>
              </w:rPr>
              <w:t>Please rate the level of difficulty your lab has with </w:t>
            </w:r>
            <w:r w:rsidRPr="00B01F9E">
              <w:rPr>
                <w:rFonts w:ascii="Arial" w:hAnsi="Arial" w:cs="Arial"/>
                <w:b/>
                <w:bCs/>
                <w:sz w:val="20"/>
                <w:szCs w:val="20"/>
              </w:rPr>
              <w:t>transmitting </w:t>
            </w:r>
            <w:r w:rsidRPr="00B01F9E">
              <w:rPr>
                <w:rFonts w:ascii="Arial" w:hAnsi="Arial" w:cs="Arial"/>
                <w:sz w:val="20"/>
                <w:szCs w:val="20"/>
              </w:rPr>
              <w:t>the correct LIDR codes for patient laboratory test results</w:t>
            </w:r>
          </w:p>
        </w:tc>
        <w:tc>
          <w:tcPr>
            <w:tcW w:w="4215" w:type="dxa"/>
          </w:tcPr>
          <w:p w14:paraId="2E375586" w14:textId="77777777" w:rsidR="006E5CB8" w:rsidRPr="00B01F9E" w:rsidRDefault="006E5CB8" w:rsidP="0016170A">
            <w:pPr>
              <w:rPr>
                <w:rFonts w:ascii="Arial" w:hAnsi="Arial" w:cs="Arial"/>
                <w:sz w:val="20"/>
                <w:szCs w:val="20"/>
              </w:rPr>
            </w:pPr>
            <w:r w:rsidRPr="00B01F9E">
              <w:rPr>
                <w:rFonts w:ascii="Arial" w:hAnsi="Arial" w:cs="Arial"/>
                <w:sz w:val="20"/>
                <w:szCs w:val="20"/>
              </w:rPr>
              <w:t>1= Least Difficult</w:t>
            </w:r>
          </w:p>
        </w:tc>
      </w:tr>
      <w:tr w:rsidR="006E5CB8" w:rsidRPr="00B01F9E" w14:paraId="1DCB7700" w14:textId="77777777" w:rsidTr="0016170A">
        <w:tc>
          <w:tcPr>
            <w:tcW w:w="1083" w:type="dxa"/>
            <w:vMerge/>
          </w:tcPr>
          <w:p w14:paraId="651CEFD3" w14:textId="77777777" w:rsidR="006E5CB8" w:rsidRPr="00B01F9E" w:rsidRDefault="006E5CB8" w:rsidP="0016170A">
            <w:pPr>
              <w:rPr>
                <w:rFonts w:ascii="Arial" w:hAnsi="Arial" w:cs="Arial"/>
                <w:sz w:val="20"/>
                <w:szCs w:val="20"/>
              </w:rPr>
            </w:pPr>
          </w:p>
        </w:tc>
        <w:tc>
          <w:tcPr>
            <w:tcW w:w="3502" w:type="dxa"/>
            <w:vMerge/>
          </w:tcPr>
          <w:p w14:paraId="22296FAF" w14:textId="77777777" w:rsidR="006E5CB8" w:rsidRPr="00B01F9E" w:rsidRDefault="006E5CB8" w:rsidP="0016170A">
            <w:pPr>
              <w:rPr>
                <w:rFonts w:ascii="Arial" w:hAnsi="Arial" w:cs="Arial"/>
                <w:sz w:val="20"/>
                <w:szCs w:val="20"/>
              </w:rPr>
            </w:pPr>
          </w:p>
        </w:tc>
        <w:tc>
          <w:tcPr>
            <w:tcW w:w="4215" w:type="dxa"/>
          </w:tcPr>
          <w:p w14:paraId="7CD8A1FE" w14:textId="77777777" w:rsidR="006E5CB8" w:rsidRPr="00B01F9E" w:rsidRDefault="006E5CB8" w:rsidP="0016170A">
            <w:pPr>
              <w:rPr>
                <w:rFonts w:ascii="Arial" w:hAnsi="Arial" w:cs="Arial"/>
                <w:sz w:val="20"/>
                <w:szCs w:val="20"/>
              </w:rPr>
            </w:pPr>
            <w:r w:rsidRPr="00B01F9E">
              <w:rPr>
                <w:rFonts w:ascii="Arial" w:hAnsi="Arial" w:cs="Arial"/>
                <w:sz w:val="20"/>
                <w:szCs w:val="20"/>
              </w:rPr>
              <w:t>2= Slightly Difficult</w:t>
            </w:r>
          </w:p>
        </w:tc>
      </w:tr>
      <w:tr w:rsidR="006E5CB8" w:rsidRPr="00B01F9E" w14:paraId="4069F663" w14:textId="77777777" w:rsidTr="0016170A">
        <w:tc>
          <w:tcPr>
            <w:tcW w:w="1083" w:type="dxa"/>
            <w:vMerge/>
          </w:tcPr>
          <w:p w14:paraId="21A0F9DE" w14:textId="77777777" w:rsidR="006E5CB8" w:rsidRPr="00B01F9E" w:rsidRDefault="006E5CB8" w:rsidP="0016170A">
            <w:pPr>
              <w:rPr>
                <w:rFonts w:ascii="Arial" w:hAnsi="Arial" w:cs="Arial"/>
                <w:sz w:val="20"/>
                <w:szCs w:val="20"/>
              </w:rPr>
            </w:pPr>
          </w:p>
        </w:tc>
        <w:tc>
          <w:tcPr>
            <w:tcW w:w="3502" w:type="dxa"/>
            <w:vMerge/>
          </w:tcPr>
          <w:p w14:paraId="379E7C56" w14:textId="77777777" w:rsidR="006E5CB8" w:rsidRPr="00B01F9E" w:rsidRDefault="006E5CB8" w:rsidP="0016170A">
            <w:pPr>
              <w:rPr>
                <w:rFonts w:ascii="Arial" w:hAnsi="Arial" w:cs="Arial"/>
                <w:sz w:val="20"/>
                <w:szCs w:val="20"/>
              </w:rPr>
            </w:pPr>
          </w:p>
        </w:tc>
        <w:tc>
          <w:tcPr>
            <w:tcW w:w="4215" w:type="dxa"/>
          </w:tcPr>
          <w:p w14:paraId="747ED2CD" w14:textId="77777777" w:rsidR="006E5CB8" w:rsidRPr="00B01F9E" w:rsidRDefault="006E5CB8" w:rsidP="0016170A">
            <w:pPr>
              <w:rPr>
                <w:rFonts w:ascii="Arial" w:hAnsi="Arial" w:cs="Arial"/>
                <w:sz w:val="20"/>
                <w:szCs w:val="20"/>
              </w:rPr>
            </w:pPr>
            <w:r w:rsidRPr="00B01F9E">
              <w:rPr>
                <w:rFonts w:ascii="Arial" w:hAnsi="Arial" w:cs="Arial"/>
                <w:sz w:val="20"/>
                <w:szCs w:val="20"/>
              </w:rPr>
              <w:t>3= Moderately Difficult</w:t>
            </w:r>
          </w:p>
        </w:tc>
      </w:tr>
      <w:tr w:rsidR="006E5CB8" w:rsidRPr="00B01F9E" w14:paraId="3D2B75E1" w14:textId="77777777" w:rsidTr="0016170A">
        <w:tc>
          <w:tcPr>
            <w:tcW w:w="1083" w:type="dxa"/>
            <w:vMerge/>
          </w:tcPr>
          <w:p w14:paraId="3C1E0DCE" w14:textId="77777777" w:rsidR="006E5CB8" w:rsidRPr="00B01F9E" w:rsidRDefault="006E5CB8" w:rsidP="0016170A">
            <w:pPr>
              <w:rPr>
                <w:rFonts w:ascii="Arial" w:hAnsi="Arial" w:cs="Arial"/>
                <w:sz w:val="20"/>
                <w:szCs w:val="20"/>
              </w:rPr>
            </w:pPr>
          </w:p>
        </w:tc>
        <w:tc>
          <w:tcPr>
            <w:tcW w:w="3502" w:type="dxa"/>
            <w:vMerge/>
          </w:tcPr>
          <w:p w14:paraId="68046981" w14:textId="77777777" w:rsidR="006E5CB8" w:rsidRPr="00B01F9E" w:rsidRDefault="006E5CB8" w:rsidP="0016170A">
            <w:pPr>
              <w:rPr>
                <w:rFonts w:ascii="Arial" w:hAnsi="Arial" w:cs="Arial"/>
                <w:sz w:val="20"/>
                <w:szCs w:val="20"/>
              </w:rPr>
            </w:pPr>
          </w:p>
        </w:tc>
        <w:tc>
          <w:tcPr>
            <w:tcW w:w="4215" w:type="dxa"/>
          </w:tcPr>
          <w:p w14:paraId="065670A1" w14:textId="77777777" w:rsidR="006E5CB8" w:rsidRPr="00B01F9E" w:rsidRDefault="006E5CB8" w:rsidP="0016170A">
            <w:pPr>
              <w:rPr>
                <w:rFonts w:ascii="Arial" w:hAnsi="Arial" w:cs="Arial"/>
                <w:sz w:val="20"/>
                <w:szCs w:val="20"/>
              </w:rPr>
            </w:pPr>
            <w:r w:rsidRPr="00B01F9E">
              <w:rPr>
                <w:rFonts w:ascii="Arial" w:hAnsi="Arial" w:cs="Arial"/>
                <w:sz w:val="20"/>
                <w:szCs w:val="20"/>
              </w:rPr>
              <w:t>4= Very Difficult</w:t>
            </w:r>
          </w:p>
        </w:tc>
      </w:tr>
      <w:tr w:rsidR="006E5CB8" w:rsidRPr="00B01F9E" w14:paraId="31576257" w14:textId="77777777" w:rsidTr="0016170A">
        <w:tc>
          <w:tcPr>
            <w:tcW w:w="1083" w:type="dxa"/>
            <w:vMerge/>
          </w:tcPr>
          <w:p w14:paraId="475604B7" w14:textId="77777777" w:rsidR="006E5CB8" w:rsidRPr="00B01F9E" w:rsidRDefault="006E5CB8" w:rsidP="0016170A">
            <w:pPr>
              <w:rPr>
                <w:rFonts w:ascii="Arial" w:hAnsi="Arial" w:cs="Arial"/>
                <w:sz w:val="20"/>
                <w:szCs w:val="20"/>
              </w:rPr>
            </w:pPr>
          </w:p>
        </w:tc>
        <w:tc>
          <w:tcPr>
            <w:tcW w:w="3502" w:type="dxa"/>
            <w:vMerge/>
          </w:tcPr>
          <w:p w14:paraId="49FFC15D" w14:textId="77777777" w:rsidR="006E5CB8" w:rsidRPr="00B01F9E" w:rsidRDefault="006E5CB8" w:rsidP="0016170A">
            <w:pPr>
              <w:rPr>
                <w:rFonts w:ascii="Arial" w:hAnsi="Arial" w:cs="Arial"/>
                <w:sz w:val="20"/>
                <w:szCs w:val="20"/>
              </w:rPr>
            </w:pPr>
          </w:p>
        </w:tc>
        <w:tc>
          <w:tcPr>
            <w:tcW w:w="4215" w:type="dxa"/>
          </w:tcPr>
          <w:p w14:paraId="573542FA" w14:textId="77777777" w:rsidR="006E5CB8" w:rsidRPr="00B01F9E" w:rsidRDefault="006E5CB8" w:rsidP="0016170A">
            <w:pPr>
              <w:rPr>
                <w:rFonts w:ascii="Arial" w:hAnsi="Arial" w:cs="Arial"/>
                <w:sz w:val="20"/>
                <w:szCs w:val="20"/>
              </w:rPr>
            </w:pPr>
            <w:r w:rsidRPr="00B01F9E">
              <w:rPr>
                <w:rFonts w:ascii="Arial" w:hAnsi="Arial" w:cs="Arial"/>
                <w:sz w:val="20"/>
                <w:szCs w:val="20"/>
              </w:rPr>
              <w:t>5= Most Difficult</w:t>
            </w:r>
          </w:p>
        </w:tc>
      </w:tr>
      <w:tr w:rsidR="006E5CB8" w:rsidRPr="00B01F9E" w14:paraId="2E40AD11" w14:textId="77777777" w:rsidTr="0016170A">
        <w:tc>
          <w:tcPr>
            <w:tcW w:w="1083" w:type="dxa"/>
            <w:vMerge/>
          </w:tcPr>
          <w:p w14:paraId="00645E34" w14:textId="77777777" w:rsidR="006E5CB8" w:rsidRPr="00B01F9E" w:rsidRDefault="006E5CB8" w:rsidP="0016170A">
            <w:pPr>
              <w:rPr>
                <w:rFonts w:ascii="Arial" w:hAnsi="Arial" w:cs="Arial"/>
                <w:sz w:val="20"/>
                <w:szCs w:val="20"/>
              </w:rPr>
            </w:pPr>
          </w:p>
        </w:tc>
        <w:tc>
          <w:tcPr>
            <w:tcW w:w="3502" w:type="dxa"/>
            <w:vMerge/>
          </w:tcPr>
          <w:p w14:paraId="257EA604" w14:textId="77777777" w:rsidR="006E5CB8" w:rsidRPr="00B01F9E" w:rsidRDefault="006E5CB8" w:rsidP="0016170A">
            <w:pPr>
              <w:rPr>
                <w:rFonts w:ascii="Arial" w:hAnsi="Arial" w:cs="Arial"/>
                <w:sz w:val="20"/>
                <w:szCs w:val="20"/>
              </w:rPr>
            </w:pPr>
          </w:p>
        </w:tc>
        <w:tc>
          <w:tcPr>
            <w:tcW w:w="4215" w:type="dxa"/>
          </w:tcPr>
          <w:p w14:paraId="37CC28A9" w14:textId="77777777" w:rsidR="006E5CB8" w:rsidRPr="00B01F9E" w:rsidRDefault="006E5CB8" w:rsidP="0016170A">
            <w:pPr>
              <w:rPr>
                <w:rFonts w:ascii="Arial" w:hAnsi="Arial" w:cs="Arial"/>
                <w:sz w:val="20"/>
                <w:szCs w:val="20"/>
              </w:rPr>
            </w:pPr>
            <w:r w:rsidRPr="00B01F9E">
              <w:rPr>
                <w:rFonts w:ascii="Arial" w:hAnsi="Arial" w:cs="Arial"/>
                <w:sz w:val="20"/>
                <w:szCs w:val="20"/>
              </w:rPr>
              <w:t>If not applicable, please leave blank</w:t>
            </w:r>
          </w:p>
        </w:tc>
      </w:tr>
      <w:tr w:rsidR="006E5CB8" w:rsidRPr="00B01F9E" w14:paraId="4F0BC90C" w14:textId="77777777" w:rsidTr="0016170A">
        <w:tc>
          <w:tcPr>
            <w:tcW w:w="1083" w:type="dxa"/>
          </w:tcPr>
          <w:p w14:paraId="023C3E92" w14:textId="77777777" w:rsidR="006E5CB8" w:rsidRPr="00B01F9E" w:rsidRDefault="006E5CB8" w:rsidP="0016170A">
            <w:pPr>
              <w:rPr>
                <w:rFonts w:ascii="Arial" w:hAnsi="Arial" w:cs="Arial"/>
                <w:sz w:val="20"/>
                <w:szCs w:val="20"/>
              </w:rPr>
            </w:pPr>
            <w:r w:rsidRPr="00B01F9E">
              <w:rPr>
                <w:rFonts w:ascii="Arial" w:hAnsi="Arial" w:cs="Arial"/>
                <w:sz w:val="20"/>
                <w:szCs w:val="20"/>
              </w:rPr>
              <w:t>10</w:t>
            </w:r>
          </w:p>
        </w:tc>
        <w:tc>
          <w:tcPr>
            <w:tcW w:w="3502" w:type="dxa"/>
          </w:tcPr>
          <w:p w14:paraId="5C390EE6" w14:textId="77777777" w:rsidR="006E5CB8" w:rsidRPr="00B01F9E" w:rsidRDefault="006E5CB8" w:rsidP="0016170A">
            <w:pPr>
              <w:rPr>
                <w:rFonts w:ascii="Arial" w:hAnsi="Arial" w:cs="Arial"/>
                <w:sz w:val="20"/>
                <w:szCs w:val="20"/>
              </w:rPr>
            </w:pPr>
            <w:r w:rsidRPr="00B01F9E">
              <w:rPr>
                <w:rFonts w:ascii="Arial" w:hAnsi="Arial" w:cs="Arial"/>
                <w:sz w:val="20"/>
                <w:szCs w:val="20"/>
              </w:rPr>
              <w:t>How many IVD Vendors are utilized in your laboratory? (include all methods, instruments, and kit tests)</w:t>
            </w:r>
          </w:p>
        </w:tc>
        <w:tc>
          <w:tcPr>
            <w:tcW w:w="4215" w:type="dxa"/>
          </w:tcPr>
          <w:p w14:paraId="7F17CC76"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29DB1E32" w14:textId="77777777" w:rsidTr="0016170A">
        <w:tc>
          <w:tcPr>
            <w:tcW w:w="1083" w:type="dxa"/>
          </w:tcPr>
          <w:p w14:paraId="122CA6B5" w14:textId="77777777" w:rsidR="006E5CB8" w:rsidRPr="00B01F9E" w:rsidRDefault="006E5CB8" w:rsidP="0016170A">
            <w:pPr>
              <w:rPr>
                <w:rFonts w:ascii="Arial" w:hAnsi="Arial" w:cs="Arial"/>
                <w:sz w:val="20"/>
                <w:szCs w:val="20"/>
              </w:rPr>
            </w:pPr>
            <w:r w:rsidRPr="00B01F9E">
              <w:rPr>
                <w:rFonts w:ascii="Arial" w:hAnsi="Arial" w:cs="Arial"/>
                <w:sz w:val="20"/>
                <w:szCs w:val="20"/>
              </w:rPr>
              <w:t>11</w:t>
            </w:r>
          </w:p>
        </w:tc>
        <w:tc>
          <w:tcPr>
            <w:tcW w:w="3502" w:type="dxa"/>
          </w:tcPr>
          <w:p w14:paraId="56041CF5" w14:textId="77777777" w:rsidR="006E5CB8" w:rsidRPr="00B01F9E" w:rsidRDefault="006E5CB8" w:rsidP="0016170A">
            <w:pPr>
              <w:rPr>
                <w:rFonts w:ascii="Arial" w:hAnsi="Arial" w:cs="Arial"/>
                <w:sz w:val="20"/>
                <w:szCs w:val="20"/>
              </w:rPr>
            </w:pPr>
            <w:r w:rsidRPr="00B01F9E">
              <w:rPr>
                <w:rFonts w:ascii="Arial" w:hAnsi="Arial" w:cs="Arial"/>
                <w:sz w:val="20"/>
                <w:szCs w:val="20"/>
              </w:rPr>
              <w:t>Please list the LIS and version used in your laboratory for Clinical Lab:</w:t>
            </w:r>
          </w:p>
        </w:tc>
        <w:tc>
          <w:tcPr>
            <w:tcW w:w="4215" w:type="dxa"/>
          </w:tcPr>
          <w:p w14:paraId="4FF29F6E"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4881480E" w14:textId="77777777" w:rsidTr="0016170A">
        <w:tc>
          <w:tcPr>
            <w:tcW w:w="1083" w:type="dxa"/>
          </w:tcPr>
          <w:p w14:paraId="562238D5" w14:textId="77777777" w:rsidR="006E5CB8" w:rsidRPr="00B01F9E" w:rsidRDefault="006E5CB8" w:rsidP="0016170A">
            <w:pPr>
              <w:rPr>
                <w:rFonts w:ascii="Arial" w:hAnsi="Arial" w:cs="Arial"/>
                <w:sz w:val="20"/>
                <w:szCs w:val="20"/>
              </w:rPr>
            </w:pPr>
            <w:r w:rsidRPr="00B01F9E">
              <w:rPr>
                <w:rFonts w:ascii="Arial" w:hAnsi="Arial" w:cs="Arial"/>
                <w:sz w:val="20"/>
                <w:szCs w:val="20"/>
              </w:rPr>
              <w:t>12</w:t>
            </w:r>
          </w:p>
        </w:tc>
        <w:tc>
          <w:tcPr>
            <w:tcW w:w="3502" w:type="dxa"/>
          </w:tcPr>
          <w:p w14:paraId="79EB26F5" w14:textId="77777777" w:rsidR="006E5CB8" w:rsidRPr="00B01F9E" w:rsidRDefault="006E5CB8" w:rsidP="0016170A">
            <w:pPr>
              <w:rPr>
                <w:rFonts w:ascii="Arial" w:hAnsi="Arial" w:cs="Arial"/>
                <w:sz w:val="20"/>
                <w:szCs w:val="20"/>
              </w:rPr>
            </w:pPr>
            <w:r w:rsidRPr="00B01F9E">
              <w:rPr>
                <w:rFonts w:ascii="Arial" w:hAnsi="Arial" w:cs="Arial"/>
                <w:sz w:val="20"/>
                <w:szCs w:val="20"/>
              </w:rPr>
              <w:t>Please list the LIS and version used in your laboratory for Anatomic Pathology Lab:</w:t>
            </w:r>
          </w:p>
        </w:tc>
        <w:tc>
          <w:tcPr>
            <w:tcW w:w="4215" w:type="dxa"/>
          </w:tcPr>
          <w:p w14:paraId="088A9BA2"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4B34165C" w14:textId="77777777" w:rsidTr="0016170A">
        <w:tc>
          <w:tcPr>
            <w:tcW w:w="1083" w:type="dxa"/>
          </w:tcPr>
          <w:p w14:paraId="22B60F63" w14:textId="77777777" w:rsidR="006E5CB8" w:rsidRPr="00B01F9E" w:rsidRDefault="006E5CB8" w:rsidP="0016170A">
            <w:pPr>
              <w:rPr>
                <w:rFonts w:ascii="Arial" w:hAnsi="Arial" w:cs="Arial"/>
                <w:sz w:val="20"/>
                <w:szCs w:val="20"/>
              </w:rPr>
            </w:pPr>
            <w:r w:rsidRPr="00B01F9E">
              <w:rPr>
                <w:rFonts w:ascii="Arial" w:hAnsi="Arial" w:cs="Arial"/>
                <w:sz w:val="20"/>
                <w:szCs w:val="20"/>
              </w:rPr>
              <w:t>13</w:t>
            </w:r>
          </w:p>
        </w:tc>
        <w:tc>
          <w:tcPr>
            <w:tcW w:w="3502" w:type="dxa"/>
          </w:tcPr>
          <w:p w14:paraId="3D791BB0" w14:textId="77777777" w:rsidR="006E5CB8" w:rsidRPr="00B01F9E" w:rsidRDefault="006E5CB8" w:rsidP="0016170A">
            <w:pPr>
              <w:rPr>
                <w:rFonts w:ascii="Arial" w:hAnsi="Arial" w:cs="Arial"/>
                <w:sz w:val="20"/>
                <w:szCs w:val="20"/>
              </w:rPr>
            </w:pPr>
            <w:r w:rsidRPr="00B01F9E">
              <w:rPr>
                <w:rFonts w:ascii="Arial" w:hAnsi="Arial" w:cs="Arial"/>
                <w:sz w:val="20"/>
                <w:szCs w:val="20"/>
              </w:rPr>
              <w:t>Please list the EMR/EHR used in your healthcare organization:</w:t>
            </w:r>
          </w:p>
        </w:tc>
        <w:tc>
          <w:tcPr>
            <w:tcW w:w="4215" w:type="dxa"/>
          </w:tcPr>
          <w:p w14:paraId="1A33AB01"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4DBC312F" w14:textId="77777777" w:rsidTr="0016170A">
        <w:tc>
          <w:tcPr>
            <w:tcW w:w="1083" w:type="dxa"/>
          </w:tcPr>
          <w:p w14:paraId="284AAED3" w14:textId="77777777" w:rsidR="006E5CB8" w:rsidRPr="00B01F9E" w:rsidRDefault="006E5CB8" w:rsidP="0016170A">
            <w:pPr>
              <w:rPr>
                <w:rFonts w:ascii="Arial" w:hAnsi="Arial" w:cs="Arial"/>
                <w:sz w:val="20"/>
                <w:szCs w:val="20"/>
              </w:rPr>
            </w:pPr>
            <w:r w:rsidRPr="00B01F9E">
              <w:rPr>
                <w:rFonts w:ascii="Arial" w:hAnsi="Arial" w:cs="Arial"/>
                <w:sz w:val="20"/>
                <w:szCs w:val="20"/>
              </w:rPr>
              <w:t>14</w:t>
            </w:r>
          </w:p>
        </w:tc>
        <w:tc>
          <w:tcPr>
            <w:tcW w:w="3502" w:type="dxa"/>
          </w:tcPr>
          <w:p w14:paraId="5421A19A" w14:textId="77777777" w:rsidR="006E5CB8" w:rsidRPr="00B01F9E" w:rsidRDefault="006E5CB8" w:rsidP="0016170A">
            <w:pPr>
              <w:rPr>
                <w:rFonts w:ascii="Arial" w:hAnsi="Arial" w:cs="Arial"/>
                <w:sz w:val="20"/>
                <w:szCs w:val="20"/>
              </w:rPr>
            </w:pPr>
            <w:r w:rsidRPr="00B01F9E">
              <w:rPr>
                <w:rFonts w:ascii="Arial" w:hAnsi="Arial" w:cs="Arial"/>
                <w:sz w:val="20"/>
                <w:szCs w:val="20"/>
              </w:rPr>
              <w:t>How many FTEs are dedicated to building and maintaining the LIS?</w:t>
            </w:r>
          </w:p>
        </w:tc>
        <w:tc>
          <w:tcPr>
            <w:tcW w:w="4215" w:type="dxa"/>
          </w:tcPr>
          <w:p w14:paraId="50CC6E9C"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4FDA4C4F" w14:textId="77777777" w:rsidTr="0016170A">
        <w:tc>
          <w:tcPr>
            <w:tcW w:w="1083" w:type="dxa"/>
          </w:tcPr>
          <w:p w14:paraId="47B7C219" w14:textId="77777777" w:rsidR="006E5CB8" w:rsidRPr="00B01F9E" w:rsidRDefault="006E5CB8" w:rsidP="0016170A">
            <w:pPr>
              <w:rPr>
                <w:rFonts w:ascii="Arial" w:hAnsi="Arial" w:cs="Arial"/>
                <w:sz w:val="20"/>
                <w:szCs w:val="20"/>
              </w:rPr>
            </w:pPr>
            <w:r w:rsidRPr="00B01F9E">
              <w:rPr>
                <w:rFonts w:ascii="Arial" w:hAnsi="Arial" w:cs="Arial"/>
                <w:sz w:val="20"/>
                <w:szCs w:val="20"/>
              </w:rPr>
              <w:t>15</w:t>
            </w:r>
          </w:p>
        </w:tc>
        <w:tc>
          <w:tcPr>
            <w:tcW w:w="3502" w:type="dxa"/>
          </w:tcPr>
          <w:p w14:paraId="6F9E13BE" w14:textId="77777777" w:rsidR="006E5CB8" w:rsidRPr="00B01F9E" w:rsidRDefault="006E5CB8" w:rsidP="0016170A">
            <w:pPr>
              <w:rPr>
                <w:rFonts w:ascii="Arial" w:hAnsi="Arial" w:cs="Arial"/>
                <w:sz w:val="20"/>
                <w:szCs w:val="20"/>
              </w:rPr>
            </w:pPr>
            <w:r w:rsidRPr="00B01F9E">
              <w:rPr>
                <w:rFonts w:ascii="Arial" w:hAnsi="Arial" w:cs="Arial"/>
                <w:sz w:val="20"/>
                <w:szCs w:val="20"/>
              </w:rPr>
              <w:t>How long did it take the LIS analyst(s) to set up the testing environment, including interface setup, configuration, and implementing the LIDR subset in Beaker? (Please specify the time in weeks)</w:t>
            </w:r>
          </w:p>
        </w:tc>
        <w:tc>
          <w:tcPr>
            <w:tcW w:w="4215" w:type="dxa"/>
          </w:tcPr>
          <w:p w14:paraId="2404310C"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2F8A6AC7" w14:textId="77777777" w:rsidTr="0016170A">
        <w:tc>
          <w:tcPr>
            <w:tcW w:w="1083" w:type="dxa"/>
          </w:tcPr>
          <w:p w14:paraId="04AE6053" w14:textId="77777777" w:rsidR="006E5CB8" w:rsidRPr="00B01F9E" w:rsidRDefault="006E5CB8" w:rsidP="0016170A">
            <w:pPr>
              <w:rPr>
                <w:rFonts w:ascii="Arial" w:hAnsi="Arial" w:cs="Arial"/>
                <w:sz w:val="20"/>
                <w:szCs w:val="20"/>
              </w:rPr>
            </w:pPr>
            <w:r w:rsidRPr="00B01F9E">
              <w:rPr>
                <w:rFonts w:ascii="Arial" w:hAnsi="Arial" w:cs="Arial"/>
                <w:sz w:val="20"/>
                <w:szCs w:val="20"/>
              </w:rPr>
              <w:lastRenderedPageBreak/>
              <w:t>16</w:t>
            </w:r>
          </w:p>
        </w:tc>
        <w:tc>
          <w:tcPr>
            <w:tcW w:w="3502" w:type="dxa"/>
          </w:tcPr>
          <w:p w14:paraId="30B1F9AA" w14:textId="77777777" w:rsidR="006E5CB8" w:rsidRPr="00B01F9E" w:rsidRDefault="006E5CB8" w:rsidP="0016170A">
            <w:pPr>
              <w:rPr>
                <w:rFonts w:ascii="Arial" w:hAnsi="Arial" w:cs="Arial"/>
                <w:sz w:val="20"/>
                <w:szCs w:val="20"/>
              </w:rPr>
            </w:pPr>
            <w:r w:rsidRPr="00B01F9E">
              <w:rPr>
                <w:rFonts w:ascii="Arial" w:hAnsi="Arial" w:cs="Arial"/>
                <w:sz w:val="20"/>
                <w:szCs w:val="20"/>
              </w:rPr>
              <w:t>How much time was involved for the interface analyst(s) in the technical build (developing interface engine, duplicating and creating new test builds, etc.)? (Please specify the time in weeks)</w:t>
            </w:r>
          </w:p>
        </w:tc>
        <w:tc>
          <w:tcPr>
            <w:tcW w:w="4215" w:type="dxa"/>
          </w:tcPr>
          <w:p w14:paraId="0DD13FD4"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490AEB75" w14:textId="77777777" w:rsidTr="0016170A">
        <w:tc>
          <w:tcPr>
            <w:tcW w:w="1083" w:type="dxa"/>
          </w:tcPr>
          <w:p w14:paraId="6C2F280F" w14:textId="77777777" w:rsidR="006E5CB8" w:rsidRPr="00B01F9E" w:rsidRDefault="006E5CB8" w:rsidP="0016170A">
            <w:pPr>
              <w:rPr>
                <w:rFonts w:ascii="Arial" w:hAnsi="Arial" w:cs="Arial"/>
                <w:sz w:val="20"/>
                <w:szCs w:val="20"/>
              </w:rPr>
            </w:pPr>
            <w:r w:rsidRPr="00B01F9E">
              <w:rPr>
                <w:rFonts w:ascii="Arial" w:hAnsi="Arial" w:cs="Arial"/>
                <w:sz w:val="20"/>
                <w:szCs w:val="20"/>
              </w:rPr>
              <w:t>17</w:t>
            </w:r>
          </w:p>
        </w:tc>
        <w:tc>
          <w:tcPr>
            <w:tcW w:w="3502" w:type="dxa"/>
          </w:tcPr>
          <w:p w14:paraId="6820CA7F" w14:textId="0F2436AB" w:rsidR="006E5CB8" w:rsidRPr="00B01F9E" w:rsidRDefault="006E5CB8" w:rsidP="0016170A">
            <w:pPr>
              <w:rPr>
                <w:rFonts w:ascii="Arial" w:hAnsi="Arial" w:cs="Arial"/>
                <w:sz w:val="20"/>
                <w:szCs w:val="20"/>
              </w:rPr>
            </w:pPr>
            <w:r w:rsidRPr="00B01F9E">
              <w:rPr>
                <w:rFonts w:ascii="Arial" w:hAnsi="Arial" w:cs="Arial"/>
                <w:sz w:val="20"/>
                <w:szCs w:val="20"/>
              </w:rPr>
              <w:t xml:space="preserve">How long did it take to test the transmission of the LIDR </w:t>
            </w:r>
            <w:r w:rsidR="00982247" w:rsidRPr="00B01F9E">
              <w:rPr>
                <w:rFonts w:ascii="Arial" w:hAnsi="Arial" w:cs="Arial"/>
                <w:sz w:val="20"/>
                <w:szCs w:val="20"/>
              </w:rPr>
              <w:t>T</w:t>
            </w:r>
            <w:r w:rsidRPr="00B01F9E">
              <w:rPr>
                <w:rFonts w:ascii="Arial" w:hAnsi="Arial" w:cs="Arial"/>
                <w:sz w:val="20"/>
                <w:szCs w:val="20"/>
              </w:rPr>
              <w:t xml:space="preserve">est </w:t>
            </w:r>
            <w:r w:rsidR="00982247" w:rsidRPr="00B01F9E">
              <w:rPr>
                <w:rFonts w:ascii="Arial" w:hAnsi="Arial" w:cs="Arial"/>
                <w:sz w:val="20"/>
                <w:szCs w:val="20"/>
              </w:rPr>
              <w:t>C</w:t>
            </w:r>
            <w:r w:rsidRPr="00B01F9E">
              <w:rPr>
                <w:rFonts w:ascii="Arial" w:hAnsi="Arial" w:cs="Arial"/>
                <w:sz w:val="20"/>
                <w:szCs w:val="20"/>
              </w:rPr>
              <w:t xml:space="preserve">ompendium </w:t>
            </w:r>
            <w:r w:rsidR="00982247" w:rsidRPr="00B01F9E">
              <w:rPr>
                <w:rFonts w:ascii="Arial" w:hAnsi="Arial" w:cs="Arial"/>
                <w:sz w:val="20"/>
                <w:szCs w:val="20"/>
              </w:rPr>
              <w:t>R</w:t>
            </w:r>
            <w:r w:rsidRPr="00B01F9E">
              <w:rPr>
                <w:rFonts w:ascii="Arial" w:hAnsi="Arial" w:cs="Arial"/>
                <w:sz w:val="20"/>
                <w:szCs w:val="20"/>
              </w:rPr>
              <w:t>eport? (Please specify the time in weeks)</w:t>
            </w:r>
          </w:p>
        </w:tc>
        <w:tc>
          <w:tcPr>
            <w:tcW w:w="4215" w:type="dxa"/>
          </w:tcPr>
          <w:p w14:paraId="620731B6"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1E0605B2" w14:textId="77777777" w:rsidTr="0016170A">
        <w:tc>
          <w:tcPr>
            <w:tcW w:w="1083" w:type="dxa"/>
          </w:tcPr>
          <w:p w14:paraId="42F7C743" w14:textId="77777777" w:rsidR="006E5CB8" w:rsidRPr="00B01F9E" w:rsidRDefault="006E5CB8" w:rsidP="0016170A">
            <w:pPr>
              <w:rPr>
                <w:rFonts w:ascii="Arial" w:hAnsi="Arial" w:cs="Arial"/>
                <w:sz w:val="20"/>
                <w:szCs w:val="20"/>
              </w:rPr>
            </w:pPr>
            <w:r w:rsidRPr="00B01F9E">
              <w:rPr>
                <w:rFonts w:ascii="Arial" w:hAnsi="Arial" w:cs="Arial"/>
                <w:sz w:val="20"/>
                <w:szCs w:val="20"/>
              </w:rPr>
              <w:t>18</w:t>
            </w:r>
          </w:p>
        </w:tc>
        <w:tc>
          <w:tcPr>
            <w:tcW w:w="3502" w:type="dxa"/>
          </w:tcPr>
          <w:p w14:paraId="36A4346D" w14:textId="77777777" w:rsidR="006E5CB8" w:rsidRPr="00B01F9E" w:rsidRDefault="006E5CB8" w:rsidP="0016170A">
            <w:pPr>
              <w:rPr>
                <w:rFonts w:ascii="Arial" w:hAnsi="Arial" w:cs="Arial"/>
                <w:sz w:val="20"/>
                <w:szCs w:val="20"/>
              </w:rPr>
            </w:pPr>
            <w:r w:rsidRPr="00B01F9E">
              <w:rPr>
                <w:rFonts w:ascii="Arial" w:hAnsi="Arial" w:cs="Arial"/>
                <w:sz w:val="20"/>
                <w:szCs w:val="20"/>
              </w:rPr>
              <w:t>How much time was involved in testing the transmission of HL7 messages? (Please specify the time in weeks)</w:t>
            </w:r>
          </w:p>
        </w:tc>
        <w:tc>
          <w:tcPr>
            <w:tcW w:w="4215" w:type="dxa"/>
          </w:tcPr>
          <w:p w14:paraId="34258257"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75801633" w14:textId="77777777" w:rsidTr="0016170A">
        <w:tc>
          <w:tcPr>
            <w:tcW w:w="1083" w:type="dxa"/>
          </w:tcPr>
          <w:p w14:paraId="68153915" w14:textId="77777777" w:rsidR="006E5CB8" w:rsidRPr="00B01F9E" w:rsidRDefault="006E5CB8" w:rsidP="0016170A">
            <w:pPr>
              <w:rPr>
                <w:rFonts w:ascii="Arial" w:hAnsi="Arial" w:cs="Arial"/>
                <w:sz w:val="20"/>
                <w:szCs w:val="20"/>
              </w:rPr>
            </w:pPr>
            <w:r w:rsidRPr="00B01F9E">
              <w:rPr>
                <w:rFonts w:ascii="Arial" w:hAnsi="Arial" w:cs="Arial"/>
                <w:sz w:val="20"/>
                <w:szCs w:val="20"/>
              </w:rPr>
              <w:t>19</w:t>
            </w:r>
          </w:p>
        </w:tc>
        <w:tc>
          <w:tcPr>
            <w:tcW w:w="3502" w:type="dxa"/>
          </w:tcPr>
          <w:p w14:paraId="113BB60B" w14:textId="77777777" w:rsidR="006E5CB8" w:rsidRPr="00B01F9E" w:rsidRDefault="006E5CB8" w:rsidP="0016170A">
            <w:pPr>
              <w:rPr>
                <w:rFonts w:ascii="Arial" w:hAnsi="Arial" w:cs="Arial"/>
                <w:sz w:val="20"/>
                <w:szCs w:val="20"/>
              </w:rPr>
            </w:pPr>
            <w:r w:rsidRPr="00B01F9E">
              <w:rPr>
                <w:rFonts w:ascii="Arial" w:hAnsi="Arial" w:cs="Arial"/>
                <w:sz w:val="20"/>
                <w:szCs w:val="20"/>
              </w:rPr>
              <w:t>How much time was involved in general project tasks and collaboration? (Please specify the time in weeks)</w:t>
            </w:r>
          </w:p>
        </w:tc>
        <w:tc>
          <w:tcPr>
            <w:tcW w:w="4215" w:type="dxa"/>
          </w:tcPr>
          <w:p w14:paraId="7B4086CB"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74208537" w14:textId="77777777" w:rsidTr="0016170A">
        <w:tc>
          <w:tcPr>
            <w:tcW w:w="1083" w:type="dxa"/>
          </w:tcPr>
          <w:p w14:paraId="4DE0977D" w14:textId="77777777" w:rsidR="006E5CB8" w:rsidRPr="00B01F9E" w:rsidRDefault="006E5CB8" w:rsidP="0016170A">
            <w:pPr>
              <w:rPr>
                <w:rFonts w:ascii="Arial" w:hAnsi="Arial" w:cs="Arial"/>
                <w:sz w:val="20"/>
                <w:szCs w:val="20"/>
              </w:rPr>
            </w:pPr>
            <w:r w:rsidRPr="00B01F9E">
              <w:rPr>
                <w:rFonts w:ascii="Arial" w:hAnsi="Arial" w:cs="Arial"/>
                <w:sz w:val="20"/>
                <w:szCs w:val="20"/>
              </w:rPr>
              <w:t>20</w:t>
            </w:r>
          </w:p>
        </w:tc>
        <w:tc>
          <w:tcPr>
            <w:tcW w:w="3502" w:type="dxa"/>
          </w:tcPr>
          <w:p w14:paraId="3C208514" w14:textId="77777777" w:rsidR="006E5CB8" w:rsidRPr="00B01F9E" w:rsidRDefault="006E5CB8" w:rsidP="0016170A">
            <w:pPr>
              <w:rPr>
                <w:rFonts w:ascii="Arial" w:hAnsi="Arial" w:cs="Arial"/>
                <w:sz w:val="20"/>
                <w:szCs w:val="20"/>
              </w:rPr>
            </w:pPr>
            <w:r w:rsidRPr="00B01F9E">
              <w:rPr>
                <w:rFonts w:ascii="Arial" w:hAnsi="Arial" w:cs="Arial"/>
                <w:sz w:val="20"/>
                <w:szCs w:val="20"/>
              </w:rPr>
              <w:t>Please describe any challenges or constraints that impacted the time or resources required throughout the project:</w:t>
            </w:r>
          </w:p>
        </w:tc>
        <w:tc>
          <w:tcPr>
            <w:tcW w:w="4215" w:type="dxa"/>
          </w:tcPr>
          <w:p w14:paraId="3E62ECBB"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5B9538AC" w14:textId="77777777" w:rsidTr="0016170A">
        <w:tc>
          <w:tcPr>
            <w:tcW w:w="1083" w:type="dxa"/>
            <w:vMerge w:val="restart"/>
          </w:tcPr>
          <w:p w14:paraId="1EA39388" w14:textId="77777777" w:rsidR="006E5CB8" w:rsidRPr="00B01F9E" w:rsidRDefault="006E5CB8" w:rsidP="0016170A">
            <w:pPr>
              <w:rPr>
                <w:rFonts w:ascii="Arial" w:hAnsi="Arial" w:cs="Arial"/>
                <w:sz w:val="20"/>
                <w:szCs w:val="20"/>
              </w:rPr>
            </w:pPr>
            <w:r w:rsidRPr="00B01F9E">
              <w:rPr>
                <w:rFonts w:ascii="Arial" w:hAnsi="Arial" w:cs="Arial"/>
                <w:sz w:val="20"/>
                <w:szCs w:val="20"/>
              </w:rPr>
              <w:t>21</w:t>
            </w:r>
          </w:p>
        </w:tc>
        <w:tc>
          <w:tcPr>
            <w:tcW w:w="3502" w:type="dxa"/>
            <w:vMerge w:val="restart"/>
          </w:tcPr>
          <w:p w14:paraId="045F8853" w14:textId="77777777" w:rsidR="006E5CB8" w:rsidRPr="00B01F9E" w:rsidRDefault="006E5CB8" w:rsidP="0016170A">
            <w:pPr>
              <w:rPr>
                <w:rFonts w:ascii="Arial" w:hAnsi="Arial" w:cs="Arial"/>
                <w:sz w:val="20"/>
                <w:szCs w:val="20"/>
              </w:rPr>
            </w:pPr>
            <w:r w:rsidRPr="00B01F9E">
              <w:rPr>
                <w:rFonts w:ascii="Arial" w:hAnsi="Arial" w:cs="Arial"/>
                <w:sz w:val="20"/>
                <w:szCs w:val="20"/>
              </w:rPr>
              <w:t>How many personnel were involved in the testing environment set-up and technical build phase?</w:t>
            </w:r>
          </w:p>
        </w:tc>
        <w:tc>
          <w:tcPr>
            <w:tcW w:w="4215" w:type="dxa"/>
          </w:tcPr>
          <w:p w14:paraId="1C89552C" w14:textId="77777777" w:rsidR="006E5CB8" w:rsidRPr="00B01F9E" w:rsidRDefault="006E5CB8" w:rsidP="0016170A">
            <w:pPr>
              <w:rPr>
                <w:rFonts w:ascii="Arial" w:hAnsi="Arial" w:cs="Arial"/>
                <w:sz w:val="20"/>
                <w:szCs w:val="20"/>
              </w:rPr>
            </w:pPr>
            <w:r w:rsidRPr="00B01F9E">
              <w:rPr>
                <w:rFonts w:ascii="Arial" w:hAnsi="Arial" w:cs="Arial"/>
                <w:sz w:val="20"/>
                <w:szCs w:val="20"/>
              </w:rPr>
              <w:t>1-2</w:t>
            </w:r>
          </w:p>
        </w:tc>
      </w:tr>
      <w:tr w:rsidR="006E5CB8" w:rsidRPr="00B01F9E" w14:paraId="7A6D6025" w14:textId="77777777" w:rsidTr="0016170A">
        <w:tc>
          <w:tcPr>
            <w:tcW w:w="1083" w:type="dxa"/>
            <w:vMerge/>
          </w:tcPr>
          <w:p w14:paraId="06AC0776" w14:textId="77777777" w:rsidR="006E5CB8" w:rsidRPr="00B01F9E" w:rsidRDefault="006E5CB8" w:rsidP="0016170A">
            <w:pPr>
              <w:rPr>
                <w:rFonts w:ascii="Arial" w:hAnsi="Arial" w:cs="Arial"/>
                <w:sz w:val="20"/>
                <w:szCs w:val="20"/>
              </w:rPr>
            </w:pPr>
          </w:p>
        </w:tc>
        <w:tc>
          <w:tcPr>
            <w:tcW w:w="3502" w:type="dxa"/>
            <w:vMerge/>
          </w:tcPr>
          <w:p w14:paraId="10A6FFB4" w14:textId="77777777" w:rsidR="006E5CB8" w:rsidRPr="00B01F9E" w:rsidRDefault="006E5CB8" w:rsidP="0016170A">
            <w:pPr>
              <w:rPr>
                <w:rFonts w:ascii="Arial" w:hAnsi="Arial" w:cs="Arial"/>
                <w:sz w:val="20"/>
                <w:szCs w:val="20"/>
              </w:rPr>
            </w:pPr>
          </w:p>
        </w:tc>
        <w:tc>
          <w:tcPr>
            <w:tcW w:w="4215" w:type="dxa"/>
          </w:tcPr>
          <w:p w14:paraId="7C2A362D" w14:textId="77777777" w:rsidR="006E5CB8" w:rsidRPr="00B01F9E" w:rsidRDefault="006E5CB8" w:rsidP="0016170A">
            <w:pPr>
              <w:rPr>
                <w:rFonts w:ascii="Arial" w:hAnsi="Arial" w:cs="Arial"/>
                <w:sz w:val="20"/>
                <w:szCs w:val="20"/>
              </w:rPr>
            </w:pPr>
            <w:r w:rsidRPr="00B01F9E">
              <w:rPr>
                <w:rFonts w:ascii="Arial" w:hAnsi="Arial" w:cs="Arial"/>
                <w:sz w:val="20"/>
                <w:szCs w:val="20"/>
              </w:rPr>
              <w:t>3-5</w:t>
            </w:r>
          </w:p>
        </w:tc>
      </w:tr>
      <w:tr w:rsidR="006E5CB8" w:rsidRPr="00B01F9E" w14:paraId="5681E29F" w14:textId="77777777" w:rsidTr="0016170A">
        <w:tc>
          <w:tcPr>
            <w:tcW w:w="1083" w:type="dxa"/>
            <w:vMerge/>
          </w:tcPr>
          <w:p w14:paraId="510E58C3" w14:textId="77777777" w:rsidR="006E5CB8" w:rsidRPr="00B01F9E" w:rsidRDefault="006E5CB8" w:rsidP="0016170A">
            <w:pPr>
              <w:rPr>
                <w:rFonts w:ascii="Arial" w:hAnsi="Arial" w:cs="Arial"/>
                <w:sz w:val="20"/>
                <w:szCs w:val="20"/>
              </w:rPr>
            </w:pPr>
          </w:p>
        </w:tc>
        <w:tc>
          <w:tcPr>
            <w:tcW w:w="3502" w:type="dxa"/>
            <w:vMerge/>
          </w:tcPr>
          <w:p w14:paraId="2E700B48" w14:textId="77777777" w:rsidR="006E5CB8" w:rsidRPr="00B01F9E" w:rsidRDefault="006E5CB8" w:rsidP="0016170A">
            <w:pPr>
              <w:rPr>
                <w:rFonts w:ascii="Arial" w:hAnsi="Arial" w:cs="Arial"/>
                <w:sz w:val="20"/>
                <w:szCs w:val="20"/>
              </w:rPr>
            </w:pPr>
          </w:p>
        </w:tc>
        <w:tc>
          <w:tcPr>
            <w:tcW w:w="4215" w:type="dxa"/>
          </w:tcPr>
          <w:p w14:paraId="53B4B49E" w14:textId="77777777" w:rsidR="006E5CB8" w:rsidRPr="00B01F9E" w:rsidRDefault="006E5CB8" w:rsidP="0016170A">
            <w:pPr>
              <w:rPr>
                <w:rFonts w:ascii="Arial" w:hAnsi="Arial" w:cs="Arial"/>
                <w:sz w:val="20"/>
                <w:szCs w:val="20"/>
              </w:rPr>
            </w:pPr>
            <w:r w:rsidRPr="00B01F9E">
              <w:rPr>
                <w:rFonts w:ascii="Arial" w:hAnsi="Arial" w:cs="Arial"/>
                <w:sz w:val="20"/>
                <w:szCs w:val="20"/>
              </w:rPr>
              <w:t>6-10</w:t>
            </w:r>
          </w:p>
        </w:tc>
      </w:tr>
      <w:tr w:rsidR="006E5CB8" w:rsidRPr="00B01F9E" w14:paraId="36E97A3D" w14:textId="77777777" w:rsidTr="0016170A">
        <w:tc>
          <w:tcPr>
            <w:tcW w:w="1083" w:type="dxa"/>
            <w:vMerge/>
          </w:tcPr>
          <w:p w14:paraId="4FDFC3B4" w14:textId="77777777" w:rsidR="006E5CB8" w:rsidRPr="00B01F9E" w:rsidRDefault="006E5CB8" w:rsidP="0016170A">
            <w:pPr>
              <w:rPr>
                <w:rFonts w:ascii="Arial" w:hAnsi="Arial" w:cs="Arial"/>
                <w:sz w:val="20"/>
                <w:szCs w:val="20"/>
              </w:rPr>
            </w:pPr>
          </w:p>
        </w:tc>
        <w:tc>
          <w:tcPr>
            <w:tcW w:w="3502" w:type="dxa"/>
            <w:vMerge/>
          </w:tcPr>
          <w:p w14:paraId="5663B757" w14:textId="77777777" w:rsidR="006E5CB8" w:rsidRPr="00B01F9E" w:rsidRDefault="006E5CB8" w:rsidP="0016170A">
            <w:pPr>
              <w:rPr>
                <w:rFonts w:ascii="Arial" w:hAnsi="Arial" w:cs="Arial"/>
                <w:sz w:val="20"/>
                <w:szCs w:val="20"/>
              </w:rPr>
            </w:pPr>
          </w:p>
        </w:tc>
        <w:tc>
          <w:tcPr>
            <w:tcW w:w="4215" w:type="dxa"/>
          </w:tcPr>
          <w:p w14:paraId="49EA2710" w14:textId="77777777" w:rsidR="006E5CB8" w:rsidRPr="00B01F9E" w:rsidRDefault="006E5CB8" w:rsidP="0016170A">
            <w:pPr>
              <w:rPr>
                <w:rFonts w:ascii="Arial" w:hAnsi="Arial" w:cs="Arial"/>
                <w:sz w:val="20"/>
                <w:szCs w:val="20"/>
              </w:rPr>
            </w:pPr>
            <w:r w:rsidRPr="00B01F9E">
              <w:rPr>
                <w:rFonts w:ascii="Arial" w:hAnsi="Arial" w:cs="Arial"/>
                <w:sz w:val="20"/>
                <w:szCs w:val="20"/>
              </w:rPr>
              <w:t>More than 10</w:t>
            </w:r>
          </w:p>
        </w:tc>
      </w:tr>
      <w:tr w:rsidR="006E5CB8" w:rsidRPr="00B01F9E" w14:paraId="555EB226" w14:textId="77777777" w:rsidTr="0016170A">
        <w:tc>
          <w:tcPr>
            <w:tcW w:w="1083" w:type="dxa"/>
            <w:vMerge w:val="restart"/>
          </w:tcPr>
          <w:p w14:paraId="36033F71" w14:textId="77777777" w:rsidR="006E5CB8" w:rsidRPr="00B01F9E" w:rsidRDefault="006E5CB8" w:rsidP="0016170A">
            <w:pPr>
              <w:rPr>
                <w:rFonts w:ascii="Arial" w:hAnsi="Arial" w:cs="Arial"/>
                <w:sz w:val="20"/>
                <w:szCs w:val="20"/>
              </w:rPr>
            </w:pPr>
            <w:r w:rsidRPr="00B01F9E">
              <w:rPr>
                <w:rFonts w:ascii="Arial" w:hAnsi="Arial" w:cs="Arial"/>
                <w:sz w:val="20"/>
                <w:szCs w:val="20"/>
              </w:rPr>
              <w:t>22</w:t>
            </w:r>
          </w:p>
        </w:tc>
        <w:tc>
          <w:tcPr>
            <w:tcW w:w="3502" w:type="dxa"/>
            <w:vMerge w:val="restart"/>
          </w:tcPr>
          <w:p w14:paraId="35A59E41" w14:textId="77777777" w:rsidR="006E5CB8" w:rsidRPr="00B01F9E" w:rsidRDefault="006E5CB8" w:rsidP="0016170A">
            <w:pPr>
              <w:rPr>
                <w:rFonts w:ascii="Arial" w:hAnsi="Arial" w:cs="Arial"/>
                <w:sz w:val="20"/>
                <w:szCs w:val="20"/>
              </w:rPr>
            </w:pPr>
            <w:r w:rsidRPr="00B01F9E">
              <w:rPr>
                <w:rFonts w:ascii="Arial" w:hAnsi="Arial" w:cs="Arial"/>
                <w:sz w:val="20"/>
                <w:szCs w:val="20"/>
              </w:rPr>
              <w:t>How many personnel were involved in the testing phase? </w:t>
            </w:r>
          </w:p>
        </w:tc>
        <w:tc>
          <w:tcPr>
            <w:tcW w:w="4215" w:type="dxa"/>
          </w:tcPr>
          <w:p w14:paraId="11DC8ECB" w14:textId="77777777" w:rsidR="006E5CB8" w:rsidRPr="00B01F9E" w:rsidRDefault="006E5CB8" w:rsidP="0016170A">
            <w:pPr>
              <w:rPr>
                <w:rFonts w:ascii="Arial" w:hAnsi="Arial" w:cs="Arial"/>
                <w:sz w:val="20"/>
                <w:szCs w:val="20"/>
              </w:rPr>
            </w:pPr>
            <w:r w:rsidRPr="00B01F9E">
              <w:rPr>
                <w:rFonts w:ascii="Arial" w:hAnsi="Arial" w:cs="Arial"/>
                <w:sz w:val="20"/>
                <w:szCs w:val="20"/>
              </w:rPr>
              <w:t>1-2</w:t>
            </w:r>
          </w:p>
        </w:tc>
      </w:tr>
      <w:tr w:rsidR="006E5CB8" w:rsidRPr="00B01F9E" w14:paraId="007FBF7C" w14:textId="77777777" w:rsidTr="0016170A">
        <w:tc>
          <w:tcPr>
            <w:tcW w:w="1083" w:type="dxa"/>
            <w:vMerge/>
          </w:tcPr>
          <w:p w14:paraId="2CE542AF" w14:textId="77777777" w:rsidR="006E5CB8" w:rsidRPr="00B01F9E" w:rsidRDefault="006E5CB8" w:rsidP="0016170A">
            <w:pPr>
              <w:rPr>
                <w:rFonts w:ascii="Arial" w:hAnsi="Arial" w:cs="Arial"/>
                <w:sz w:val="20"/>
                <w:szCs w:val="20"/>
              </w:rPr>
            </w:pPr>
          </w:p>
        </w:tc>
        <w:tc>
          <w:tcPr>
            <w:tcW w:w="3502" w:type="dxa"/>
            <w:vMerge/>
          </w:tcPr>
          <w:p w14:paraId="723BF61C" w14:textId="77777777" w:rsidR="006E5CB8" w:rsidRPr="00B01F9E" w:rsidRDefault="006E5CB8" w:rsidP="0016170A">
            <w:pPr>
              <w:rPr>
                <w:rFonts w:ascii="Arial" w:hAnsi="Arial" w:cs="Arial"/>
                <w:sz w:val="20"/>
                <w:szCs w:val="20"/>
              </w:rPr>
            </w:pPr>
          </w:p>
        </w:tc>
        <w:tc>
          <w:tcPr>
            <w:tcW w:w="4215" w:type="dxa"/>
          </w:tcPr>
          <w:p w14:paraId="796DB32D" w14:textId="77777777" w:rsidR="006E5CB8" w:rsidRPr="00B01F9E" w:rsidRDefault="006E5CB8" w:rsidP="0016170A">
            <w:pPr>
              <w:rPr>
                <w:rFonts w:ascii="Arial" w:hAnsi="Arial" w:cs="Arial"/>
                <w:sz w:val="20"/>
                <w:szCs w:val="20"/>
              </w:rPr>
            </w:pPr>
            <w:r w:rsidRPr="00B01F9E">
              <w:rPr>
                <w:rFonts w:ascii="Arial" w:hAnsi="Arial" w:cs="Arial"/>
                <w:sz w:val="20"/>
                <w:szCs w:val="20"/>
              </w:rPr>
              <w:t>3-5</w:t>
            </w:r>
          </w:p>
        </w:tc>
      </w:tr>
      <w:tr w:rsidR="006E5CB8" w:rsidRPr="00B01F9E" w14:paraId="380B1137" w14:textId="77777777" w:rsidTr="0016170A">
        <w:tc>
          <w:tcPr>
            <w:tcW w:w="1083" w:type="dxa"/>
            <w:vMerge/>
          </w:tcPr>
          <w:p w14:paraId="3FE1B9E9" w14:textId="77777777" w:rsidR="006E5CB8" w:rsidRPr="00B01F9E" w:rsidRDefault="006E5CB8" w:rsidP="0016170A">
            <w:pPr>
              <w:rPr>
                <w:rFonts w:ascii="Arial" w:hAnsi="Arial" w:cs="Arial"/>
                <w:sz w:val="20"/>
                <w:szCs w:val="20"/>
              </w:rPr>
            </w:pPr>
          </w:p>
        </w:tc>
        <w:tc>
          <w:tcPr>
            <w:tcW w:w="3502" w:type="dxa"/>
            <w:vMerge/>
          </w:tcPr>
          <w:p w14:paraId="51A5EC85" w14:textId="77777777" w:rsidR="006E5CB8" w:rsidRPr="00B01F9E" w:rsidRDefault="006E5CB8" w:rsidP="0016170A">
            <w:pPr>
              <w:rPr>
                <w:rFonts w:ascii="Arial" w:hAnsi="Arial" w:cs="Arial"/>
                <w:sz w:val="20"/>
                <w:szCs w:val="20"/>
              </w:rPr>
            </w:pPr>
          </w:p>
        </w:tc>
        <w:tc>
          <w:tcPr>
            <w:tcW w:w="4215" w:type="dxa"/>
          </w:tcPr>
          <w:p w14:paraId="05FC385E" w14:textId="77777777" w:rsidR="006E5CB8" w:rsidRPr="00B01F9E" w:rsidRDefault="006E5CB8" w:rsidP="0016170A">
            <w:pPr>
              <w:rPr>
                <w:rFonts w:ascii="Arial" w:hAnsi="Arial" w:cs="Arial"/>
                <w:sz w:val="20"/>
                <w:szCs w:val="20"/>
              </w:rPr>
            </w:pPr>
            <w:r w:rsidRPr="00B01F9E">
              <w:rPr>
                <w:rFonts w:ascii="Arial" w:hAnsi="Arial" w:cs="Arial"/>
                <w:sz w:val="20"/>
                <w:szCs w:val="20"/>
              </w:rPr>
              <w:t>6-10</w:t>
            </w:r>
          </w:p>
        </w:tc>
      </w:tr>
      <w:tr w:rsidR="006E5CB8" w:rsidRPr="00B01F9E" w14:paraId="77A3397D" w14:textId="77777777" w:rsidTr="0016170A">
        <w:tc>
          <w:tcPr>
            <w:tcW w:w="1083" w:type="dxa"/>
            <w:vMerge/>
          </w:tcPr>
          <w:p w14:paraId="1BA0451F" w14:textId="77777777" w:rsidR="006E5CB8" w:rsidRPr="00B01F9E" w:rsidRDefault="006E5CB8" w:rsidP="0016170A">
            <w:pPr>
              <w:rPr>
                <w:rFonts w:ascii="Arial" w:hAnsi="Arial" w:cs="Arial"/>
                <w:sz w:val="20"/>
                <w:szCs w:val="20"/>
              </w:rPr>
            </w:pPr>
          </w:p>
        </w:tc>
        <w:tc>
          <w:tcPr>
            <w:tcW w:w="3502" w:type="dxa"/>
            <w:vMerge/>
          </w:tcPr>
          <w:p w14:paraId="6E887D71" w14:textId="77777777" w:rsidR="006E5CB8" w:rsidRPr="00B01F9E" w:rsidRDefault="006E5CB8" w:rsidP="0016170A">
            <w:pPr>
              <w:rPr>
                <w:rFonts w:ascii="Arial" w:hAnsi="Arial" w:cs="Arial"/>
                <w:sz w:val="20"/>
                <w:szCs w:val="20"/>
              </w:rPr>
            </w:pPr>
          </w:p>
        </w:tc>
        <w:tc>
          <w:tcPr>
            <w:tcW w:w="4215" w:type="dxa"/>
          </w:tcPr>
          <w:p w14:paraId="3459E497" w14:textId="77777777" w:rsidR="006E5CB8" w:rsidRPr="00B01F9E" w:rsidRDefault="006E5CB8" w:rsidP="0016170A">
            <w:pPr>
              <w:rPr>
                <w:rFonts w:ascii="Arial" w:hAnsi="Arial" w:cs="Arial"/>
                <w:sz w:val="20"/>
                <w:szCs w:val="20"/>
              </w:rPr>
            </w:pPr>
            <w:r w:rsidRPr="00B01F9E">
              <w:rPr>
                <w:rFonts w:ascii="Arial" w:hAnsi="Arial" w:cs="Arial"/>
                <w:sz w:val="20"/>
                <w:szCs w:val="20"/>
              </w:rPr>
              <w:t>More than 10</w:t>
            </w:r>
          </w:p>
        </w:tc>
      </w:tr>
      <w:tr w:rsidR="006E5CB8" w:rsidRPr="00B01F9E" w14:paraId="6C6A29BC" w14:textId="77777777" w:rsidTr="0016170A">
        <w:tc>
          <w:tcPr>
            <w:tcW w:w="1083" w:type="dxa"/>
          </w:tcPr>
          <w:p w14:paraId="4BE158EF" w14:textId="77777777" w:rsidR="006E5CB8" w:rsidRPr="00B01F9E" w:rsidRDefault="006E5CB8" w:rsidP="0016170A">
            <w:pPr>
              <w:rPr>
                <w:rFonts w:ascii="Arial" w:hAnsi="Arial" w:cs="Arial"/>
                <w:sz w:val="20"/>
                <w:szCs w:val="20"/>
              </w:rPr>
            </w:pPr>
            <w:r w:rsidRPr="00B01F9E">
              <w:rPr>
                <w:rFonts w:ascii="Arial" w:hAnsi="Arial" w:cs="Arial"/>
                <w:sz w:val="20"/>
                <w:szCs w:val="20"/>
              </w:rPr>
              <w:t>23</w:t>
            </w:r>
          </w:p>
        </w:tc>
        <w:tc>
          <w:tcPr>
            <w:tcW w:w="3502" w:type="dxa"/>
          </w:tcPr>
          <w:p w14:paraId="1F1DB1A7" w14:textId="77777777" w:rsidR="006E5CB8" w:rsidRPr="00B01F9E" w:rsidRDefault="006E5CB8" w:rsidP="0016170A">
            <w:pPr>
              <w:rPr>
                <w:rFonts w:ascii="Arial" w:hAnsi="Arial" w:cs="Arial"/>
                <w:sz w:val="20"/>
                <w:szCs w:val="20"/>
              </w:rPr>
            </w:pPr>
            <w:r w:rsidRPr="00B01F9E">
              <w:rPr>
                <w:rFonts w:ascii="Arial" w:hAnsi="Arial" w:cs="Arial"/>
                <w:b/>
                <w:bCs/>
                <w:sz w:val="20"/>
                <w:szCs w:val="20"/>
              </w:rPr>
              <w:t>Provide feedback as to what worked well.</w:t>
            </w:r>
            <w:r w:rsidRPr="00B01F9E">
              <w:rPr>
                <w:rFonts w:ascii="Arial" w:hAnsi="Arial" w:cs="Arial"/>
                <w:sz w:val="20"/>
                <w:szCs w:val="20"/>
              </w:rPr>
              <w:t> Some topics to consider are:</w:t>
            </w:r>
          </w:p>
          <w:p w14:paraId="51350B90" w14:textId="77777777" w:rsidR="006E5CB8" w:rsidRPr="00B01F9E" w:rsidRDefault="006E5CB8" w:rsidP="0016170A">
            <w:pPr>
              <w:numPr>
                <w:ilvl w:val="0"/>
                <w:numId w:val="52"/>
              </w:numPr>
              <w:rPr>
                <w:rFonts w:ascii="Arial" w:hAnsi="Arial" w:cs="Arial"/>
                <w:sz w:val="20"/>
                <w:szCs w:val="20"/>
              </w:rPr>
            </w:pPr>
            <w:r w:rsidRPr="00B01F9E">
              <w:rPr>
                <w:rFonts w:ascii="Arial" w:hAnsi="Arial" w:cs="Arial"/>
                <w:sz w:val="20"/>
                <w:szCs w:val="20"/>
              </w:rPr>
              <w:t>What should we make sure we do again in the future? </w:t>
            </w:r>
          </w:p>
          <w:p w14:paraId="3692E17A" w14:textId="6E383337" w:rsidR="006E5CB8" w:rsidRPr="00B01F9E" w:rsidRDefault="006E5CB8" w:rsidP="0016170A">
            <w:pPr>
              <w:numPr>
                <w:ilvl w:val="0"/>
                <w:numId w:val="52"/>
              </w:numPr>
              <w:rPr>
                <w:rFonts w:ascii="Arial" w:hAnsi="Arial" w:cs="Arial"/>
                <w:sz w:val="20"/>
                <w:szCs w:val="20"/>
              </w:rPr>
            </w:pPr>
            <w:r w:rsidRPr="00B01F9E">
              <w:rPr>
                <w:rFonts w:ascii="Arial" w:hAnsi="Arial" w:cs="Arial"/>
                <w:sz w:val="20"/>
                <w:szCs w:val="20"/>
              </w:rPr>
              <w:t>What tools or techniques proved to be useful?</w:t>
            </w:r>
          </w:p>
        </w:tc>
        <w:tc>
          <w:tcPr>
            <w:tcW w:w="4215" w:type="dxa"/>
          </w:tcPr>
          <w:p w14:paraId="38B0A9AD" w14:textId="77777777" w:rsidR="006E5CB8" w:rsidRPr="00B01F9E" w:rsidRDefault="006E5CB8" w:rsidP="0016170A">
            <w:pPr>
              <w:rPr>
                <w:rFonts w:ascii="Arial" w:hAnsi="Arial" w:cs="Arial"/>
                <w:sz w:val="20"/>
                <w:szCs w:val="20"/>
              </w:rPr>
            </w:pPr>
            <w:r w:rsidRPr="00B01F9E">
              <w:rPr>
                <w:rFonts w:ascii="Arial" w:hAnsi="Arial" w:cs="Arial"/>
                <w:sz w:val="20"/>
                <w:szCs w:val="20"/>
              </w:rPr>
              <w:t>Open-ended question</w:t>
            </w:r>
          </w:p>
        </w:tc>
      </w:tr>
      <w:tr w:rsidR="006E5CB8" w:rsidRPr="00B01F9E" w14:paraId="582924FE" w14:textId="77777777" w:rsidTr="0016170A">
        <w:tc>
          <w:tcPr>
            <w:tcW w:w="1083" w:type="dxa"/>
          </w:tcPr>
          <w:p w14:paraId="3FD013F9" w14:textId="77777777" w:rsidR="006E5CB8" w:rsidRPr="00B01F9E" w:rsidRDefault="006E5CB8" w:rsidP="0016170A">
            <w:pPr>
              <w:rPr>
                <w:rFonts w:ascii="Arial" w:hAnsi="Arial" w:cs="Arial"/>
                <w:sz w:val="20"/>
                <w:szCs w:val="20"/>
              </w:rPr>
            </w:pPr>
            <w:r w:rsidRPr="00B01F9E">
              <w:rPr>
                <w:rFonts w:ascii="Arial" w:hAnsi="Arial" w:cs="Arial"/>
                <w:sz w:val="20"/>
                <w:szCs w:val="20"/>
              </w:rPr>
              <w:t>24</w:t>
            </w:r>
          </w:p>
        </w:tc>
        <w:tc>
          <w:tcPr>
            <w:tcW w:w="3502" w:type="dxa"/>
          </w:tcPr>
          <w:p w14:paraId="2C9B08E8" w14:textId="77777777" w:rsidR="006E5CB8" w:rsidRPr="00B01F9E" w:rsidRDefault="006E5CB8" w:rsidP="0016170A">
            <w:pPr>
              <w:rPr>
                <w:rFonts w:ascii="Arial" w:hAnsi="Arial" w:cs="Arial"/>
                <w:sz w:val="20"/>
                <w:szCs w:val="20"/>
              </w:rPr>
            </w:pPr>
            <w:r w:rsidRPr="00B01F9E">
              <w:rPr>
                <w:rFonts w:ascii="Arial" w:hAnsi="Arial" w:cs="Arial"/>
                <w:b/>
                <w:bCs/>
                <w:sz w:val="20"/>
                <w:szCs w:val="20"/>
              </w:rPr>
              <w:t>Provide feedback for challenges faced. </w:t>
            </w:r>
            <w:r w:rsidRPr="00B01F9E">
              <w:rPr>
                <w:rFonts w:ascii="Arial" w:hAnsi="Arial" w:cs="Arial"/>
                <w:sz w:val="20"/>
                <w:szCs w:val="20"/>
              </w:rPr>
              <w:t>Some topics to consider are: </w:t>
            </w:r>
          </w:p>
          <w:p w14:paraId="52B170C4" w14:textId="77777777" w:rsidR="006E5CB8" w:rsidRPr="00B01F9E" w:rsidRDefault="006E5CB8" w:rsidP="0016170A">
            <w:pPr>
              <w:numPr>
                <w:ilvl w:val="0"/>
                <w:numId w:val="53"/>
              </w:numPr>
              <w:rPr>
                <w:rFonts w:ascii="Arial" w:hAnsi="Arial" w:cs="Arial"/>
                <w:sz w:val="20"/>
                <w:szCs w:val="20"/>
              </w:rPr>
            </w:pPr>
            <w:r w:rsidRPr="00B01F9E">
              <w:rPr>
                <w:rFonts w:ascii="Arial" w:hAnsi="Arial" w:cs="Arial"/>
                <w:sz w:val="20"/>
                <w:szCs w:val="20"/>
              </w:rPr>
              <w:t>What was unexpected? What tools or techniques were not useful? </w:t>
            </w:r>
          </w:p>
          <w:p w14:paraId="7C3FE9CA" w14:textId="77777777" w:rsidR="006E5CB8" w:rsidRPr="00B01F9E" w:rsidRDefault="006E5CB8" w:rsidP="0016170A">
            <w:pPr>
              <w:numPr>
                <w:ilvl w:val="0"/>
                <w:numId w:val="53"/>
              </w:numPr>
              <w:rPr>
                <w:rFonts w:ascii="Arial" w:hAnsi="Arial" w:cs="Arial"/>
                <w:sz w:val="20"/>
                <w:szCs w:val="20"/>
              </w:rPr>
            </w:pPr>
            <w:r w:rsidRPr="00B01F9E">
              <w:rPr>
                <w:rFonts w:ascii="Arial" w:hAnsi="Arial" w:cs="Arial"/>
                <w:sz w:val="20"/>
                <w:szCs w:val="20"/>
              </w:rPr>
              <w:t>What was the biggest impediment? </w:t>
            </w:r>
          </w:p>
          <w:p w14:paraId="3AF8DB60" w14:textId="77777777" w:rsidR="006E5CB8" w:rsidRPr="00B01F9E" w:rsidRDefault="006E5CB8" w:rsidP="0016170A">
            <w:pPr>
              <w:numPr>
                <w:ilvl w:val="0"/>
                <w:numId w:val="53"/>
              </w:numPr>
              <w:rPr>
                <w:rFonts w:ascii="Arial" w:hAnsi="Arial" w:cs="Arial"/>
                <w:sz w:val="20"/>
                <w:szCs w:val="20"/>
              </w:rPr>
            </w:pPr>
            <w:r w:rsidRPr="00B01F9E">
              <w:rPr>
                <w:rFonts w:ascii="Arial" w:hAnsi="Arial" w:cs="Arial"/>
                <w:sz w:val="20"/>
                <w:szCs w:val="20"/>
              </w:rPr>
              <w:t>Which of our methods or processes were difficult or frustrating to use? </w:t>
            </w:r>
          </w:p>
          <w:p w14:paraId="7804C86A" w14:textId="77777777" w:rsidR="006E5CB8" w:rsidRPr="00B01F9E" w:rsidRDefault="006E5CB8" w:rsidP="0016170A">
            <w:pPr>
              <w:rPr>
                <w:rFonts w:ascii="Arial" w:hAnsi="Arial" w:cs="Arial"/>
                <w:sz w:val="20"/>
                <w:szCs w:val="20"/>
              </w:rPr>
            </w:pPr>
          </w:p>
        </w:tc>
        <w:tc>
          <w:tcPr>
            <w:tcW w:w="4215" w:type="dxa"/>
          </w:tcPr>
          <w:p w14:paraId="386D6785" w14:textId="77777777" w:rsidR="006E5CB8" w:rsidRPr="00B01F9E" w:rsidRDefault="006E5CB8" w:rsidP="0016170A">
            <w:pPr>
              <w:rPr>
                <w:rFonts w:ascii="Arial" w:hAnsi="Arial" w:cs="Arial"/>
                <w:sz w:val="20"/>
                <w:szCs w:val="20"/>
              </w:rPr>
            </w:pPr>
            <w:r w:rsidRPr="00B01F9E">
              <w:rPr>
                <w:rFonts w:ascii="Arial" w:hAnsi="Arial" w:cs="Arial"/>
                <w:sz w:val="20"/>
                <w:szCs w:val="20"/>
              </w:rPr>
              <w:lastRenderedPageBreak/>
              <w:t>Open-ended question</w:t>
            </w:r>
          </w:p>
        </w:tc>
      </w:tr>
      <w:tr w:rsidR="00AD29E2" w:rsidRPr="00B01F9E" w14:paraId="5E573B86" w14:textId="77777777" w:rsidTr="0016170A">
        <w:tc>
          <w:tcPr>
            <w:tcW w:w="1083" w:type="dxa"/>
          </w:tcPr>
          <w:p w14:paraId="4B3F667B" w14:textId="5A0D10A1" w:rsidR="00AD29E2" w:rsidRPr="00B01F9E" w:rsidRDefault="00AD29E2" w:rsidP="0016170A">
            <w:pPr>
              <w:rPr>
                <w:rFonts w:ascii="Arial" w:hAnsi="Arial" w:cs="Arial"/>
                <w:sz w:val="20"/>
                <w:szCs w:val="20"/>
              </w:rPr>
            </w:pPr>
            <w:r w:rsidRPr="00B01F9E">
              <w:rPr>
                <w:rFonts w:ascii="Arial" w:hAnsi="Arial" w:cs="Arial"/>
                <w:sz w:val="20"/>
                <w:szCs w:val="20"/>
              </w:rPr>
              <w:t>25.</w:t>
            </w:r>
          </w:p>
        </w:tc>
        <w:tc>
          <w:tcPr>
            <w:tcW w:w="7717" w:type="dxa"/>
            <w:gridSpan w:val="2"/>
          </w:tcPr>
          <w:p w14:paraId="17EF9C98" w14:textId="3EBB0BEF" w:rsidR="00AD29E2" w:rsidRPr="00B01F9E" w:rsidRDefault="00625407" w:rsidP="0016170A">
            <w:pPr>
              <w:rPr>
                <w:rFonts w:ascii="Arial" w:hAnsi="Arial" w:cs="Arial"/>
                <w:sz w:val="20"/>
                <w:szCs w:val="20"/>
              </w:rPr>
            </w:pPr>
            <w:r w:rsidRPr="00B01F9E">
              <w:rPr>
                <w:rFonts w:ascii="Arial" w:hAnsi="Arial" w:cs="Arial"/>
                <w:sz w:val="20"/>
                <w:szCs w:val="20"/>
              </w:rPr>
              <w:t xml:space="preserve">Rate how well you agree or disagree with the following statements: </w:t>
            </w:r>
          </w:p>
        </w:tc>
      </w:tr>
      <w:tr w:rsidR="006E5CB8" w:rsidRPr="00B01F9E" w14:paraId="3F66AF56" w14:textId="77777777" w:rsidTr="0016170A">
        <w:tc>
          <w:tcPr>
            <w:tcW w:w="1083" w:type="dxa"/>
            <w:vMerge w:val="restart"/>
          </w:tcPr>
          <w:p w14:paraId="01CD299F" w14:textId="77777777" w:rsidR="006E5CB8" w:rsidRPr="00B01F9E" w:rsidRDefault="006E5CB8" w:rsidP="0016170A">
            <w:pPr>
              <w:rPr>
                <w:rFonts w:ascii="Arial" w:hAnsi="Arial" w:cs="Arial"/>
                <w:sz w:val="20"/>
                <w:szCs w:val="20"/>
              </w:rPr>
            </w:pPr>
            <w:r w:rsidRPr="00B01F9E">
              <w:rPr>
                <w:rFonts w:ascii="Arial" w:hAnsi="Arial" w:cs="Arial"/>
                <w:sz w:val="20"/>
                <w:szCs w:val="20"/>
              </w:rPr>
              <w:t>25.1</w:t>
            </w:r>
          </w:p>
        </w:tc>
        <w:tc>
          <w:tcPr>
            <w:tcW w:w="3502" w:type="dxa"/>
            <w:vMerge w:val="restart"/>
          </w:tcPr>
          <w:p w14:paraId="36C262B9" w14:textId="77777777" w:rsidR="006E5CB8" w:rsidRPr="00B01F9E" w:rsidRDefault="006E5CB8" w:rsidP="0016170A">
            <w:pPr>
              <w:rPr>
                <w:rFonts w:ascii="Arial" w:hAnsi="Arial" w:cs="Arial"/>
                <w:sz w:val="20"/>
                <w:szCs w:val="20"/>
              </w:rPr>
            </w:pPr>
            <w:r w:rsidRPr="00B01F9E">
              <w:rPr>
                <w:rFonts w:ascii="Arial" w:hAnsi="Arial" w:cs="Arial"/>
                <w:sz w:val="20"/>
                <w:szCs w:val="20"/>
              </w:rPr>
              <w:t>I clearly understood the project’s objectives and scope</w:t>
            </w:r>
          </w:p>
        </w:tc>
        <w:tc>
          <w:tcPr>
            <w:tcW w:w="4215" w:type="dxa"/>
          </w:tcPr>
          <w:p w14:paraId="1BF920A9" w14:textId="77777777" w:rsidR="006E5CB8" w:rsidRPr="00B01F9E" w:rsidRDefault="006E5CB8" w:rsidP="0016170A">
            <w:pPr>
              <w:rPr>
                <w:rFonts w:ascii="Arial" w:hAnsi="Arial" w:cs="Arial"/>
                <w:sz w:val="20"/>
                <w:szCs w:val="20"/>
              </w:rPr>
            </w:pPr>
            <w:r w:rsidRPr="00B01F9E">
              <w:rPr>
                <w:rFonts w:ascii="Arial" w:hAnsi="Arial" w:cs="Arial"/>
                <w:sz w:val="20"/>
                <w:szCs w:val="20"/>
              </w:rPr>
              <w:t>Strongly Agree</w:t>
            </w:r>
          </w:p>
        </w:tc>
      </w:tr>
      <w:tr w:rsidR="006E5CB8" w:rsidRPr="00B01F9E" w14:paraId="71A89DC0" w14:textId="77777777" w:rsidTr="0016170A">
        <w:tc>
          <w:tcPr>
            <w:tcW w:w="1083" w:type="dxa"/>
            <w:vMerge/>
          </w:tcPr>
          <w:p w14:paraId="61615C11" w14:textId="77777777" w:rsidR="006E5CB8" w:rsidRPr="00B01F9E" w:rsidRDefault="006E5CB8" w:rsidP="0016170A">
            <w:pPr>
              <w:rPr>
                <w:rFonts w:ascii="Arial" w:hAnsi="Arial" w:cs="Arial"/>
                <w:sz w:val="20"/>
                <w:szCs w:val="20"/>
              </w:rPr>
            </w:pPr>
          </w:p>
        </w:tc>
        <w:tc>
          <w:tcPr>
            <w:tcW w:w="3502" w:type="dxa"/>
            <w:vMerge/>
          </w:tcPr>
          <w:p w14:paraId="6F15F29B" w14:textId="77777777" w:rsidR="006E5CB8" w:rsidRPr="00B01F9E" w:rsidRDefault="006E5CB8" w:rsidP="0016170A">
            <w:pPr>
              <w:rPr>
                <w:rFonts w:ascii="Arial" w:hAnsi="Arial" w:cs="Arial"/>
                <w:sz w:val="20"/>
                <w:szCs w:val="20"/>
              </w:rPr>
            </w:pPr>
          </w:p>
        </w:tc>
        <w:tc>
          <w:tcPr>
            <w:tcW w:w="4215" w:type="dxa"/>
          </w:tcPr>
          <w:p w14:paraId="50A55487" w14:textId="77777777" w:rsidR="006E5CB8" w:rsidRPr="00B01F9E" w:rsidRDefault="006E5CB8" w:rsidP="0016170A">
            <w:pPr>
              <w:rPr>
                <w:rFonts w:ascii="Arial" w:hAnsi="Arial" w:cs="Arial"/>
                <w:sz w:val="20"/>
                <w:szCs w:val="20"/>
              </w:rPr>
            </w:pPr>
            <w:r w:rsidRPr="00B01F9E">
              <w:rPr>
                <w:rFonts w:ascii="Arial" w:hAnsi="Arial" w:cs="Arial"/>
                <w:sz w:val="20"/>
                <w:szCs w:val="20"/>
              </w:rPr>
              <w:t>Agree</w:t>
            </w:r>
          </w:p>
        </w:tc>
      </w:tr>
      <w:tr w:rsidR="006E5CB8" w:rsidRPr="00B01F9E" w14:paraId="05DD2D3F" w14:textId="77777777" w:rsidTr="0016170A">
        <w:tc>
          <w:tcPr>
            <w:tcW w:w="1083" w:type="dxa"/>
            <w:vMerge/>
          </w:tcPr>
          <w:p w14:paraId="6CB8BF5D" w14:textId="77777777" w:rsidR="006E5CB8" w:rsidRPr="00B01F9E" w:rsidRDefault="006E5CB8" w:rsidP="0016170A">
            <w:pPr>
              <w:rPr>
                <w:rFonts w:ascii="Arial" w:hAnsi="Arial" w:cs="Arial"/>
                <w:sz w:val="20"/>
                <w:szCs w:val="20"/>
              </w:rPr>
            </w:pPr>
          </w:p>
        </w:tc>
        <w:tc>
          <w:tcPr>
            <w:tcW w:w="3502" w:type="dxa"/>
            <w:vMerge/>
          </w:tcPr>
          <w:p w14:paraId="0692534A" w14:textId="77777777" w:rsidR="006E5CB8" w:rsidRPr="00B01F9E" w:rsidRDefault="006E5CB8" w:rsidP="0016170A">
            <w:pPr>
              <w:rPr>
                <w:rFonts w:ascii="Arial" w:hAnsi="Arial" w:cs="Arial"/>
                <w:sz w:val="20"/>
                <w:szCs w:val="20"/>
              </w:rPr>
            </w:pPr>
          </w:p>
        </w:tc>
        <w:tc>
          <w:tcPr>
            <w:tcW w:w="4215" w:type="dxa"/>
          </w:tcPr>
          <w:p w14:paraId="1ADC05F4" w14:textId="77777777" w:rsidR="006E5CB8" w:rsidRPr="00B01F9E" w:rsidRDefault="006E5CB8" w:rsidP="0016170A">
            <w:pPr>
              <w:rPr>
                <w:rFonts w:ascii="Arial" w:hAnsi="Arial" w:cs="Arial"/>
                <w:sz w:val="20"/>
                <w:szCs w:val="20"/>
              </w:rPr>
            </w:pPr>
            <w:r w:rsidRPr="00B01F9E">
              <w:rPr>
                <w:rFonts w:ascii="Arial" w:hAnsi="Arial" w:cs="Arial"/>
                <w:sz w:val="20"/>
                <w:szCs w:val="20"/>
              </w:rPr>
              <w:t>Neutral</w:t>
            </w:r>
          </w:p>
        </w:tc>
      </w:tr>
      <w:tr w:rsidR="006E5CB8" w:rsidRPr="00B01F9E" w14:paraId="2F8EB1A7" w14:textId="77777777" w:rsidTr="0016170A">
        <w:tc>
          <w:tcPr>
            <w:tcW w:w="1083" w:type="dxa"/>
            <w:vMerge/>
          </w:tcPr>
          <w:p w14:paraId="111D87EE" w14:textId="77777777" w:rsidR="006E5CB8" w:rsidRPr="00B01F9E" w:rsidRDefault="006E5CB8" w:rsidP="0016170A">
            <w:pPr>
              <w:rPr>
                <w:rFonts w:ascii="Arial" w:hAnsi="Arial" w:cs="Arial"/>
                <w:sz w:val="20"/>
                <w:szCs w:val="20"/>
              </w:rPr>
            </w:pPr>
          </w:p>
        </w:tc>
        <w:tc>
          <w:tcPr>
            <w:tcW w:w="3502" w:type="dxa"/>
            <w:vMerge/>
          </w:tcPr>
          <w:p w14:paraId="34F47839" w14:textId="77777777" w:rsidR="006E5CB8" w:rsidRPr="00B01F9E" w:rsidRDefault="006E5CB8" w:rsidP="0016170A">
            <w:pPr>
              <w:rPr>
                <w:rFonts w:ascii="Arial" w:hAnsi="Arial" w:cs="Arial"/>
                <w:sz w:val="20"/>
                <w:szCs w:val="20"/>
              </w:rPr>
            </w:pPr>
          </w:p>
        </w:tc>
        <w:tc>
          <w:tcPr>
            <w:tcW w:w="4215" w:type="dxa"/>
          </w:tcPr>
          <w:p w14:paraId="36608302" w14:textId="77777777" w:rsidR="006E5CB8" w:rsidRPr="00B01F9E" w:rsidRDefault="006E5CB8" w:rsidP="0016170A">
            <w:pPr>
              <w:rPr>
                <w:rFonts w:ascii="Arial" w:hAnsi="Arial" w:cs="Arial"/>
                <w:sz w:val="20"/>
                <w:szCs w:val="20"/>
              </w:rPr>
            </w:pPr>
            <w:r w:rsidRPr="00B01F9E">
              <w:rPr>
                <w:rFonts w:ascii="Arial" w:hAnsi="Arial" w:cs="Arial"/>
                <w:sz w:val="20"/>
                <w:szCs w:val="20"/>
              </w:rPr>
              <w:t>Disagree</w:t>
            </w:r>
          </w:p>
        </w:tc>
      </w:tr>
      <w:tr w:rsidR="006E5CB8" w:rsidRPr="00B01F9E" w14:paraId="69C2621E" w14:textId="77777777" w:rsidTr="0016170A">
        <w:tc>
          <w:tcPr>
            <w:tcW w:w="1083" w:type="dxa"/>
            <w:vMerge/>
          </w:tcPr>
          <w:p w14:paraId="104229EA" w14:textId="77777777" w:rsidR="006E5CB8" w:rsidRPr="00B01F9E" w:rsidRDefault="006E5CB8" w:rsidP="0016170A">
            <w:pPr>
              <w:rPr>
                <w:rFonts w:ascii="Arial" w:hAnsi="Arial" w:cs="Arial"/>
                <w:sz w:val="20"/>
                <w:szCs w:val="20"/>
              </w:rPr>
            </w:pPr>
          </w:p>
        </w:tc>
        <w:tc>
          <w:tcPr>
            <w:tcW w:w="3502" w:type="dxa"/>
            <w:vMerge/>
          </w:tcPr>
          <w:p w14:paraId="554EAC1B" w14:textId="77777777" w:rsidR="006E5CB8" w:rsidRPr="00B01F9E" w:rsidRDefault="006E5CB8" w:rsidP="0016170A">
            <w:pPr>
              <w:rPr>
                <w:rFonts w:ascii="Arial" w:hAnsi="Arial" w:cs="Arial"/>
                <w:sz w:val="20"/>
                <w:szCs w:val="20"/>
              </w:rPr>
            </w:pPr>
          </w:p>
        </w:tc>
        <w:tc>
          <w:tcPr>
            <w:tcW w:w="4215" w:type="dxa"/>
          </w:tcPr>
          <w:p w14:paraId="56DCA568" w14:textId="77777777" w:rsidR="006E5CB8" w:rsidRPr="00B01F9E" w:rsidRDefault="006E5CB8" w:rsidP="0016170A">
            <w:pPr>
              <w:rPr>
                <w:rFonts w:ascii="Arial" w:hAnsi="Arial" w:cs="Arial"/>
                <w:sz w:val="20"/>
                <w:szCs w:val="20"/>
              </w:rPr>
            </w:pPr>
            <w:r w:rsidRPr="00B01F9E">
              <w:rPr>
                <w:rFonts w:ascii="Arial" w:hAnsi="Arial" w:cs="Arial"/>
                <w:sz w:val="20"/>
                <w:szCs w:val="20"/>
              </w:rPr>
              <w:t>Strongly Disagree</w:t>
            </w:r>
          </w:p>
        </w:tc>
      </w:tr>
      <w:tr w:rsidR="006E5CB8" w:rsidRPr="00B01F9E" w14:paraId="38536655" w14:textId="77777777" w:rsidTr="0016170A">
        <w:tc>
          <w:tcPr>
            <w:tcW w:w="1083" w:type="dxa"/>
            <w:vMerge w:val="restart"/>
          </w:tcPr>
          <w:p w14:paraId="613B02D8" w14:textId="77777777" w:rsidR="006E5CB8" w:rsidRPr="00B01F9E" w:rsidRDefault="006E5CB8" w:rsidP="0016170A">
            <w:pPr>
              <w:rPr>
                <w:rFonts w:ascii="Arial" w:hAnsi="Arial" w:cs="Arial"/>
                <w:sz w:val="20"/>
                <w:szCs w:val="20"/>
              </w:rPr>
            </w:pPr>
            <w:r w:rsidRPr="00B01F9E">
              <w:rPr>
                <w:rFonts w:ascii="Arial" w:hAnsi="Arial" w:cs="Arial"/>
                <w:sz w:val="20"/>
                <w:szCs w:val="20"/>
              </w:rPr>
              <w:t>25.2</w:t>
            </w:r>
          </w:p>
        </w:tc>
        <w:tc>
          <w:tcPr>
            <w:tcW w:w="3502" w:type="dxa"/>
            <w:vMerge w:val="restart"/>
          </w:tcPr>
          <w:p w14:paraId="2FE91287" w14:textId="77777777" w:rsidR="006E5CB8" w:rsidRPr="00B01F9E" w:rsidRDefault="006E5CB8" w:rsidP="0016170A">
            <w:pPr>
              <w:rPr>
                <w:rFonts w:ascii="Arial" w:hAnsi="Arial" w:cs="Arial"/>
                <w:sz w:val="20"/>
                <w:szCs w:val="20"/>
              </w:rPr>
            </w:pPr>
            <w:r w:rsidRPr="00B01F9E">
              <w:rPr>
                <w:rFonts w:ascii="Arial" w:hAnsi="Arial" w:cs="Arial"/>
                <w:sz w:val="20"/>
                <w:szCs w:val="20"/>
              </w:rPr>
              <w:t>Changes to the objectives and scope were clearly communicated and understood</w:t>
            </w:r>
          </w:p>
        </w:tc>
        <w:tc>
          <w:tcPr>
            <w:tcW w:w="4215" w:type="dxa"/>
          </w:tcPr>
          <w:p w14:paraId="7CD5FCE2" w14:textId="77777777" w:rsidR="006E5CB8" w:rsidRPr="00B01F9E" w:rsidRDefault="006E5CB8" w:rsidP="0016170A">
            <w:pPr>
              <w:rPr>
                <w:rFonts w:ascii="Arial" w:hAnsi="Arial" w:cs="Arial"/>
                <w:sz w:val="20"/>
                <w:szCs w:val="20"/>
              </w:rPr>
            </w:pPr>
            <w:r w:rsidRPr="00B01F9E">
              <w:rPr>
                <w:rFonts w:ascii="Arial" w:hAnsi="Arial" w:cs="Arial"/>
                <w:sz w:val="20"/>
                <w:szCs w:val="20"/>
              </w:rPr>
              <w:t>Strongly Agree</w:t>
            </w:r>
          </w:p>
        </w:tc>
      </w:tr>
      <w:tr w:rsidR="006E5CB8" w:rsidRPr="00B01F9E" w14:paraId="404D4FB2" w14:textId="77777777" w:rsidTr="0016170A">
        <w:tc>
          <w:tcPr>
            <w:tcW w:w="1083" w:type="dxa"/>
            <w:vMerge/>
          </w:tcPr>
          <w:p w14:paraId="7289AB02" w14:textId="77777777" w:rsidR="006E5CB8" w:rsidRPr="00B01F9E" w:rsidRDefault="006E5CB8" w:rsidP="0016170A">
            <w:pPr>
              <w:rPr>
                <w:rFonts w:ascii="Arial" w:hAnsi="Arial" w:cs="Arial"/>
                <w:sz w:val="20"/>
                <w:szCs w:val="20"/>
              </w:rPr>
            </w:pPr>
          </w:p>
        </w:tc>
        <w:tc>
          <w:tcPr>
            <w:tcW w:w="3502" w:type="dxa"/>
            <w:vMerge/>
          </w:tcPr>
          <w:p w14:paraId="26726DA7" w14:textId="77777777" w:rsidR="006E5CB8" w:rsidRPr="00B01F9E" w:rsidRDefault="006E5CB8" w:rsidP="0016170A">
            <w:pPr>
              <w:rPr>
                <w:rFonts w:ascii="Arial" w:hAnsi="Arial" w:cs="Arial"/>
                <w:sz w:val="20"/>
                <w:szCs w:val="20"/>
              </w:rPr>
            </w:pPr>
          </w:p>
        </w:tc>
        <w:tc>
          <w:tcPr>
            <w:tcW w:w="4215" w:type="dxa"/>
          </w:tcPr>
          <w:p w14:paraId="144543F8" w14:textId="77777777" w:rsidR="006E5CB8" w:rsidRPr="00B01F9E" w:rsidRDefault="006E5CB8" w:rsidP="0016170A">
            <w:pPr>
              <w:rPr>
                <w:rFonts w:ascii="Arial" w:hAnsi="Arial" w:cs="Arial"/>
                <w:sz w:val="20"/>
                <w:szCs w:val="20"/>
              </w:rPr>
            </w:pPr>
            <w:r w:rsidRPr="00B01F9E">
              <w:rPr>
                <w:rFonts w:ascii="Arial" w:hAnsi="Arial" w:cs="Arial"/>
                <w:sz w:val="20"/>
                <w:szCs w:val="20"/>
              </w:rPr>
              <w:t>Agree</w:t>
            </w:r>
          </w:p>
        </w:tc>
      </w:tr>
      <w:tr w:rsidR="006E5CB8" w:rsidRPr="00B01F9E" w14:paraId="338DDE31" w14:textId="77777777" w:rsidTr="0016170A">
        <w:tc>
          <w:tcPr>
            <w:tcW w:w="1083" w:type="dxa"/>
            <w:vMerge/>
          </w:tcPr>
          <w:p w14:paraId="70F727E4" w14:textId="77777777" w:rsidR="006E5CB8" w:rsidRPr="00B01F9E" w:rsidRDefault="006E5CB8" w:rsidP="0016170A">
            <w:pPr>
              <w:rPr>
                <w:rFonts w:ascii="Arial" w:hAnsi="Arial" w:cs="Arial"/>
                <w:sz w:val="20"/>
                <w:szCs w:val="20"/>
              </w:rPr>
            </w:pPr>
          </w:p>
        </w:tc>
        <w:tc>
          <w:tcPr>
            <w:tcW w:w="3502" w:type="dxa"/>
            <w:vMerge/>
          </w:tcPr>
          <w:p w14:paraId="54C259ED" w14:textId="77777777" w:rsidR="006E5CB8" w:rsidRPr="00B01F9E" w:rsidRDefault="006E5CB8" w:rsidP="0016170A">
            <w:pPr>
              <w:rPr>
                <w:rFonts w:ascii="Arial" w:hAnsi="Arial" w:cs="Arial"/>
                <w:sz w:val="20"/>
                <w:szCs w:val="20"/>
              </w:rPr>
            </w:pPr>
          </w:p>
        </w:tc>
        <w:tc>
          <w:tcPr>
            <w:tcW w:w="4215" w:type="dxa"/>
          </w:tcPr>
          <w:p w14:paraId="1A366358" w14:textId="77777777" w:rsidR="006E5CB8" w:rsidRPr="00B01F9E" w:rsidRDefault="006E5CB8" w:rsidP="0016170A">
            <w:pPr>
              <w:rPr>
                <w:rFonts w:ascii="Arial" w:hAnsi="Arial" w:cs="Arial"/>
                <w:sz w:val="20"/>
                <w:szCs w:val="20"/>
              </w:rPr>
            </w:pPr>
            <w:r w:rsidRPr="00B01F9E">
              <w:rPr>
                <w:rFonts w:ascii="Arial" w:hAnsi="Arial" w:cs="Arial"/>
                <w:sz w:val="20"/>
                <w:szCs w:val="20"/>
              </w:rPr>
              <w:t>Neutral</w:t>
            </w:r>
          </w:p>
        </w:tc>
      </w:tr>
      <w:tr w:rsidR="006E5CB8" w:rsidRPr="00B01F9E" w14:paraId="538FF9DD" w14:textId="77777777" w:rsidTr="0016170A">
        <w:tc>
          <w:tcPr>
            <w:tcW w:w="1083" w:type="dxa"/>
            <w:vMerge/>
          </w:tcPr>
          <w:p w14:paraId="6491D29E" w14:textId="77777777" w:rsidR="006E5CB8" w:rsidRPr="00B01F9E" w:rsidRDefault="006E5CB8" w:rsidP="0016170A">
            <w:pPr>
              <w:rPr>
                <w:rFonts w:ascii="Arial" w:hAnsi="Arial" w:cs="Arial"/>
                <w:sz w:val="20"/>
                <w:szCs w:val="20"/>
              </w:rPr>
            </w:pPr>
          </w:p>
        </w:tc>
        <w:tc>
          <w:tcPr>
            <w:tcW w:w="3502" w:type="dxa"/>
            <w:vMerge/>
          </w:tcPr>
          <w:p w14:paraId="4949E8EA" w14:textId="77777777" w:rsidR="006E5CB8" w:rsidRPr="00B01F9E" w:rsidRDefault="006E5CB8" w:rsidP="0016170A">
            <w:pPr>
              <w:rPr>
                <w:rFonts w:ascii="Arial" w:hAnsi="Arial" w:cs="Arial"/>
                <w:sz w:val="20"/>
                <w:szCs w:val="20"/>
              </w:rPr>
            </w:pPr>
          </w:p>
        </w:tc>
        <w:tc>
          <w:tcPr>
            <w:tcW w:w="4215" w:type="dxa"/>
          </w:tcPr>
          <w:p w14:paraId="4CB19438" w14:textId="77777777" w:rsidR="006E5CB8" w:rsidRPr="00B01F9E" w:rsidRDefault="006E5CB8" w:rsidP="0016170A">
            <w:pPr>
              <w:rPr>
                <w:rFonts w:ascii="Arial" w:hAnsi="Arial" w:cs="Arial"/>
                <w:sz w:val="20"/>
                <w:szCs w:val="20"/>
              </w:rPr>
            </w:pPr>
            <w:r w:rsidRPr="00B01F9E">
              <w:rPr>
                <w:rFonts w:ascii="Arial" w:hAnsi="Arial" w:cs="Arial"/>
                <w:sz w:val="20"/>
                <w:szCs w:val="20"/>
              </w:rPr>
              <w:t>Disagree</w:t>
            </w:r>
          </w:p>
        </w:tc>
      </w:tr>
      <w:tr w:rsidR="006E5CB8" w:rsidRPr="00B01F9E" w14:paraId="01E65BC7" w14:textId="77777777" w:rsidTr="0016170A">
        <w:tc>
          <w:tcPr>
            <w:tcW w:w="1083" w:type="dxa"/>
            <w:vMerge/>
          </w:tcPr>
          <w:p w14:paraId="5571851A" w14:textId="77777777" w:rsidR="006E5CB8" w:rsidRPr="00B01F9E" w:rsidRDefault="006E5CB8" w:rsidP="0016170A">
            <w:pPr>
              <w:rPr>
                <w:rFonts w:ascii="Arial" w:hAnsi="Arial" w:cs="Arial"/>
                <w:sz w:val="20"/>
                <w:szCs w:val="20"/>
              </w:rPr>
            </w:pPr>
          </w:p>
        </w:tc>
        <w:tc>
          <w:tcPr>
            <w:tcW w:w="3502" w:type="dxa"/>
            <w:vMerge/>
          </w:tcPr>
          <w:p w14:paraId="7F0C0CE9" w14:textId="77777777" w:rsidR="006E5CB8" w:rsidRPr="00B01F9E" w:rsidRDefault="006E5CB8" w:rsidP="0016170A">
            <w:pPr>
              <w:rPr>
                <w:rFonts w:ascii="Arial" w:hAnsi="Arial" w:cs="Arial"/>
                <w:sz w:val="20"/>
                <w:szCs w:val="20"/>
              </w:rPr>
            </w:pPr>
          </w:p>
        </w:tc>
        <w:tc>
          <w:tcPr>
            <w:tcW w:w="4215" w:type="dxa"/>
          </w:tcPr>
          <w:p w14:paraId="2F699E30" w14:textId="77777777" w:rsidR="006E5CB8" w:rsidRPr="00B01F9E" w:rsidRDefault="006E5CB8" w:rsidP="0016170A">
            <w:pPr>
              <w:rPr>
                <w:rFonts w:ascii="Arial" w:hAnsi="Arial" w:cs="Arial"/>
                <w:sz w:val="20"/>
                <w:szCs w:val="20"/>
              </w:rPr>
            </w:pPr>
            <w:r w:rsidRPr="00B01F9E">
              <w:rPr>
                <w:rFonts w:ascii="Arial" w:hAnsi="Arial" w:cs="Arial"/>
                <w:sz w:val="20"/>
                <w:szCs w:val="20"/>
              </w:rPr>
              <w:t>Strongly Disagree</w:t>
            </w:r>
          </w:p>
        </w:tc>
      </w:tr>
      <w:tr w:rsidR="006E5CB8" w:rsidRPr="00B01F9E" w14:paraId="62375BE9" w14:textId="77777777" w:rsidTr="0016170A">
        <w:tc>
          <w:tcPr>
            <w:tcW w:w="1083" w:type="dxa"/>
            <w:vMerge w:val="restart"/>
          </w:tcPr>
          <w:p w14:paraId="7D5B8794" w14:textId="77777777" w:rsidR="006E5CB8" w:rsidRPr="00B01F9E" w:rsidRDefault="006E5CB8" w:rsidP="0016170A">
            <w:pPr>
              <w:rPr>
                <w:rFonts w:ascii="Arial" w:hAnsi="Arial" w:cs="Arial"/>
                <w:sz w:val="20"/>
                <w:szCs w:val="20"/>
              </w:rPr>
            </w:pPr>
            <w:r w:rsidRPr="00B01F9E">
              <w:rPr>
                <w:rFonts w:ascii="Arial" w:hAnsi="Arial" w:cs="Arial"/>
                <w:sz w:val="20"/>
                <w:szCs w:val="20"/>
              </w:rPr>
              <w:t>25.3</w:t>
            </w:r>
          </w:p>
        </w:tc>
        <w:tc>
          <w:tcPr>
            <w:tcW w:w="3502" w:type="dxa"/>
            <w:vMerge w:val="restart"/>
          </w:tcPr>
          <w:p w14:paraId="3B6D3201" w14:textId="77777777" w:rsidR="006E5CB8" w:rsidRPr="00B01F9E" w:rsidRDefault="006E5CB8" w:rsidP="0016170A">
            <w:pPr>
              <w:rPr>
                <w:rFonts w:ascii="Arial" w:hAnsi="Arial" w:cs="Arial"/>
                <w:sz w:val="20"/>
                <w:szCs w:val="20"/>
              </w:rPr>
            </w:pPr>
            <w:r w:rsidRPr="00B01F9E">
              <w:rPr>
                <w:rFonts w:ascii="Arial" w:hAnsi="Arial" w:cs="Arial"/>
                <w:sz w:val="20"/>
                <w:szCs w:val="20"/>
              </w:rPr>
              <w:t>Communication was effective where I was adequately informed of project status, milestones, and decisions</w:t>
            </w:r>
          </w:p>
        </w:tc>
        <w:tc>
          <w:tcPr>
            <w:tcW w:w="4215" w:type="dxa"/>
          </w:tcPr>
          <w:p w14:paraId="6E8E3FED" w14:textId="77777777" w:rsidR="006E5CB8" w:rsidRPr="00B01F9E" w:rsidRDefault="006E5CB8" w:rsidP="0016170A">
            <w:pPr>
              <w:rPr>
                <w:rFonts w:ascii="Arial" w:hAnsi="Arial" w:cs="Arial"/>
                <w:sz w:val="20"/>
                <w:szCs w:val="20"/>
              </w:rPr>
            </w:pPr>
            <w:r w:rsidRPr="00B01F9E">
              <w:rPr>
                <w:rFonts w:ascii="Arial" w:hAnsi="Arial" w:cs="Arial"/>
                <w:sz w:val="20"/>
                <w:szCs w:val="20"/>
              </w:rPr>
              <w:t>Strongly Agree</w:t>
            </w:r>
          </w:p>
        </w:tc>
      </w:tr>
      <w:tr w:rsidR="006E5CB8" w:rsidRPr="00B01F9E" w14:paraId="497FCCD6" w14:textId="77777777" w:rsidTr="0016170A">
        <w:tc>
          <w:tcPr>
            <w:tcW w:w="1083" w:type="dxa"/>
            <w:vMerge/>
          </w:tcPr>
          <w:p w14:paraId="00CDDA62" w14:textId="77777777" w:rsidR="006E5CB8" w:rsidRPr="00B01F9E" w:rsidRDefault="006E5CB8" w:rsidP="0016170A">
            <w:pPr>
              <w:rPr>
                <w:rFonts w:ascii="Arial" w:hAnsi="Arial" w:cs="Arial"/>
                <w:sz w:val="20"/>
                <w:szCs w:val="20"/>
              </w:rPr>
            </w:pPr>
          </w:p>
        </w:tc>
        <w:tc>
          <w:tcPr>
            <w:tcW w:w="3502" w:type="dxa"/>
            <w:vMerge/>
          </w:tcPr>
          <w:p w14:paraId="743F81D1" w14:textId="77777777" w:rsidR="006E5CB8" w:rsidRPr="00B01F9E" w:rsidRDefault="006E5CB8" w:rsidP="0016170A">
            <w:pPr>
              <w:rPr>
                <w:rFonts w:ascii="Arial" w:hAnsi="Arial" w:cs="Arial"/>
                <w:sz w:val="20"/>
                <w:szCs w:val="20"/>
              </w:rPr>
            </w:pPr>
          </w:p>
        </w:tc>
        <w:tc>
          <w:tcPr>
            <w:tcW w:w="4215" w:type="dxa"/>
          </w:tcPr>
          <w:p w14:paraId="760C1B4A" w14:textId="77777777" w:rsidR="006E5CB8" w:rsidRPr="00B01F9E" w:rsidRDefault="006E5CB8" w:rsidP="0016170A">
            <w:pPr>
              <w:rPr>
                <w:rFonts w:ascii="Arial" w:hAnsi="Arial" w:cs="Arial"/>
                <w:sz w:val="20"/>
                <w:szCs w:val="20"/>
              </w:rPr>
            </w:pPr>
            <w:r w:rsidRPr="00B01F9E">
              <w:rPr>
                <w:rFonts w:ascii="Arial" w:hAnsi="Arial" w:cs="Arial"/>
                <w:sz w:val="20"/>
                <w:szCs w:val="20"/>
              </w:rPr>
              <w:t>Agree</w:t>
            </w:r>
          </w:p>
        </w:tc>
      </w:tr>
      <w:tr w:rsidR="006E5CB8" w:rsidRPr="00B01F9E" w14:paraId="0D53BAA5" w14:textId="77777777" w:rsidTr="0016170A">
        <w:tc>
          <w:tcPr>
            <w:tcW w:w="1083" w:type="dxa"/>
            <w:vMerge/>
          </w:tcPr>
          <w:p w14:paraId="46E1F766" w14:textId="77777777" w:rsidR="006E5CB8" w:rsidRPr="00B01F9E" w:rsidRDefault="006E5CB8" w:rsidP="0016170A">
            <w:pPr>
              <w:rPr>
                <w:rFonts w:ascii="Arial" w:hAnsi="Arial" w:cs="Arial"/>
                <w:sz w:val="20"/>
                <w:szCs w:val="20"/>
              </w:rPr>
            </w:pPr>
          </w:p>
        </w:tc>
        <w:tc>
          <w:tcPr>
            <w:tcW w:w="3502" w:type="dxa"/>
            <w:vMerge/>
          </w:tcPr>
          <w:p w14:paraId="65DCCCBC" w14:textId="77777777" w:rsidR="006E5CB8" w:rsidRPr="00B01F9E" w:rsidRDefault="006E5CB8" w:rsidP="0016170A">
            <w:pPr>
              <w:rPr>
                <w:rFonts w:ascii="Arial" w:hAnsi="Arial" w:cs="Arial"/>
                <w:sz w:val="20"/>
                <w:szCs w:val="20"/>
              </w:rPr>
            </w:pPr>
          </w:p>
        </w:tc>
        <w:tc>
          <w:tcPr>
            <w:tcW w:w="4215" w:type="dxa"/>
          </w:tcPr>
          <w:p w14:paraId="41EF1DB7" w14:textId="77777777" w:rsidR="006E5CB8" w:rsidRPr="00B01F9E" w:rsidRDefault="006E5CB8" w:rsidP="0016170A">
            <w:pPr>
              <w:rPr>
                <w:rFonts w:ascii="Arial" w:hAnsi="Arial" w:cs="Arial"/>
                <w:sz w:val="20"/>
                <w:szCs w:val="20"/>
              </w:rPr>
            </w:pPr>
            <w:r w:rsidRPr="00B01F9E">
              <w:rPr>
                <w:rFonts w:ascii="Arial" w:hAnsi="Arial" w:cs="Arial"/>
                <w:sz w:val="20"/>
                <w:szCs w:val="20"/>
              </w:rPr>
              <w:t>Neutral</w:t>
            </w:r>
          </w:p>
        </w:tc>
      </w:tr>
      <w:tr w:rsidR="006E5CB8" w:rsidRPr="00B01F9E" w14:paraId="6DAEF9BD" w14:textId="77777777" w:rsidTr="0016170A">
        <w:tc>
          <w:tcPr>
            <w:tcW w:w="1083" w:type="dxa"/>
            <w:vMerge/>
          </w:tcPr>
          <w:p w14:paraId="602BF227" w14:textId="77777777" w:rsidR="006E5CB8" w:rsidRPr="00B01F9E" w:rsidRDefault="006E5CB8" w:rsidP="0016170A">
            <w:pPr>
              <w:rPr>
                <w:rFonts w:ascii="Arial" w:hAnsi="Arial" w:cs="Arial"/>
                <w:sz w:val="20"/>
                <w:szCs w:val="20"/>
              </w:rPr>
            </w:pPr>
          </w:p>
        </w:tc>
        <w:tc>
          <w:tcPr>
            <w:tcW w:w="3502" w:type="dxa"/>
            <w:vMerge/>
          </w:tcPr>
          <w:p w14:paraId="10F5B470" w14:textId="77777777" w:rsidR="006E5CB8" w:rsidRPr="00B01F9E" w:rsidRDefault="006E5CB8" w:rsidP="0016170A">
            <w:pPr>
              <w:rPr>
                <w:rFonts w:ascii="Arial" w:hAnsi="Arial" w:cs="Arial"/>
                <w:sz w:val="20"/>
                <w:szCs w:val="20"/>
              </w:rPr>
            </w:pPr>
          </w:p>
        </w:tc>
        <w:tc>
          <w:tcPr>
            <w:tcW w:w="4215" w:type="dxa"/>
          </w:tcPr>
          <w:p w14:paraId="58025CCD" w14:textId="77777777" w:rsidR="006E5CB8" w:rsidRPr="00B01F9E" w:rsidRDefault="006E5CB8" w:rsidP="0016170A">
            <w:pPr>
              <w:rPr>
                <w:rFonts w:ascii="Arial" w:hAnsi="Arial" w:cs="Arial"/>
                <w:sz w:val="20"/>
                <w:szCs w:val="20"/>
              </w:rPr>
            </w:pPr>
            <w:r w:rsidRPr="00B01F9E">
              <w:rPr>
                <w:rFonts w:ascii="Arial" w:hAnsi="Arial" w:cs="Arial"/>
                <w:sz w:val="20"/>
                <w:szCs w:val="20"/>
              </w:rPr>
              <w:t>Disagree</w:t>
            </w:r>
          </w:p>
        </w:tc>
      </w:tr>
      <w:tr w:rsidR="006E5CB8" w:rsidRPr="00B01F9E" w14:paraId="46B4EDDE" w14:textId="77777777" w:rsidTr="0016170A">
        <w:tc>
          <w:tcPr>
            <w:tcW w:w="1083" w:type="dxa"/>
            <w:vMerge/>
          </w:tcPr>
          <w:p w14:paraId="6CAFBC9F" w14:textId="77777777" w:rsidR="006E5CB8" w:rsidRPr="00B01F9E" w:rsidRDefault="006E5CB8" w:rsidP="0016170A">
            <w:pPr>
              <w:rPr>
                <w:rFonts w:ascii="Arial" w:hAnsi="Arial" w:cs="Arial"/>
                <w:sz w:val="20"/>
                <w:szCs w:val="20"/>
              </w:rPr>
            </w:pPr>
          </w:p>
        </w:tc>
        <w:tc>
          <w:tcPr>
            <w:tcW w:w="3502" w:type="dxa"/>
            <w:vMerge/>
          </w:tcPr>
          <w:p w14:paraId="2CE40E6F" w14:textId="77777777" w:rsidR="006E5CB8" w:rsidRPr="00B01F9E" w:rsidRDefault="006E5CB8" w:rsidP="0016170A">
            <w:pPr>
              <w:rPr>
                <w:rFonts w:ascii="Arial" w:hAnsi="Arial" w:cs="Arial"/>
                <w:sz w:val="20"/>
                <w:szCs w:val="20"/>
              </w:rPr>
            </w:pPr>
          </w:p>
        </w:tc>
        <w:tc>
          <w:tcPr>
            <w:tcW w:w="4215" w:type="dxa"/>
          </w:tcPr>
          <w:p w14:paraId="607A1643" w14:textId="77777777" w:rsidR="006E5CB8" w:rsidRPr="00B01F9E" w:rsidRDefault="006E5CB8" w:rsidP="0016170A">
            <w:pPr>
              <w:rPr>
                <w:rFonts w:ascii="Arial" w:hAnsi="Arial" w:cs="Arial"/>
                <w:sz w:val="20"/>
                <w:szCs w:val="20"/>
              </w:rPr>
            </w:pPr>
            <w:r w:rsidRPr="00B01F9E">
              <w:rPr>
                <w:rFonts w:ascii="Arial" w:hAnsi="Arial" w:cs="Arial"/>
                <w:sz w:val="20"/>
                <w:szCs w:val="20"/>
              </w:rPr>
              <w:t>Strongly Disagree</w:t>
            </w:r>
          </w:p>
        </w:tc>
      </w:tr>
      <w:tr w:rsidR="006E5CB8" w:rsidRPr="00B01F9E" w14:paraId="307FE6FF" w14:textId="77777777" w:rsidTr="0016170A">
        <w:tc>
          <w:tcPr>
            <w:tcW w:w="1083" w:type="dxa"/>
            <w:vMerge w:val="restart"/>
          </w:tcPr>
          <w:p w14:paraId="26163C36" w14:textId="77777777" w:rsidR="006E5CB8" w:rsidRPr="00B01F9E" w:rsidRDefault="006E5CB8" w:rsidP="0016170A">
            <w:pPr>
              <w:rPr>
                <w:rFonts w:ascii="Arial" w:hAnsi="Arial" w:cs="Arial"/>
                <w:sz w:val="20"/>
                <w:szCs w:val="20"/>
              </w:rPr>
            </w:pPr>
            <w:r w:rsidRPr="00B01F9E">
              <w:rPr>
                <w:rFonts w:ascii="Arial" w:hAnsi="Arial" w:cs="Arial"/>
                <w:sz w:val="20"/>
                <w:szCs w:val="20"/>
              </w:rPr>
              <w:t>25.4</w:t>
            </w:r>
          </w:p>
        </w:tc>
        <w:tc>
          <w:tcPr>
            <w:tcW w:w="3502" w:type="dxa"/>
            <w:vMerge w:val="restart"/>
          </w:tcPr>
          <w:p w14:paraId="3E109FEF" w14:textId="77777777" w:rsidR="006E5CB8" w:rsidRPr="00B01F9E" w:rsidRDefault="006E5CB8" w:rsidP="0016170A">
            <w:pPr>
              <w:rPr>
                <w:rFonts w:ascii="Arial" w:hAnsi="Arial" w:cs="Arial"/>
                <w:sz w:val="20"/>
                <w:szCs w:val="20"/>
              </w:rPr>
            </w:pPr>
            <w:r w:rsidRPr="00B01F9E">
              <w:rPr>
                <w:rFonts w:ascii="Arial" w:hAnsi="Arial" w:cs="Arial"/>
                <w:sz w:val="20"/>
                <w:szCs w:val="20"/>
              </w:rPr>
              <w:t>My allocated time commitment was adequate for the project and the scheduling realistic for the work that had to be completed</w:t>
            </w:r>
          </w:p>
        </w:tc>
        <w:tc>
          <w:tcPr>
            <w:tcW w:w="4215" w:type="dxa"/>
          </w:tcPr>
          <w:p w14:paraId="57C4B5D1" w14:textId="77777777" w:rsidR="006E5CB8" w:rsidRPr="00B01F9E" w:rsidRDefault="006E5CB8" w:rsidP="0016170A">
            <w:pPr>
              <w:rPr>
                <w:rFonts w:ascii="Arial" w:hAnsi="Arial" w:cs="Arial"/>
                <w:sz w:val="20"/>
                <w:szCs w:val="20"/>
              </w:rPr>
            </w:pPr>
            <w:r w:rsidRPr="00B01F9E">
              <w:rPr>
                <w:rFonts w:ascii="Arial" w:hAnsi="Arial" w:cs="Arial"/>
                <w:sz w:val="20"/>
                <w:szCs w:val="20"/>
              </w:rPr>
              <w:t>Strongly Agree</w:t>
            </w:r>
          </w:p>
        </w:tc>
      </w:tr>
      <w:tr w:rsidR="006E5CB8" w:rsidRPr="00B01F9E" w14:paraId="201FF6AA" w14:textId="77777777" w:rsidTr="0016170A">
        <w:tc>
          <w:tcPr>
            <w:tcW w:w="1083" w:type="dxa"/>
            <w:vMerge/>
          </w:tcPr>
          <w:p w14:paraId="35CD96D6" w14:textId="77777777" w:rsidR="006E5CB8" w:rsidRPr="00B01F9E" w:rsidRDefault="006E5CB8" w:rsidP="0016170A">
            <w:pPr>
              <w:rPr>
                <w:rFonts w:ascii="Arial" w:hAnsi="Arial" w:cs="Arial"/>
                <w:sz w:val="20"/>
                <w:szCs w:val="20"/>
              </w:rPr>
            </w:pPr>
          </w:p>
        </w:tc>
        <w:tc>
          <w:tcPr>
            <w:tcW w:w="3502" w:type="dxa"/>
            <w:vMerge/>
          </w:tcPr>
          <w:p w14:paraId="2B204D2F" w14:textId="77777777" w:rsidR="006E5CB8" w:rsidRPr="00B01F9E" w:rsidRDefault="006E5CB8" w:rsidP="0016170A">
            <w:pPr>
              <w:rPr>
                <w:rFonts w:ascii="Arial" w:hAnsi="Arial" w:cs="Arial"/>
                <w:sz w:val="20"/>
                <w:szCs w:val="20"/>
              </w:rPr>
            </w:pPr>
          </w:p>
        </w:tc>
        <w:tc>
          <w:tcPr>
            <w:tcW w:w="4215" w:type="dxa"/>
          </w:tcPr>
          <w:p w14:paraId="0D26AF4E" w14:textId="77777777" w:rsidR="006E5CB8" w:rsidRPr="00B01F9E" w:rsidRDefault="006E5CB8" w:rsidP="0016170A">
            <w:pPr>
              <w:rPr>
                <w:rFonts w:ascii="Arial" w:hAnsi="Arial" w:cs="Arial"/>
                <w:sz w:val="20"/>
                <w:szCs w:val="20"/>
              </w:rPr>
            </w:pPr>
            <w:r w:rsidRPr="00B01F9E">
              <w:rPr>
                <w:rFonts w:ascii="Arial" w:hAnsi="Arial" w:cs="Arial"/>
                <w:sz w:val="20"/>
                <w:szCs w:val="20"/>
              </w:rPr>
              <w:t>Agree</w:t>
            </w:r>
          </w:p>
        </w:tc>
      </w:tr>
      <w:tr w:rsidR="006E5CB8" w:rsidRPr="00B01F9E" w14:paraId="14C7B942" w14:textId="77777777" w:rsidTr="0016170A">
        <w:tc>
          <w:tcPr>
            <w:tcW w:w="1083" w:type="dxa"/>
            <w:vMerge/>
          </w:tcPr>
          <w:p w14:paraId="05469B7F" w14:textId="77777777" w:rsidR="006E5CB8" w:rsidRPr="00B01F9E" w:rsidRDefault="006E5CB8" w:rsidP="0016170A">
            <w:pPr>
              <w:rPr>
                <w:rFonts w:ascii="Arial" w:hAnsi="Arial" w:cs="Arial"/>
                <w:sz w:val="20"/>
                <w:szCs w:val="20"/>
              </w:rPr>
            </w:pPr>
          </w:p>
        </w:tc>
        <w:tc>
          <w:tcPr>
            <w:tcW w:w="3502" w:type="dxa"/>
            <w:vMerge/>
          </w:tcPr>
          <w:p w14:paraId="00C81269" w14:textId="77777777" w:rsidR="006E5CB8" w:rsidRPr="00B01F9E" w:rsidRDefault="006E5CB8" w:rsidP="0016170A">
            <w:pPr>
              <w:rPr>
                <w:rFonts w:ascii="Arial" w:hAnsi="Arial" w:cs="Arial"/>
                <w:sz w:val="20"/>
                <w:szCs w:val="20"/>
              </w:rPr>
            </w:pPr>
          </w:p>
        </w:tc>
        <w:tc>
          <w:tcPr>
            <w:tcW w:w="4215" w:type="dxa"/>
          </w:tcPr>
          <w:p w14:paraId="6B78CFC5" w14:textId="77777777" w:rsidR="006E5CB8" w:rsidRPr="00B01F9E" w:rsidRDefault="006E5CB8" w:rsidP="0016170A">
            <w:pPr>
              <w:rPr>
                <w:rFonts w:ascii="Arial" w:hAnsi="Arial" w:cs="Arial"/>
                <w:sz w:val="20"/>
                <w:szCs w:val="20"/>
              </w:rPr>
            </w:pPr>
            <w:r w:rsidRPr="00B01F9E">
              <w:rPr>
                <w:rFonts w:ascii="Arial" w:hAnsi="Arial" w:cs="Arial"/>
                <w:sz w:val="20"/>
                <w:szCs w:val="20"/>
              </w:rPr>
              <w:t>Neutral</w:t>
            </w:r>
          </w:p>
        </w:tc>
      </w:tr>
      <w:tr w:rsidR="006E5CB8" w:rsidRPr="00B01F9E" w14:paraId="3AC1CDF6" w14:textId="77777777" w:rsidTr="0016170A">
        <w:tc>
          <w:tcPr>
            <w:tcW w:w="1083" w:type="dxa"/>
            <w:vMerge/>
          </w:tcPr>
          <w:p w14:paraId="4D1ADE6F" w14:textId="77777777" w:rsidR="006E5CB8" w:rsidRPr="00B01F9E" w:rsidRDefault="006E5CB8" w:rsidP="0016170A">
            <w:pPr>
              <w:rPr>
                <w:rFonts w:ascii="Arial" w:hAnsi="Arial" w:cs="Arial"/>
                <w:sz w:val="20"/>
                <w:szCs w:val="20"/>
              </w:rPr>
            </w:pPr>
          </w:p>
        </w:tc>
        <w:tc>
          <w:tcPr>
            <w:tcW w:w="3502" w:type="dxa"/>
            <w:vMerge/>
          </w:tcPr>
          <w:p w14:paraId="1AD430C7" w14:textId="77777777" w:rsidR="006E5CB8" w:rsidRPr="00B01F9E" w:rsidRDefault="006E5CB8" w:rsidP="0016170A">
            <w:pPr>
              <w:rPr>
                <w:rFonts w:ascii="Arial" w:hAnsi="Arial" w:cs="Arial"/>
                <w:sz w:val="20"/>
                <w:szCs w:val="20"/>
              </w:rPr>
            </w:pPr>
          </w:p>
        </w:tc>
        <w:tc>
          <w:tcPr>
            <w:tcW w:w="4215" w:type="dxa"/>
          </w:tcPr>
          <w:p w14:paraId="52950A87" w14:textId="77777777" w:rsidR="006E5CB8" w:rsidRPr="00B01F9E" w:rsidRDefault="006E5CB8" w:rsidP="0016170A">
            <w:pPr>
              <w:rPr>
                <w:rFonts w:ascii="Arial" w:hAnsi="Arial" w:cs="Arial"/>
                <w:sz w:val="20"/>
                <w:szCs w:val="20"/>
              </w:rPr>
            </w:pPr>
            <w:r w:rsidRPr="00B01F9E">
              <w:rPr>
                <w:rFonts w:ascii="Arial" w:hAnsi="Arial" w:cs="Arial"/>
                <w:sz w:val="20"/>
                <w:szCs w:val="20"/>
              </w:rPr>
              <w:t>Disagree</w:t>
            </w:r>
          </w:p>
        </w:tc>
      </w:tr>
      <w:tr w:rsidR="006E5CB8" w:rsidRPr="00B01F9E" w14:paraId="4FA4BB6A" w14:textId="77777777" w:rsidTr="0016170A">
        <w:tc>
          <w:tcPr>
            <w:tcW w:w="1083" w:type="dxa"/>
            <w:vMerge/>
          </w:tcPr>
          <w:p w14:paraId="380725F1" w14:textId="77777777" w:rsidR="006E5CB8" w:rsidRPr="00B01F9E" w:rsidRDefault="006E5CB8" w:rsidP="0016170A">
            <w:pPr>
              <w:rPr>
                <w:rFonts w:ascii="Arial" w:hAnsi="Arial" w:cs="Arial"/>
                <w:sz w:val="20"/>
                <w:szCs w:val="20"/>
              </w:rPr>
            </w:pPr>
          </w:p>
        </w:tc>
        <w:tc>
          <w:tcPr>
            <w:tcW w:w="3502" w:type="dxa"/>
            <w:vMerge/>
          </w:tcPr>
          <w:p w14:paraId="054764A6" w14:textId="77777777" w:rsidR="006E5CB8" w:rsidRPr="00B01F9E" w:rsidRDefault="006E5CB8" w:rsidP="0016170A">
            <w:pPr>
              <w:rPr>
                <w:rFonts w:ascii="Arial" w:hAnsi="Arial" w:cs="Arial"/>
                <w:sz w:val="20"/>
                <w:szCs w:val="20"/>
              </w:rPr>
            </w:pPr>
          </w:p>
        </w:tc>
        <w:tc>
          <w:tcPr>
            <w:tcW w:w="4215" w:type="dxa"/>
          </w:tcPr>
          <w:p w14:paraId="7FD2A8DA" w14:textId="77777777" w:rsidR="006E5CB8" w:rsidRPr="00B01F9E" w:rsidRDefault="006E5CB8" w:rsidP="0016170A">
            <w:pPr>
              <w:rPr>
                <w:rFonts w:ascii="Arial" w:hAnsi="Arial" w:cs="Arial"/>
                <w:sz w:val="20"/>
                <w:szCs w:val="20"/>
              </w:rPr>
            </w:pPr>
            <w:r w:rsidRPr="00B01F9E">
              <w:rPr>
                <w:rFonts w:ascii="Arial" w:hAnsi="Arial" w:cs="Arial"/>
                <w:sz w:val="20"/>
                <w:szCs w:val="20"/>
              </w:rPr>
              <w:t>Strongly Disagree</w:t>
            </w:r>
          </w:p>
        </w:tc>
      </w:tr>
      <w:tr w:rsidR="006E5CB8" w:rsidRPr="00B01F9E" w14:paraId="0E756C19" w14:textId="77777777" w:rsidTr="0016170A">
        <w:tc>
          <w:tcPr>
            <w:tcW w:w="1083" w:type="dxa"/>
            <w:vMerge w:val="restart"/>
          </w:tcPr>
          <w:p w14:paraId="7DB6B409" w14:textId="77777777" w:rsidR="006E5CB8" w:rsidRPr="00B01F9E" w:rsidRDefault="006E5CB8" w:rsidP="0016170A">
            <w:pPr>
              <w:rPr>
                <w:rFonts w:ascii="Arial" w:hAnsi="Arial" w:cs="Arial"/>
                <w:sz w:val="20"/>
                <w:szCs w:val="20"/>
              </w:rPr>
            </w:pPr>
            <w:r w:rsidRPr="00B01F9E">
              <w:rPr>
                <w:rFonts w:ascii="Arial" w:hAnsi="Arial" w:cs="Arial"/>
                <w:sz w:val="20"/>
                <w:szCs w:val="20"/>
              </w:rPr>
              <w:t>25.5</w:t>
            </w:r>
          </w:p>
        </w:tc>
        <w:tc>
          <w:tcPr>
            <w:tcW w:w="3502" w:type="dxa"/>
            <w:vMerge w:val="restart"/>
          </w:tcPr>
          <w:p w14:paraId="6525B800" w14:textId="77777777" w:rsidR="006E5CB8" w:rsidRPr="00B01F9E" w:rsidRDefault="006E5CB8" w:rsidP="0016170A">
            <w:pPr>
              <w:rPr>
                <w:rFonts w:ascii="Arial" w:hAnsi="Arial" w:cs="Arial"/>
                <w:sz w:val="20"/>
                <w:szCs w:val="20"/>
              </w:rPr>
            </w:pPr>
            <w:r w:rsidRPr="00B01F9E">
              <w:rPr>
                <w:rFonts w:ascii="Arial" w:hAnsi="Arial" w:cs="Arial"/>
                <w:sz w:val="20"/>
                <w:szCs w:val="20"/>
              </w:rPr>
              <w:t>I am satisfied with what I delivered with my scheduling and time commitments</w:t>
            </w:r>
          </w:p>
        </w:tc>
        <w:tc>
          <w:tcPr>
            <w:tcW w:w="4215" w:type="dxa"/>
          </w:tcPr>
          <w:p w14:paraId="65913399" w14:textId="77777777" w:rsidR="006E5CB8" w:rsidRPr="00B01F9E" w:rsidRDefault="006E5CB8" w:rsidP="0016170A">
            <w:pPr>
              <w:rPr>
                <w:rFonts w:ascii="Arial" w:hAnsi="Arial" w:cs="Arial"/>
                <w:sz w:val="20"/>
                <w:szCs w:val="20"/>
              </w:rPr>
            </w:pPr>
            <w:r w:rsidRPr="00B01F9E">
              <w:rPr>
                <w:rFonts w:ascii="Arial" w:hAnsi="Arial" w:cs="Arial"/>
                <w:sz w:val="20"/>
                <w:szCs w:val="20"/>
              </w:rPr>
              <w:t>Strongly Agree</w:t>
            </w:r>
          </w:p>
        </w:tc>
      </w:tr>
      <w:tr w:rsidR="006E5CB8" w:rsidRPr="00B01F9E" w14:paraId="1D245DF1" w14:textId="77777777" w:rsidTr="0016170A">
        <w:tc>
          <w:tcPr>
            <w:tcW w:w="1083" w:type="dxa"/>
            <w:vMerge/>
          </w:tcPr>
          <w:p w14:paraId="49C0A3B1" w14:textId="77777777" w:rsidR="006E5CB8" w:rsidRPr="00B01F9E" w:rsidRDefault="006E5CB8" w:rsidP="0016170A">
            <w:pPr>
              <w:rPr>
                <w:rFonts w:ascii="Arial" w:hAnsi="Arial" w:cs="Arial"/>
                <w:sz w:val="20"/>
                <w:szCs w:val="20"/>
              </w:rPr>
            </w:pPr>
          </w:p>
        </w:tc>
        <w:tc>
          <w:tcPr>
            <w:tcW w:w="3502" w:type="dxa"/>
            <w:vMerge/>
          </w:tcPr>
          <w:p w14:paraId="7E54A85F" w14:textId="77777777" w:rsidR="006E5CB8" w:rsidRPr="00B01F9E" w:rsidRDefault="006E5CB8" w:rsidP="0016170A">
            <w:pPr>
              <w:rPr>
                <w:rFonts w:ascii="Arial" w:hAnsi="Arial" w:cs="Arial"/>
                <w:sz w:val="20"/>
                <w:szCs w:val="20"/>
              </w:rPr>
            </w:pPr>
          </w:p>
        </w:tc>
        <w:tc>
          <w:tcPr>
            <w:tcW w:w="4215" w:type="dxa"/>
          </w:tcPr>
          <w:p w14:paraId="04F3EEFF" w14:textId="77777777" w:rsidR="006E5CB8" w:rsidRPr="00B01F9E" w:rsidRDefault="006E5CB8" w:rsidP="0016170A">
            <w:pPr>
              <w:rPr>
                <w:rFonts w:ascii="Arial" w:hAnsi="Arial" w:cs="Arial"/>
                <w:sz w:val="20"/>
                <w:szCs w:val="20"/>
              </w:rPr>
            </w:pPr>
            <w:r w:rsidRPr="00B01F9E">
              <w:rPr>
                <w:rFonts w:ascii="Arial" w:hAnsi="Arial" w:cs="Arial"/>
                <w:sz w:val="20"/>
                <w:szCs w:val="20"/>
              </w:rPr>
              <w:t>Agree</w:t>
            </w:r>
          </w:p>
        </w:tc>
      </w:tr>
      <w:tr w:rsidR="006E5CB8" w:rsidRPr="00B01F9E" w14:paraId="0BBEA792" w14:textId="77777777" w:rsidTr="0016170A">
        <w:tc>
          <w:tcPr>
            <w:tcW w:w="1083" w:type="dxa"/>
            <w:vMerge/>
          </w:tcPr>
          <w:p w14:paraId="1734ADF6" w14:textId="77777777" w:rsidR="006E5CB8" w:rsidRPr="00B01F9E" w:rsidRDefault="006E5CB8" w:rsidP="0016170A">
            <w:pPr>
              <w:rPr>
                <w:rFonts w:ascii="Arial" w:hAnsi="Arial" w:cs="Arial"/>
                <w:sz w:val="20"/>
                <w:szCs w:val="20"/>
              </w:rPr>
            </w:pPr>
          </w:p>
        </w:tc>
        <w:tc>
          <w:tcPr>
            <w:tcW w:w="3502" w:type="dxa"/>
            <w:vMerge/>
          </w:tcPr>
          <w:p w14:paraId="5B026DD0" w14:textId="77777777" w:rsidR="006E5CB8" w:rsidRPr="00B01F9E" w:rsidRDefault="006E5CB8" w:rsidP="0016170A">
            <w:pPr>
              <w:rPr>
                <w:rFonts w:ascii="Arial" w:hAnsi="Arial" w:cs="Arial"/>
                <w:sz w:val="20"/>
                <w:szCs w:val="20"/>
              </w:rPr>
            </w:pPr>
          </w:p>
        </w:tc>
        <w:tc>
          <w:tcPr>
            <w:tcW w:w="4215" w:type="dxa"/>
          </w:tcPr>
          <w:p w14:paraId="179A0BAD" w14:textId="77777777" w:rsidR="006E5CB8" w:rsidRPr="00B01F9E" w:rsidRDefault="006E5CB8" w:rsidP="0016170A">
            <w:pPr>
              <w:rPr>
                <w:rFonts w:ascii="Arial" w:hAnsi="Arial" w:cs="Arial"/>
                <w:sz w:val="20"/>
                <w:szCs w:val="20"/>
              </w:rPr>
            </w:pPr>
            <w:r w:rsidRPr="00B01F9E">
              <w:rPr>
                <w:rFonts w:ascii="Arial" w:hAnsi="Arial" w:cs="Arial"/>
                <w:sz w:val="20"/>
                <w:szCs w:val="20"/>
              </w:rPr>
              <w:t>Neutral</w:t>
            </w:r>
          </w:p>
        </w:tc>
      </w:tr>
      <w:tr w:rsidR="006E5CB8" w:rsidRPr="00B01F9E" w14:paraId="3331288E" w14:textId="77777777" w:rsidTr="0016170A">
        <w:tc>
          <w:tcPr>
            <w:tcW w:w="1083" w:type="dxa"/>
            <w:vMerge/>
          </w:tcPr>
          <w:p w14:paraId="2C2F369A" w14:textId="77777777" w:rsidR="006E5CB8" w:rsidRPr="00B01F9E" w:rsidRDefault="006E5CB8" w:rsidP="0016170A">
            <w:pPr>
              <w:rPr>
                <w:rFonts w:ascii="Arial" w:hAnsi="Arial" w:cs="Arial"/>
                <w:sz w:val="20"/>
                <w:szCs w:val="20"/>
              </w:rPr>
            </w:pPr>
          </w:p>
        </w:tc>
        <w:tc>
          <w:tcPr>
            <w:tcW w:w="3502" w:type="dxa"/>
            <w:vMerge/>
          </w:tcPr>
          <w:p w14:paraId="2A4E6C04" w14:textId="77777777" w:rsidR="006E5CB8" w:rsidRPr="00B01F9E" w:rsidRDefault="006E5CB8" w:rsidP="0016170A">
            <w:pPr>
              <w:rPr>
                <w:rFonts w:ascii="Arial" w:hAnsi="Arial" w:cs="Arial"/>
                <w:sz w:val="20"/>
                <w:szCs w:val="20"/>
              </w:rPr>
            </w:pPr>
          </w:p>
        </w:tc>
        <w:tc>
          <w:tcPr>
            <w:tcW w:w="4215" w:type="dxa"/>
          </w:tcPr>
          <w:p w14:paraId="1E0B510D" w14:textId="77777777" w:rsidR="006E5CB8" w:rsidRPr="00B01F9E" w:rsidRDefault="006E5CB8" w:rsidP="0016170A">
            <w:pPr>
              <w:rPr>
                <w:rFonts w:ascii="Arial" w:hAnsi="Arial" w:cs="Arial"/>
                <w:sz w:val="20"/>
                <w:szCs w:val="20"/>
              </w:rPr>
            </w:pPr>
            <w:r w:rsidRPr="00B01F9E">
              <w:rPr>
                <w:rFonts w:ascii="Arial" w:hAnsi="Arial" w:cs="Arial"/>
                <w:sz w:val="20"/>
                <w:szCs w:val="20"/>
              </w:rPr>
              <w:t>Disagree</w:t>
            </w:r>
          </w:p>
        </w:tc>
      </w:tr>
      <w:tr w:rsidR="006E5CB8" w:rsidRPr="00B01F9E" w14:paraId="41F37F56" w14:textId="77777777" w:rsidTr="0016170A">
        <w:tc>
          <w:tcPr>
            <w:tcW w:w="1083" w:type="dxa"/>
            <w:vMerge/>
          </w:tcPr>
          <w:p w14:paraId="7FED9856" w14:textId="77777777" w:rsidR="006E5CB8" w:rsidRPr="00B01F9E" w:rsidRDefault="006E5CB8" w:rsidP="0016170A">
            <w:pPr>
              <w:rPr>
                <w:rFonts w:ascii="Arial" w:hAnsi="Arial" w:cs="Arial"/>
                <w:sz w:val="20"/>
                <w:szCs w:val="20"/>
              </w:rPr>
            </w:pPr>
          </w:p>
        </w:tc>
        <w:tc>
          <w:tcPr>
            <w:tcW w:w="3502" w:type="dxa"/>
            <w:vMerge/>
          </w:tcPr>
          <w:p w14:paraId="58FA29C1" w14:textId="77777777" w:rsidR="006E5CB8" w:rsidRPr="00B01F9E" w:rsidRDefault="006E5CB8" w:rsidP="0016170A">
            <w:pPr>
              <w:rPr>
                <w:rFonts w:ascii="Arial" w:hAnsi="Arial" w:cs="Arial"/>
                <w:sz w:val="20"/>
                <w:szCs w:val="20"/>
              </w:rPr>
            </w:pPr>
          </w:p>
        </w:tc>
        <w:tc>
          <w:tcPr>
            <w:tcW w:w="4215" w:type="dxa"/>
          </w:tcPr>
          <w:p w14:paraId="5314043D" w14:textId="77777777" w:rsidR="006E5CB8" w:rsidRPr="00B01F9E" w:rsidRDefault="006E5CB8" w:rsidP="0016170A">
            <w:pPr>
              <w:rPr>
                <w:rFonts w:ascii="Arial" w:hAnsi="Arial" w:cs="Arial"/>
                <w:sz w:val="20"/>
                <w:szCs w:val="20"/>
              </w:rPr>
            </w:pPr>
            <w:r w:rsidRPr="00B01F9E">
              <w:rPr>
                <w:rFonts w:ascii="Arial" w:hAnsi="Arial" w:cs="Arial"/>
                <w:sz w:val="20"/>
                <w:szCs w:val="20"/>
              </w:rPr>
              <w:t>Strongly Disagree</w:t>
            </w:r>
          </w:p>
        </w:tc>
      </w:tr>
      <w:tr w:rsidR="006E5CB8" w:rsidRPr="00B01F9E" w14:paraId="068F045B" w14:textId="77777777" w:rsidTr="0016170A">
        <w:tc>
          <w:tcPr>
            <w:tcW w:w="1083" w:type="dxa"/>
            <w:vMerge w:val="restart"/>
          </w:tcPr>
          <w:p w14:paraId="3568E4A7" w14:textId="77777777" w:rsidR="006E5CB8" w:rsidRPr="00B01F9E" w:rsidRDefault="006E5CB8" w:rsidP="0016170A">
            <w:pPr>
              <w:rPr>
                <w:rFonts w:ascii="Arial" w:hAnsi="Arial" w:cs="Arial"/>
                <w:sz w:val="20"/>
                <w:szCs w:val="20"/>
              </w:rPr>
            </w:pPr>
            <w:r w:rsidRPr="00B01F9E">
              <w:rPr>
                <w:rFonts w:ascii="Arial" w:hAnsi="Arial" w:cs="Arial"/>
                <w:sz w:val="20"/>
                <w:szCs w:val="20"/>
              </w:rPr>
              <w:t>25.6</w:t>
            </w:r>
          </w:p>
        </w:tc>
        <w:tc>
          <w:tcPr>
            <w:tcW w:w="3502" w:type="dxa"/>
            <w:vMerge w:val="restart"/>
          </w:tcPr>
          <w:p w14:paraId="1418AF6A" w14:textId="77777777" w:rsidR="006E5CB8" w:rsidRPr="00B01F9E" w:rsidRDefault="006E5CB8" w:rsidP="0016170A">
            <w:pPr>
              <w:rPr>
                <w:rFonts w:ascii="Arial" w:hAnsi="Arial" w:cs="Arial"/>
                <w:sz w:val="20"/>
                <w:szCs w:val="20"/>
              </w:rPr>
            </w:pPr>
            <w:r w:rsidRPr="00B01F9E">
              <w:rPr>
                <w:rFonts w:ascii="Arial" w:hAnsi="Arial" w:cs="Arial"/>
                <w:sz w:val="20"/>
                <w:szCs w:val="20"/>
              </w:rPr>
              <w:t>I am satisfied with the overall project delivered</w:t>
            </w:r>
          </w:p>
        </w:tc>
        <w:tc>
          <w:tcPr>
            <w:tcW w:w="4215" w:type="dxa"/>
          </w:tcPr>
          <w:p w14:paraId="46C82061" w14:textId="77777777" w:rsidR="006E5CB8" w:rsidRPr="00B01F9E" w:rsidRDefault="006E5CB8" w:rsidP="0016170A">
            <w:pPr>
              <w:rPr>
                <w:rFonts w:ascii="Arial" w:hAnsi="Arial" w:cs="Arial"/>
                <w:sz w:val="20"/>
                <w:szCs w:val="20"/>
              </w:rPr>
            </w:pPr>
            <w:r w:rsidRPr="00B01F9E">
              <w:rPr>
                <w:rFonts w:ascii="Arial" w:hAnsi="Arial" w:cs="Arial"/>
                <w:sz w:val="20"/>
                <w:szCs w:val="20"/>
              </w:rPr>
              <w:t>Strongly Agree</w:t>
            </w:r>
          </w:p>
        </w:tc>
      </w:tr>
      <w:tr w:rsidR="006E5CB8" w:rsidRPr="00B01F9E" w14:paraId="7066EFED" w14:textId="77777777" w:rsidTr="0016170A">
        <w:tc>
          <w:tcPr>
            <w:tcW w:w="1083" w:type="dxa"/>
            <w:vMerge/>
          </w:tcPr>
          <w:p w14:paraId="37A6C5BD" w14:textId="77777777" w:rsidR="006E5CB8" w:rsidRPr="00B01F9E" w:rsidRDefault="006E5CB8" w:rsidP="0016170A">
            <w:pPr>
              <w:rPr>
                <w:rFonts w:ascii="Arial" w:hAnsi="Arial" w:cs="Arial"/>
                <w:sz w:val="20"/>
                <w:szCs w:val="20"/>
              </w:rPr>
            </w:pPr>
          </w:p>
        </w:tc>
        <w:tc>
          <w:tcPr>
            <w:tcW w:w="3502" w:type="dxa"/>
            <w:vMerge/>
          </w:tcPr>
          <w:p w14:paraId="13FCC3B9" w14:textId="77777777" w:rsidR="006E5CB8" w:rsidRPr="00B01F9E" w:rsidRDefault="006E5CB8" w:rsidP="0016170A">
            <w:pPr>
              <w:rPr>
                <w:rFonts w:ascii="Arial" w:hAnsi="Arial" w:cs="Arial"/>
                <w:sz w:val="20"/>
                <w:szCs w:val="20"/>
              </w:rPr>
            </w:pPr>
          </w:p>
        </w:tc>
        <w:tc>
          <w:tcPr>
            <w:tcW w:w="4215" w:type="dxa"/>
          </w:tcPr>
          <w:p w14:paraId="42812B4D" w14:textId="77777777" w:rsidR="006E5CB8" w:rsidRPr="00B01F9E" w:rsidRDefault="006E5CB8" w:rsidP="0016170A">
            <w:pPr>
              <w:rPr>
                <w:rFonts w:ascii="Arial" w:hAnsi="Arial" w:cs="Arial"/>
                <w:sz w:val="20"/>
                <w:szCs w:val="20"/>
              </w:rPr>
            </w:pPr>
            <w:r w:rsidRPr="00B01F9E">
              <w:rPr>
                <w:rFonts w:ascii="Arial" w:hAnsi="Arial" w:cs="Arial"/>
                <w:sz w:val="20"/>
                <w:szCs w:val="20"/>
              </w:rPr>
              <w:t>Agree</w:t>
            </w:r>
          </w:p>
        </w:tc>
      </w:tr>
      <w:tr w:rsidR="006E5CB8" w:rsidRPr="00B01F9E" w14:paraId="0E19138E" w14:textId="77777777" w:rsidTr="0016170A">
        <w:tc>
          <w:tcPr>
            <w:tcW w:w="1083" w:type="dxa"/>
            <w:vMerge/>
          </w:tcPr>
          <w:p w14:paraId="380F57D3" w14:textId="77777777" w:rsidR="006E5CB8" w:rsidRPr="00B01F9E" w:rsidRDefault="006E5CB8" w:rsidP="0016170A">
            <w:pPr>
              <w:rPr>
                <w:rFonts w:ascii="Arial" w:hAnsi="Arial" w:cs="Arial"/>
                <w:sz w:val="20"/>
                <w:szCs w:val="20"/>
              </w:rPr>
            </w:pPr>
          </w:p>
        </w:tc>
        <w:tc>
          <w:tcPr>
            <w:tcW w:w="3502" w:type="dxa"/>
            <w:vMerge/>
          </w:tcPr>
          <w:p w14:paraId="3FA915E4" w14:textId="77777777" w:rsidR="006E5CB8" w:rsidRPr="00B01F9E" w:rsidRDefault="006E5CB8" w:rsidP="0016170A">
            <w:pPr>
              <w:rPr>
                <w:rFonts w:ascii="Arial" w:hAnsi="Arial" w:cs="Arial"/>
                <w:sz w:val="20"/>
                <w:szCs w:val="20"/>
              </w:rPr>
            </w:pPr>
          </w:p>
        </w:tc>
        <w:tc>
          <w:tcPr>
            <w:tcW w:w="4215" w:type="dxa"/>
          </w:tcPr>
          <w:p w14:paraId="6EC81D4D" w14:textId="77777777" w:rsidR="006E5CB8" w:rsidRPr="00B01F9E" w:rsidRDefault="006E5CB8" w:rsidP="0016170A">
            <w:pPr>
              <w:rPr>
                <w:rFonts w:ascii="Arial" w:hAnsi="Arial" w:cs="Arial"/>
                <w:sz w:val="20"/>
                <w:szCs w:val="20"/>
              </w:rPr>
            </w:pPr>
            <w:r w:rsidRPr="00B01F9E">
              <w:rPr>
                <w:rFonts w:ascii="Arial" w:hAnsi="Arial" w:cs="Arial"/>
                <w:sz w:val="20"/>
                <w:szCs w:val="20"/>
              </w:rPr>
              <w:t>Neutral</w:t>
            </w:r>
          </w:p>
        </w:tc>
      </w:tr>
      <w:tr w:rsidR="006E5CB8" w:rsidRPr="00B01F9E" w14:paraId="10C9E3FB" w14:textId="77777777" w:rsidTr="0016170A">
        <w:trPr>
          <w:trHeight w:val="70"/>
        </w:trPr>
        <w:tc>
          <w:tcPr>
            <w:tcW w:w="1083" w:type="dxa"/>
            <w:vMerge/>
          </w:tcPr>
          <w:p w14:paraId="730FD65F" w14:textId="77777777" w:rsidR="006E5CB8" w:rsidRPr="00B01F9E" w:rsidRDefault="006E5CB8" w:rsidP="0016170A">
            <w:pPr>
              <w:rPr>
                <w:rFonts w:ascii="Arial" w:hAnsi="Arial" w:cs="Arial"/>
                <w:sz w:val="20"/>
                <w:szCs w:val="20"/>
              </w:rPr>
            </w:pPr>
          </w:p>
        </w:tc>
        <w:tc>
          <w:tcPr>
            <w:tcW w:w="3502" w:type="dxa"/>
            <w:vMerge/>
          </w:tcPr>
          <w:p w14:paraId="419FE5A9" w14:textId="77777777" w:rsidR="006E5CB8" w:rsidRPr="00B01F9E" w:rsidRDefault="006E5CB8" w:rsidP="0016170A">
            <w:pPr>
              <w:rPr>
                <w:rFonts w:ascii="Arial" w:hAnsi="Arial" w:cs="Arial"/>
                <w:sz w:val="20"/>
                <w:szCs w:val="20"/>
              </w:rPr>
            </w:pPr>
          </w:p>
        </w:tc>
        <w:tc>
          <w:tcPr>
            <w:tcW w:w="4215" w:type="dxa"/>
          </w:tcPr>
          <w:p w14:paraId="0ECE0607" w14:textId="77777777" w:rsidR="006E5CB8" w:rsidRPr="00B01F9E" w:rsidRDefault="006E5CB8" w:rsidP="0016170A">
            <w:pPr>
              <w:rPr>
                <w:rFonts w:ascii="Arial" w:hAnsi="Arial" w:cs="Arial"/>
                <w:sz w:val="20"/>
                <w:szCs w:val="20"/>
              </w:rPr>
            </w:pPr>
            <w:r w:rsidRPr="00B01F9E">
              <w:rPr>
                <w:rFonts w:ascii="Arial" w:hAnsi="Arial" w:cs="Arial"/>
                <w:sz w:val="20"/>
                <w:szCs w:val="20"/>
              </w:rPr>
              <w:t>Disagree</w:t>
            </w:r>
          </w:p>
        </w:tc>
      </w:tr>
      <w:tr w:rsidR="006E5CB8" w:rsidRPr="00B01F9E" w14:paraId="59F7F62B" w14:textId="77777777" w:rsidTr="0016170A">
        <w:tc>
          <w:tcPr>
            <w:tcW w:w="1083" w:type="dxa"/>
            <w:vMerge/>
          </w:tcPr>
          <w:p w14:paraId="2C3BD8D2" w14:textId="77777777" w:rsidR="006E5CB8" w:rsidRPr="00B01F9E" w:rsidRDefault="006E5CB8" w:rsidP="0016170A">
            <w:pPr>
              <w:rPr>
                <w:rFonts w:ascii="Arial" w:hAnsi="Arial" w:cs="Arial"/>
                <w:sz w:val="20"/>
                <w:szCs w:val="20"/>
              </w:rPr>
            </w:pPr>
          </w:p>
        </w:tc>
        <w:tc>
          <w:tcPr>
            <w:tcW w:w="3502" w:type="dxa"/>
            <w:vMerge/>
          </w:tcPr>
          <w:p w14:paraId="0EF9B274" w14:textId="77777777" w:rsidR="006E5CB8" w:rsidRPr="00B01F9E" w:rsidRDefault="006E5CB8" w:rsidP="0016170A">
            <w:pPr>
              <w:rPr>
                <w:rFonts w:ascii="Arial" w:hAnsi="Arial" w:cs="Arial"/>
                <w:sz w:val="20"/>
                <w:szCs w:val="20"/>
              </w:rPr>
            </w:pPr>
          </w:p>
        </w:tc>
        <w:tc>
          <w:tcPr>
            <w:tcW w:w="4215" w:type="dxa"/>
          </w:tcPr>
          <w:p w14:paraId="56E2E855" w14:textId="77777777" w:rsidR="006E5CB8" w:rsidRPr="00B01F9E" w:rsidRDefault="006E5CB8" w:rsidP="0016170A">
            <w:pPr>
              <w:rPr>
                <w:rFonts w:ascii="Arial" w:hAnsi="Arial" w:cs="Arial"/>
                <w:sz w:val="20"/>
                <w:szCs w:val="20"/>
              </w:rPr>
            </w:pPr>
            <w:r w:rsidRPr="00B01F9E">
              <w:rPr>
                <w:rFonts w:ascii="Arial" w:hAnsi="Arial" w:cs="Arial"/>
                <w:sz w:val="20"/>
                <w:szCs w:val="20"/>
              </w:rPr>
              <w:t>Strongly Disagree</w:t>
            </w:r>
          </w:p>
        </w:tc>
      </w:tr>
    </w:tbl>
    <w:p w14:paraId="041E9655" w14:textId="77777777" w:rsidR="00EA5B0B" w:rsidRPr="00B01F9E" w:rsidRDefault="00EA5B0B" w:rsidP="00163CA6">
      <w:pPr>
        <w:spacing w:before="120" w:after="120"/>
        <w:rPr>
          <w:rFonts w:ascii="Arial" w:hAnsi="Arial" w:cs="Arial"/>
          <w:b/>
          <w:bCs/>
          <w:sz w:val="20"/>
          <w:szCs w:val="20"/>
        </w:rPr>
      </w:pPr>
    </w:p>
    <w:p w14:paraId="71D44C18" w14:textId="77777777" w:rsidR="00EA5B0B" w:rsidRPr="00B01F9E" w:rsidRDefault="00EA5B0B">
      <w:pPr>
        <w:rPr>
          <w:rFonts w:ascii="Arial" w:hAnsi="Arial" w:cs="Arial"/>
          <w:b/>
          <w:bCs/>
          <w:sz w:val="20"/>
          <w:szCs w:val="20"/>
        </w:rPr>
      </w:pPr>
      <w:r w:rsidRPr="00B01F9E">
        <w:rPr>
          <w:rFonts w:ascii="Arial" w:hAnsi="Arial" w:cs="Arial"/>
          <w:b/>
          <w:bCs/>
          <w:sz w:val="20"/>
          <w:szCs w:val="20"/>
        </w:rPr>
        <w:br w:type="page"/>
      </w:r>
    </w:p>
    <w:p w14:paraId="1AB243FA" w14:textId="2479DB06" w:rsidR="007C769C" w:rsidRPr="00B01F9E" w:rsidRDefault="007C769C" w:rsidP="00163CA6">
      <w:pPr>
        <w:spacing w:before="120" w:after="120"/>
        <w:rPr>
          <w:rFonts w:ascii="Arial" w:hAnsi="Arial" w:cs="Arial"/>
          <w:b/>
          <w:bCs/>
          <w:sz w:val="20"/>
          <w:szCs w:val="20"/>
        </w:rPr>
      </w:pPr>
      <w:r w:rsidRPr="00B01F9E">
        <w:rPr>
          <w:rFonts w:ascii="Arial" w:hAnsi="Arial" w:cs="Arial"/>
          <w:b/>
          <w:bCs/>
          <w:sz w:val="20"/>
          <w:szCs w:val="20"/>
        </w:rPr>
        <w:lastRenderedPageBreak/>
        <w:t xml:space="preserve">Vendor Collaboration Feedback Survey </w:t>
      </w:r>
    </w:p>
    <w:p w14:paraId="43E68B7D" w14:textId="59305E17" w:rsidR="007C769C" w:rsidRPr="00B01F9E" w:rsidRDefault="007C769C" w:rsidP="00163CA6">
      <w:pPr>
        <w:spacing w:after="120"/>
        <w:rPr>
          <w:rFonts w:ascii="Arial" w:hAnsi="Arial" w:cs="Arial"/>
          <w:sz w:val="20"/>
          <w:szCs w:val="20"/>
        </w:rPr>
      </w:pPr>
      <w:r w:rsidRPr="00B01F9E">
        <w:rPr>
          <w:rFonts w:ascii="Arial" w:hAnsi="Arial" w:cs="Arial"/>
          <w:sz w:val="20"/>
          <w:szCs w:val="20"/>
        </w:rPr>
        <w:t xml:space="preserve">The following questions were provided to </w:t>
      </w:r>
      <w:r w:rsidR="00DB2772" w:rsidRPr="00B01F9E">
        <w:rPr>
          <w:rFonts w:ascii="Arial" w:hAnsi="Arial" w:cs="Arial"/>
          <w:sz w:val="20"/>
          <w:szCs w:val="20"/>
        </w:rPr>
        <w:t xml:space="preserve">ELLKAY </w:t>
      </w:r>
      <w:r w:rsidRPr="00B01F9E">
        <w:rPr>
          <w:rFonts w:ascii="Arial" w:hAnsi="Arial" w:cs="Arial"/>
          <w:sz w:val="20"/>
          <w:szCs w:val="20"/>
        </w:rPr>
        <w:t xml:space="preserve">though a Microsoft Forms survey. </w:t>
      </w:r>
    </w:p>
    <w:tbl>
      <w:tblPr>
        <w:tblStyle w:val="TableGrid"/>
        <w:tblW w:w="0" w:type="auto"/>
        <w:tblLook w:val="04A0" w:firstRow="1" w:lastRow="0" w:firstColumn="1" w:lastColumn="0" w:noHBand="0" w:noVBand="1"/>
      </w:tblPr>
      <w:tblGrid>
        <w:gridCol w:w="1083"/>
        <w:gridCol w:w="3502"/>
        <w:gridCol w:w="4215"/>
      </w:tblGrid>
      <w:tr w:rsidR="007C769C" w:rsidRPr="00B01F9E" w14:paraId="12F76D89" w14:textId="77777777" w:rsidTr="00D007BC">
        <w:tc>
          <w:tcPr>
            <w:tcW w:w="1083" w:type="dxa"/>
            <w:shd w:val="clear" w:color="auto" w:fill="009ABF" w:themeFill="text1"/>
          </w:tcPr>
          <w:p w14:paraId="7E8200B0" w14:textId="77777777" w:rsidR="007C769C" w:rsidRPr="00D007BC" w:rsidRDefault="007C769C" w:rsidP="00423392">
            <w:pPr>
              <w:rPr>
                <w:rFonts w:ascii="Arial" w:hAnsi="Arial" w:cs="Arial"/>
                <w:b/>
                <w:bCs/>
                <w:color w:val="FFFFFF"/>
                <w:sz w:val="20"/>
                <w:szCs w:val="20"/>
              </w:rPr>
            </w:pPr>
            <w:r w:rsidRPr="00D007BC">
              <w:rPr>
                <w:rFonts w:ascii="Arial" w:hAnsi="Arial" w:cs="Arial"/>
                <w:b/>
                <w:bCs/>
                <w:color w:val="FFFFFF"/>
                <w:sz w:val="20"/>
                <w:szCs w:val="20"/>
              </w:rPr>
              <w:t>Question number</w:t>
            </w:r>
          </w:p>
        </w:tc>
        <w:tc>
          <w:tcPr>
            <w:tcW w:w="3502" w:type="dxa"/>
            <w:shd w:val="clear" w:color="auto" w:fill="009ABF" w:themeFill="text1"/>
          </w:tcPr>
          <w:p w14:paraId="5C616EAD" w14:textId="77777777" w:rsidR="007C769C" w:rsidRPr="00D007BC" w:rsidRDefault="007C769C" w:rsidP="00423392">
            <w:pPr>
              <w:rPr>
                <w:rFonts w:ascii="Arial" w:hAnsi="Arial" w:cs="Arial"/>
                <w:b/>
                <w:bCs/>
                <w:color w:val="FFFFFF"/>
                <w:sz w:val="20"/>
                <w:szCs w:val="20"/>
              </w:rPr>
            </w:pPr>
            <w:r w:rsidRPr="00D007BC">
              <w:rPr>
                <w:rFonts w:ascii="Arial" w:hAnsi="Arial" w:cs="Arial"/>
                <w:b/>
                <w:bCs/>
                <w:color w:val="FFFFFF"/>
                <w:sz w:val="20"/>
                <w:szCs w:val="20"/>
              </w:rPr>
              <w:t>Question text</w:t>
            </w:r>
          </w:p>
        </w:tc>
        <w:tc>
          <w:tcPr>
            <w:tcW w:w="4215" w:type="dxa"/>
            <w:shd w:val="clear" w:color="auto" w:fill="009ABF" w:themeFill="text1"/>
          </w:tcPr>
          <w:p w14:paraId="427EBBCD" w14:textId="77777777" w:rsidR="007C769C" w:rsidRPr="00D007BC" w:rsidRDefault="007C769C" w:rsidP="00423392">
            <w:pPr>
              <w:rPr>
                <w:rFonts w:ascii="Arial" w:hAnsi="Arial" w:cs="Arial"/>
                <w:b/>
                <w:bCs/>
                <w:color w:val="FFFFFF"/>
                <w:sz w:val="20"/>
                <w:szCs w:val="20"/>
              </w:rPr>
            </w:pPr>
            <w:r w:rsidRPr="00D007BC">
              <w:rPr>
                <w:rFonts w:ascii="Arial" w:hAnsi="Arial" w:cs="Arial"/>
                <w:b/>
                <w:bCs/>
                <w:color w:val="FFFFFF"/>
                <w:sz w:val="20"/>
                <w:szCs w:val="20"/>
              </w:rPr>
              <w:t>Answers</w:t>
            </w:r>
          </w:p>
        </w:tc>
      </w:tr>
      <w:tr w:rsidR="007C769C" w:rsidRPr="00B01F9E" w14:paraId="3A606CC5" w14:textId="77777777" w:rsidTr="00423392">
        <w:trPr>
          <w:trHeight w:val="144"/>
        </w:trPr>
        <w:tc>
          <w:tcPr>
            <w:tcW w:w="1083" w:type="dxa"/>
            <w:vMerge w:val="restart"/>
          </w:tcPr>
          <w:p w14:paraId="3931CDE1" w14:textId="77777777" w:rsidR="007C769C" w:rsidRPr="00B01F9E" w:rsidRDefault="007C769C" w:rsidP="00423392">
            <w:pPr>
              <w:rPr>
                <w:rFonts w:ascii="Arial" w:hAnsi="Arial" w:cs="Arial"/>
                <w:sz w:val="20"/>
                <w:szCs w:val="20"/>
              </w:rPr>
            </w:pPr>
            <w:r w:rsidRPr="00B01F9E">
              <w:rPr>
                <w:rFonts w:ascii="Arial" w:hAnsi="Arial" w:cs="Arial"/>
                <w:sz w:val="20"/>
                <w:szCs w:val="20"/>
              </w:rPr>
              <w:t>3</w:t>
            </w:r>
          </w:p>
        </w:tc>
        <w:tc>
          <w:tcPr>
            <w:tcW w:w="3502" w:type="dxa"/>
            <w:vMerge w:val="restart"/>
          </w:tcPr>
          <w:p w14:paraId="46B3F18D" w14:textId="77777777" w:rsidR="007C769C" w:rsidRPr="00B01F9E" w:rsidRDefault="007C769C" w:rsidP="00423392">
            <w:pPr>
              <w:rPr>
                <w:rFonts w:ascii="Arial" w:hAnsi="Arial" w:cs="Arial"/>
                <w:sz w:val="20"/>
                <w:szCs w:val="20"/>
              </w:rPr>
            </w:pPr>
            <w:r w:rsidRPr="00B01F9E">
              <w:rPr>
                <w:rFonts w:ascii="Arial" w:hAnsi="Arial" w:cs="Arial"/>
                <w:sz w:val="20"/>
                <w:szCs w:val="20"/>
              </w:rPr>
              <w:t>Please indicate your job title</w:t>
            </w:r>
          </w:p>
        </w:tc>
        <w:tc>
          <w:tcPr>
            <w:tcW w:w="4215" w:type="dxa"/>
          </w:tcPr>
          <w:p w14:paraId="2D8DF799" w14:textId="77777777" w:rsidR="007C769C" w:rsidRPr="00B01F9E" w:rsidRDefault="007C769C" w:rsidP="00423392">
            <w:pPr>
              <w:rPr>
                <w:rFonts w:ascii="Arial" w:hAnsi="Arial" w:cs="Arial"/>
                <w:sz w:val="20"/>
                <w:szCs w:val="20"/>
              </w:rPr>
            </w:pPr>
            <w:r w:rsidRPr="00B01F9E">
              <w:rPr>
                <w:rFonts w:ascii="Arial" w:hAnsi="Arial" w:cs="Arial"/>
                <w:sz w:val="20"/>
                <w:szCs w:val="20"/>
              </w:rPr>
              <w:t>Laboratory Manager/Supervisor/Director</w:t>
            </w:r>
          </w:p>
        </w:tc>
      </w:tr>
      <w:tr w:rsidR="007C769C" w:rsidRPr="00B01F9E" w14:paraId="171401E1" w14:textId="77777777" w:rsidTr="00423392">
        <w:trPr>
          <w:trHeight w:val="144"/>
        </w:trPr>
        <w:tc>
          <w:tcPr>
            <w:tcW w:w="1083" w:type="dxa"/>
            <w:vMerge/>
          </w:tcPr>
          <w:p w14:paraId="20398EAB" w14:textId="77777777" w:rsidR="007C769C" w:rsidRPr="00B01F9E" w:rsidRDefault="007C769C" w:rsidP="00423392">
            <w:pPr>
              <w:rPr>
                <w:rFonts w:ascii="Arial" w:hAnsi="Arial" w:cs="Arial"/>
                <w:sz w:val="20"/>
                <w:szCs w:val="20"/>
              </w:rPr>
            </w:pPr>
          </w:p>
        </w:tc>
        <w:tc>
          <w:tcPr>
            <w:tcW w:w="3502" w:type="dxa"/>
            <w:vMerge/>
          </w:tcPr>
          <w:p w14:paraId="5B230C70" w14:textId="77777777" w:rsidR="007C769C" w:rsidRPr="00B01F9E" w:rsidRDefault="007C769C" w:rsidP="00423392">
            <w:pPr>
              <w:rPr>
                <w:rFonts w:ascii="Arial" w:hAnsi="Arial" w:cs="Arial"/>
                <w:sz w:val="20"/>
                <w:szCs w:val="20"/>
              </w:rPr>
            </w:pPr>
          </w:p>
        </w:tc>
        <w:tc>
          <w:tcPr>
            <w:tcW w:w="4215" w:type="dxa"/>
          </w:tcPr>
          <w:p w14:paraId="3EC14229" w14:textId="77777777" w:rsidR="007C769C" w:rsidRPr="00B01F9E" w:rsidRDefault="007C769C" w:rsidP="00423392">
            <w:pPr>
              <w:rPr>
                <w:rFonts w:ascii="Arial" w:hAnsi="Arial" w:cs="Arial"/>
                <w:sz w:val="20"/>
                <w:szCs w:val="20"/>
              </w:rPr>
            </w:pPr>
            <w:r w:rsidRPr="00B01F9E">
              <w:rPr>
                <w:rFonts w:ascii="Arial" w:hAnsi="Arial" w:cs="Arial"/>
                <w:sz w:val="20"/>
                <w:szCs w:val="20"/>
              </w:rPr>
              <w:t>IT Analyst</w:t>
            </w:r>
          </w:p>
        </w:tc>
      </w:tr>
      <w:tr w:rsidR="007C769C" w:rsidRPr="00B01F9E" w14:paraId="204DA2FF" w14:textId="77777777" w:rsidTr="00423392">
        <w:trPr>
          <w:trHeight w:val="144"/>
        </w:trPr>
        <w:tc>
          <w:tcPr>
            <w:tcW w:w="1083" w:type="dxa"/>
            <w:vMerge/>
          </w:tcPr>
          <w:p w14:paraId="7598C630" w14:textId="77777777" w:rsidR="007C769C" w:rsidRPr="00B01F9E" w:rsidRDefault="007C769C" w:rsidP="00423392">
            <w:pPr>
              <w:rPr>
                <w:rFonts w:ascii="Arial" w:hAnsi="Arial" w:cs="Arial"/>
                <w:sz w:val="20"/>
                <w:szCs w:val="20"/>
              </w:rPr>
            </w:pPr>
          </w:p>
        </w:tc>
        <w:tc>
          <w:tcPr>
            <w:tcW w:w="3502" w:type="dxa"/>
            <w:vMerge/>
          </w:tcPr>
          <w:p w14:paraId="00F81B26" w14:textId="77777777" w:rsidR="007C769C" w:rsidRPr="00B01F9E" w:rsidRDefault="007C769C" w:rsidP="00423392">
            <w:pPr>
              <w:rPr>
                <w:rFonts w:ascii="Arial" w:hAnsi="Arial" w:cs="Arial"/>
                <w:sz w:val="20"/>
                <w:szCs w:val="20"/>
              </w:rPr>
            </w:pPr>
          </w:p>
        </w:tc>
        <w:tc>
          <w:tcPr>
            <w:tcW w:w="4215" w:type="dxa"/>
          </w:tcPr>
          <w:p w14:paraId="3EDF8712" w14:textId="77777777" w:rsidR="007C769C" w:rsidRPr="00B01F9E" w:rsidRDefault="007C769C" w:rsidP="00423392">
            <w:pPr>
              <w:rPr>
                <w:rFonts w:ascii="Arial" w:hAnsi="Arial" w:cs="Arial"/>
                <w:sz w:val="20"/>
                <w:szCs w:val="20"/>
              </w:rPr>
            </w:pPr>
            <w:r w:rsidRPr="00B01F9E">
              <w:rPr>
                <w:rFonts w:ascii="Arial" w:hAnsi="Arial" w:cs="Arial"/>
                <w:sz w:val="20"/>
                <w:szCs w:val="20"/>
              </w:rPr>
              <w:t>Other</w:t>
            </w:r>
          </w:p>
        </w:tc>
      </w:tr>
      <w:tr w:rsidR="007C769C" w:rsidRPr="00B01F9E" w14:paraId="1B34D84E" w14:textId="77777777" w:rsidTr="00423392">
        <w:trPr>
          <w:trHeight w:val="278"/>
        </w:trPr>
        <w:tc>
          <w:tcPr>
            <w:tcW w:w="1083" w:type="dxa"/>
          </w:tcPr>
          <w:p w14:paraId="5D72C1DD" w14:textId="77777777" w:rsidR="007C769C" w:rsidRPr="00B01F9E" w:rsidRDefault="007C769C" w:rsidP="00423392">
            <w:pPr>
              <w:rPr>
                <w:rFonts w:ascii="Arial" w:hAnsi="Arial" w:cs="Arial"/>
                <w:sz w:val="20"/>
                <w:szCs w:val="20"/>
              </w:rPr>
            </w:pPr>
            <w:r w:rsidRPr="00B01F9E">
              <w:rPr>
                <w:rFonts w:ascii="Arial" w:hAnsi="Arial" w:cs="Arial"/>
                <w:sz w:val="20"/>
                <w:szCs w:val="20"/>
              </w:rPr>
              <w:t>4</w:t>
            </w:r>
          </w:p>
        </w:tc>
        <w:tc>
          <w:tcPr>
            <w:tcW w:w="3502" w:type="dxa"/>
          </w:tcPr>
          <w:p w14:paraId="16842217" w14:textId="77777777" w:rsidR="007C769C" w:rsidRPr="00B01F9E" w:rsidRDefault="007C769C" w:rsidP="00423392">
            <w:pPr>
              <w:rPr>
                <w:rFonts w:ascii="Arial" w:hAnsi="Arial" w:cs="Arial"/>
                <w:sz w:val="20"/>
                <w:szCs w:val="20"/>
              </w:rPr>
            </w:pPr>
            <w:r w:rsidRPr="00B01F9E">
              <w:rPr>
                <w:rFonts w:ascii="Arial" w:hAnsi="Arial" w:cs="Arial"/>
                <w:sz w:val="20"/>
                <w:szCs w:val="20"/>
              </w:rPr>
              <w:t>How much time was involved in environment creation and set-up? (Please specify the time in weeks)</w:t>
            </w:r>
          </w:p>
        </w:tc>
        <w:tc>
          <w:tcPr>
            <w:tcW w:w="4215" w:type="dxa"/>
          </w:tcPr>
          <w:p w14:paraId="6F975215" w14:textId="77777777" w:rsidR="007C769C" w:rsidRPr="00B01F9E" w:rsidRDefault="007C769C" w:rsidP="00423392">
            <w:pPr>
              <w:rPr>
                <w:rFonts w:ascii="Arial" w:hAnsi="Arial" w:cs="Arial"/>
                <w:sz w:val="20"/>
                <w:szCs w:val="20"/>
              </w:rPr>
            </w:pPr>
            <w:r w:rsidRPr="00B01F9E">
              <w:rPr>
                <w:rFonts w:ascii="Arial" w:hAnsi="Arial" w:cs="Arial"/>
                <w:sz w:val="20"/>
                <w:szCs w:val="20"/>
              </w:rPr>
              <w:t>Open-ended question</w:t>
            </w:r>
          </w:p>
        </w:tc>
      </w:tr>
      <w:tr w:rsidR="007C769C" w:rsidRPr="00B01F9E" w14:paraId="3E772FF1" w14:textId="77777777" w:rsidTr="00423392">
        <w:trPr>
          <w:trHeight w:val="278"/>
        </w:trPr>
        <w:tc>
          <w:tcPr>
            <w:tcW w:w="1083" w:type="dxa"/>
          </w:tcPr>
          <w:p w14:paraId="555AF8BC" w14:textId="77777777" w:rsidR="007C769C" w:rsidRPr="00B01F9E" w:rsidRDefault="007C769C" w:rsidP="00423392">
            <w:pPr>
              <w:rPr>
                <w:rFonts w:ascii="Arial" w:hAnsi="Arial" w:cs="Arial"/>
                <w:sz w:val="20"/>
                <w:szCs w:val="20"/>
              </w:rPr>
            </w:pPr>
            <w:r w:rsidRPr="00B01F9E">
              <w:rPr>
                <w:rFonts w:ascii="Arial" w:hAnsi="Arial" w:cs="Arial"/>
                <w:sz w:val="20"/>
                <w:szCs w:val="20"/>
              </w:rPr>
              <w:t>5</w:t>
            </w:r>
          </w:p>
        </w:tc>
        <w:tc>
          <w:tcPr>
            <w:tcW w:w="3502" w:type="dxa"/>
          </w:tcPr>
          <w:p w14:paraId="1E051A51" w14:textId="77777777" w:rsidR="007C769C" w:rsidRPr="00B01F9E" w:rsidRDefault="007C769C" w:rsidP="00423392">
            <w:pPr>
              <w:rPr>
                <w:rFonts w:ascii="Arial" w:hAnsi="Arial" w:cs="Arial"/>
                <w:sz w:val="20"/>
                <w:szCs w:val="20"/>
              </w:rPr>
            </w:pPr>
            <w:r w:rsidRPr="00B01F9E">
              <w:rPr>
                <w:rFonts w:ascii="Arial" w:hAnsi="Arial" w:cs="Arial"/>
                <w:sz w:val="20"/>
                <w:szCs w:val="20"/>
              </w:rPr>
              <w:t>How much time was involved in testing the transmission of HL7 messages? (Please specify the time in weeks)</w:t>
            </w:r>
          </w:p>
        </w:tc>
        <w:tc>
          <w:tcPr>
            <w:tcW w:w="4215" w:type="dxa"/>
          </w:tcPr>
          <w:p w14:paraId="622EF4EE" w14:textId="77777777" w:rsidR="007C769C" w:rsidRPr="00B01F9E" w:rsidRDefault="007C769C" w:rsidP="00423392">
            <w:pPr>
              <w:rPr>
                <w:rFonts w:ascii="Arial" w:hAnsi="Arial" w:cs="Arial"/>
                <w:sz w:val="20"/>
                <w:szCs w:val="20"/>
              </w:rPr>
            </w:pPr>
            <w:r w:rsidRPr="00B01F9E">
              <w:rPr>
                <w:rFonts w:ascii="Arial" w:hAnsi="Arial" w:cs="Arial"/>
                <w:sz w:val="20"/>
                <w:szCs w:val="20"/>
              </w:rPr>
              <w:t>Open-ended question</w:t>
            </w:r>
          </w:p>
        </w:tc>
      </w:tr>
      <w:tr w:rsidR="007C769C" w:rsidRPr="00B01F9E" w14:paraId="6B9FE2A3" w14:textId="77777777" w:rsidTr="00423392">
        <w:trPr>
          <w:trHeight w:val="278"/>
        </w:trPr>
        <w:tc>
          <w:tcPr>
            <w:tcW w:w="1083" w:type="dxa"/>
          </w:tcPr>
          <w:p w14:paraId="7D771673" w14:textId="77777777" w:rsidR="007C769C" w:rsidRPr="00B01F9E" w:rsidRDefault="007C769C" w:rsidP="00423392">
            <w:pPr>
              <w:rPr>
                <w:rFonts w:ascii="Arial" w:hAnsi="Arial" w:cs="Arial"/>
                <w:sz w:val="20"/>
                <w:szCs w:val="20"/>
              </w:rPr>
            </w:pPr>
            <w:r w:rsidRPr="00B01F9E">
              <w:rPr>
                <w:rFonts w:ascii="Arial" w:hAnsi="Arial" w:cs="Arial"/>
                <w:sz w:val="20"/>
                <w:szCs w:val="20"/>
              </w:rPr>
              <w:t>6</w:t>
            </w:r>
          </w:p>
        </w:tc>
        <w:tc>
          <w:tcPr>
            <w:tcW w:w="3502" w:type="dxa"/>
          </w:tcPr>
          <w:p w14:paraId="5CA53B2D" w14:textId="77777777" w:rsidR="007C769C" w:rsidRPr="00B01F9E" w:rsidRDefault="007C769C" w:rsidP="00423392">
            <w:pPr>
              <w:rPr>
                <w:rFonts w:ascii="Arial" w:hAnsi="Arial" w:cs="Arial"/>
                <w:sz w:val="20"/>
                <w:szCs w:val="20"/>
              </w:rPr>
            </w:pPr>
            <w:r w:rsidRPr="00B01F9E">
              <w:rPr>
                <w:rFonts w:ascii="Arial" w:hAnsi="Arial" w:cs="Arial"/>
                <w:sz w:val="20"/>
                <w:szCs w:val="20"/>
              </w:rPr>
              <w:t>How much time was involved in general project tasks and collaboration? (Please specify the time in weeks)</w:t>
            </w:r>
          </w:p>
        </w:tc>
        <w:tc>
          <w:tcPr>
            <w:tcW w:w="4215" w:type="dxa"/>
          </w:tcPr>
          <w:p w14:paraId="1D0BE012" w14:textId="77777777" w:rsidR="007C769C" w:rsidRPr="00B01F9E" w:rsidRDefault="007C769C" w:rsidP="00423392">
            <w:pPr>
              <w:rPr>
                <w:rFonts w:ascii="Arial" w:hAnsi="Arial" w:cs="Arial"/>
                <w:sz w:val="20"/>
                <w:szCs w:val="20"/>
              </w:rPr>
            </w:pPr>
            <w:r w:rsidRPr="00B01F9E">
              <w:rPr>
                <w:rFonts w:ascii="Arial" w:hAnsi="Arial" w:cs="Arial"/>
                <w:sz w:val="20"/>
                <w:szCs w:val="20"/>
              </w:rPr>
              <w:t>Open-ended question</w:t>
            </w:r>
          </w:p>
        </w:tc>
      </w:tr>
      <w:tr w:rsidR="007C769C" w:rsidRPr="00B01F9E" w14:paraId="674776DB" w14:textId="77777777" w:rsidTr="00423392">
        <w:trPr>
          <w:trHeight w:val="278"/>
        </w:trPr>
        <w:tc>
          <w:tcPr>
            <w:tcW w:w="1083" w:type="dxa"/>
          </w:tcPr>
          <w:p w14:paraId="6FC667B8" w14:textId="77777777" w:rsidR="007C769C" w:rsidRPr="00B01F9E" w:rsidRDefault="007C769C" w:rsidP="00423392">
            <w:pPr>
              <w:rPr>
                <w:rFonts w:ascii="Arial" w:hAnsi="Arial" w:cs="Arial"/>
                <w:sz w:val="20"/>
                <w:szCs w:val="20"/>
              </w:rPr>
            </w:pPr>
            <w:r w:rsidRPr="00B01F9E">
              <w:rPr>
                <w:rFonts w:ascii="Arial" w:hAnsi="Arial" w:cs="Arial"/>
                <w:sz w:val="20"/>
                <w:szCs w:val="20"/>
              </w:rPr>
              <w:t>7</w:t>
            </w:r>
          </w:p>
        </w:tc>
        <w:tc>
          <w:tcPr>
            <w:tcW w:w="3502" w:type="dxa"/>
          </w:tcPr>
          <w:p w14:paraId="2985FC40" w14:textId="77777777" w:rsidR="007C769C" w:rsidRPr="00B01F9E" w:rsidRDefault="007C769C" w:rsidP="00423392">
            <w:pPr>
              <w:rPr>
                <w:rFonts w:ascii="Arial" w:hAnsi="Arial" w:cs="Arial"/>
                <w:sz w:val="20"/>
                <w:szCs w:val="20"/>
              </w:rPr>
            </w:pPr>
            <w:r w:rsidRPr="00B01F9E">
              <w:rPr>
                <w:rFonts w:ascii="Arial" w:hAnsi="Arial" w:cs="Arial"/>
                <w:sz w:val="20"/>
                <w:szCs w:val="20"/>
              </w:rPr>
              <w:t>Please describe any challenges or constraints that impacted the time or resources required throughout the project</w:t>
            </w:r>
          </w:p>
        </w:tc>
        <w:tc>
          <w:tcPr>
            <w:tcW w:w="4215" w:type="dxa"/>
          </w:tcPr>
          <w:p w14:paraId="4CF4D2CA" w14:textId="77777777" w:rsidR="007C769C" w:rsidRPr="00B01F9E" w:rsidRDefault="007C769C" w:rsidP="00423392">
            <w:pPr>
              <w:rPr>
                <w:rFonts w:ascii="Arial" w:hAnsi="Arial" w:cs="Arial"/>
                <w:sz w:val="20"/>
                <w:szCs w:val="20"/>
              </w:rPr>
            </w:pPr>
            <w:r w:rsidRPr="00B01F9E">
              <w:rPr>
                <w:rFonts w:ascii="Arial" w:hAnsi="Arial" w:cs="Arial"/>
                <w:sz w:val="20"/>
                <w:szCs w:val="20"/>
              </w:rPr>
              <w:t>Open-ended question</w:t>
            </w:r>
          </w:p>
        </w:tc>
      </w:tr>
      <w:tr w:rsidR="007C769C" w:rsidRPr="00B01F9E" w14:paraId="622FCBBF" w14:textId="77777777" w:rsidTr="00423392">
        <w:trPr>
          <w:trHeight w:val="144"/>
        </w:trPr>
        <w:tc>
          <w:tcPr>
            <w:tcW w:w="1083" w:type="dxa"/>
            <w:vMerge w:val="restart"/>
          </w:tcPr>
          <w:p w14:paraId="3BA7A9D8" w14:textId="77777777" w:rsidR="007C769C" w:rsidRPr="00B01F9E" w:rsidRDefault="007C769C" w:rsidP="00423392">
            <w:pPr>
              <w:rPr>
                <w:rFonts w:ascii="Arial" w:hAnsi="Arial" w:cs="Arial"/>
                <w:sz w:val="20"/>
                <w:szCs w:val="20"/>
              </w:rPr>
            </w:pPr>
            <w:r w:rsidRPr="00B01F9E">
              <w:rPr>
                <w:rFonts w:ascii="Arial" w:hAnsi="Arial" w:cs="Arial"/>
                <w:sz w:val="20"/>
                <w:szCs w:val="20"/>
              </w:rPr>
              <w:t>8</w:t>
            </w:r>
          </w:p>
        </w:tc>
        <w:tc>
          <w:tcPr>
            <w:tcW w:w="3502" w:type="dxa"/>
            <w:vMerge w:val="restart"/>
          </w:tcPr>
          <w:p w14:paraId="2A2B87BB" w14:textId="77777777" w:rsidR="007C769C" w:rsidRPr="00B01F9E" w:rsidRDefault="007C769C" w:rsidP="00423392">
            <w:pPr>
              <w:rPr>
                <w:rFonts w:ascii="Arial" w:hAnsi="Arial" w:cs="Arial"/>
                <w:sz w:val="20"/>
                <w:szCs w:val="20"/>
              </w:rPr>
            </w:pPr>
            <w:r w:rsidRPr="00B01F9E">
              <w:rPr>
                <w:rFonts w:ascii="Arial" w:hAnsi="Arial" w:cs="Arial"/>
                <w:sz w:val="20"/>
                <w:szCs w:val="20"/>
              </w:rPr>
              <w:t>How many personnel were involved in the environment set-up and technical build phase?  </w:t>
            </w:r>
          </w:p>
        </w:tc>
        <w:tc>
          <w:tcPr>
            <w:tcW w:w="4215" w:type="dxa"/>
          </w:tcPr>
          <w:p w14:paraId="7EF04263" w14:textId="77777777" w:rsidR="007C769C" w:rsidRPr="00B01F9E" w:rsidRDefault="007C769C" w:rsidP="00423392">
            <w:pPr>
              <w:rPr>
                <w:rFonts w:ascii="Arial" w:hAnsi="Arial" w:cs="Arial"/>
                <w:sz w:val="20"/>
                <w:szCs w:val="20"/>
              </w:rPr>
            </w:pPr>
            <w:r w:rsidRPr="00B01F9E">
              <w:rPr>
                <w:rFonts w:ascii="Arial" w:hAnsi="Arial" w:cs="Arial"/>
                <w:sz w:val="20"/>
                <w:szCs w:val="20"/>
              </w:rPr>
              <w:t>1-2</w:t>
            </w:r>
          </w:p>
        </w:tc>
      </w:tr>
      <w:tr w:rsidR="007C769C" w:rsidRPr="00B01F9E" w14:paraId="192AB548" w14:textId="77777777" w:rsidTr="00423392">
        <w:trPr>
          <w:trHeight w:val="144"/>
        </w:trPr>
        <w:tc>
          <w:tcPr>
            <w:tcW w:w="1083" w:type="dxa"/>
            <w:vMerge/>
          </w:tcPr>
          <w:p w14:paraId="5EA83AEC" w14:textId="77777777" w:rsidR="007C769C" w:rsidRPr="00B01F9E" w:rsidRDefault="007C769C" w:rsidP="00423392">
            <w:pPr>
              <w:rPr>
                <w:rFonts w:ascii="Arial" w:hAnsi="Arial" w:cs="Arial"/>
                <w:sz w:val="20"/>
                <w:szCs w:val="20"/>
              </w:rPr>
            </w:pPr>
          </w:p>
        </w:tc>
        <w:tc>
          <w:tcPr>
            <w:tcW w:w="3502" w:type="dxa"/>
            <w:vMerge/>
          </w:tcPr>
          <w:p w14:paraId="76E95615" w14:textId="77777777" w:rsidR="007C769C" w:rsidRPr="00B01F9E" w:rsidRDefault="007C769C" w:rsidP="00423392">
            <w:pPr>
              <w:rPr>
                <w:rFonts w:ascii="Arial" w:hAnsi="Arial" w:cs="Arial"/>
                <w:sz w:val="20"/>
                <w:szCs w:val="20"/>
              </w:rPr>
            </w:pPr>
          </w:p>
        </w:tc>
        <w:tc>
          <w:tcPr>
            <w:tcW w:w="4215" w:type="dxa"/>
          </w:tcPr>
          <w:p w14:paraId="21ECEC1C" w14:textId="77777777" w:rsidR="007C769C" w:rsidRPr="00B01F9E" w:rsidRDefault="007C769C" w:rsidP="00423392">
            <w:pPr>
              <w:rPr>
                <w:rFonts w:ascii="Arial" w:hAnsi="Arial" w:cs="Arial"/>
                <w:sz w:val="20"/>
                <w:szCs w:val="20"/>
              </w:rPr>
            </w:pPr>
            <w:r w:rsidRPr="00B01F9E">
              <w:rPr>
                <w:rFonts w:ascii="Arial" w:hAnsi="Arial" w:cs="Arial"/>
                <w:sz w:val="20"/>
                <w:szCs w:val="20"/>
              </w:rPr>
              <w:t>3-5</w:t>
            </w:r>
          </w:p>
        </w:tc>
      </w:tr>
      <w:tr w:rsidR="007C769C" w:rsidRPr="00B01F9E" w14:paraId="1605FD2D" w14:textId="77777777" w:rsidTr="00423392">
        <w:trPr>
          <w:trHeight w:val="144"/>
        </w:trPr>
        <w:tc>
          <w:tcPr>
            <w:tcW w:w="1083" w:type="dxa"/>
            <w:vMerge/>
          </w:tcPr>
          <w:p w14:paraId="16794D19" w14:textId="77777777" w:rsidR="007C769C" w:rsidRPr="00B01F9E" w:rsidRDefault="007C769C" w:rsidP="00423392">
            <w:pPr>
              <w:rPr>
                <w:rFonts w:ascii="Arial" w:hAnsi="Arial" w:cs="Arial"/>
                <w:sz w:val="20"/>
                <w:szCs w:val="20"/>
              </w:rPr>
            </w:pPr>
          </w:p>
        </w:tc>
        <w:tc>
          <w:tcPr>
            <w:tcW w:w="3502" w:type="dxa"/>
            <w:vMerge/>
          </w:tcPr>
          <w:p w14:paraId="468F6590" w14:textId="77777777" w:rsidR="007C769C" w:rsidRPr="00B01F9E" w:rsidRDefault="007C769C" w:rsidP="00423392">
            <w:pPr>
              <w:rPr>
                <w:rFonts w:ascii="Arial" w:hAnsi="Arial" w:cs="Arial"/>
                <w:sz w:val="20"/>
                <w:szCs w:val="20"/>
              </w:rPr>
            </w:pPr>
          </w:p>
        </w:tc>
        <w:tc>
          <w:tcPr>
            <w:tcW w:w="4215" w:type="dxa"/>
          </w:tcPr>
          <w:p w14:paraId="33887BE6" w14:textId="77777777" w:rsidR="007C769C" w:rsidRPr="00B01F9E" w:rsidRDefault="007C769C" w:rsidP="00423392">
            <w:pPr>
              <w:rPr>
                <w:rFonts w:ascii="Arial" w:hAnsi="Arial" w:cs="Arial"/>
                <w:sz w:val="20"/>
                <w:szCs w:val="20"/>
              </w:rPr>
            </w:pPr>
            <w:r w:rsidRPr="00B01F9E">
              <w:rPr>
                <w:rFonts w:ascii="Arial" w:hAnsi="Arial" w:cs="Arial"/>
                <w:sz w:val="20"/>
                <w:szCs w:val="20"/>
              </w:rPr>
              <w:t>6-10</w:t>
            </w:r>
          </w:p>
        </w:tc>
      </w:tr>
      <w:tr w:rsidR="007C769C" w:rsidRPr="00B01F9E" w14:paraId="463A1576" w14:textId="77777777" w:rsidTr="00423392">
        <w:trPr>
          <w:trHeight w:val="144"/>
        </w:trPr>
        <w:tc>
          <w:tcPr>
            <w:tcW w:w="1083" w:type="dxa"/>
            <w:vMerge/>
          </w:tcPr>
          <w:p w14:paraId="7ECE59EC" w14:textId="77777777" w:rsidR="007C769C" w:rsidRPr="00B01F9E" w:rsidRDefault="007C769C" w:rsidP="00423392">
            <w:pPr>
              <w:rPr>
                <w:rFonts w:ascii="Arial" w:hAnsi="Arial" w:cs="Arial"/>
                <w:sz w:val="20"/>
                <w:szCs w:val="20"/>
              </w:rPr>
            </w:pPr>
          </w:p>
        </w:tc>
        <w:tc>
          <w:tcPr>
            <w:tcW w:w="3502" w:type="dxa"/>
            <w:vMerge/>
          </w:tcPr>
          <w:p w14:paraId="4D5CA3E0" w14:textId="77777777" w:rsidR="007C769C" w:rsidRPr="00B01F9E" w:rsidRDefault="007C769C" w:rsidP="00423392">
            <w:pPr>
              <w:rPr>
                <w:rFonts w:ascii="Arial" w:hAnsi="Arial" w:cs="Arial"/>
                <w:sz w:val="20"/>
                <w:szCs w:val="20"/>
              </w:rPr>
            </w:pPr>
          </w:p>
        </w:tc>
        <w:tc>
          <w:tcPr>
            <w:tcW w:w="4215" w:type="dxa"/>
          </w:tcPr>
          <w:p w14:paraId="1F84D708" w14:textId="77777777" w:rsidR="007C769C" w:rsidRPr="00B01F9E" w:rsidRDefault="007C769C" w:rsidP="00423392">
            <w:pPr>
              <w:rPr>
                <w:rFonts w:ascii="Arial" w:hAnsi="Arial" w:cs="Arial"/>
                <w:sz w:val="20"/>
                <w:szCs w:val="20"/>
              </w:rPr>
            </w:pPr>
            <w:r w:rsidRPr="00B01F9E">
              <w:rPr>
                <w:rFonts w:ascii="Arial" w:hAnsi="Arial" w:cs="Arial"/>
                <w:sz w:val="20"/>
                <w:szCs w:val="20"/>
              </w:rPr>
              <w:t>More than 10</w:t>
            </w:r>
          </w:p>
        </w:tc>
      </w:tr>
      <w:tr w:rsidR="007C769C" w:rsidRPr="00B01F9E" w14:paraId="17BD3FA9" w14:textId="77777777" w:rsidTr="00423392">
        <w:trPr>
          <w:trHeight w:val="144"/>
        </w:trPr>
        <w:tc>
          <w:tcPr>
            <w:tcW w:w="1083" w:type="dxa"/>
            <w:vMerge w:val="restart"/>
          </w:tcPr>
          <w:p w14:paraId="3D563B9D" w14:textId="77777777" w:rsidR="007C769C" w:rsidRPr="00B01F9E" w:rsidRDefault="007C769C" w:rsidP="00423392">
            <w:pPr>
              <w:rPr>
                <w:rFonts w:ascii="Arial" w:hAnsi="Arial" w:cs="Arial"/>
                <w:sz w:val="20"/>
                <w:szCs w:val="20"/>
              </w:rPr>
            </w:pPr>
            <w:r w:rsidRPr="00B01F9E">
              <w:rPr>
                <w:rFonts w:ascii="Arial" w:hAnsi="Arial" w:cs="Arial"/>
                <w:sz w:val="20"/>
                <w:szCs w:val="20"/>
              </w:rPr>
              <w:t>9</w:t>
            </w:r>
          </w:p>
        </w:tc>
        <w:tc>
          <w:tcPr>
            <w:tcW w:w="3502" w:type="dxa"/>
            <w:vMerge w:val="restart"/>
          </w:tcPr>
          <w:p w14:paraId="3039D785" w14:textId="77777777" w:rsidR="007C769C" w:rsidRPr="00B01F9E" w:rsidRDefault="007C769C" w:rsidP="00423392">
            <w:pPr>
              <w:rPr>
                <w:rFonts w:ascii="Arial" w:hAnsi="Arial" w:cs="Arial"/>
                <w:sz w:val="20"/>
                <w:szCs w:val="20"/>
              </w:rPr>
            </w:pPr>
            <w:r w:rsidRPr="00B01F9E">
              <w:rPr>
                <w:rFonts w:ascii="Arial" w:hAnsi="Arial" w:cs="Arial"/>
                <w:sz w:val="20"/>
                <w:szCs w:val="20"/>
              </w:rPr>
              <w:t>How many personnel were involved in the testing phase?  </w:t>
            </w:r>
          </w:p>
        </w:tc>
        <w:tc>
          <w:tcPr>
            <w:tcW w:w="4215" w:type="dxa"/>
          </w:tcPr>
          <w:p w14:paraId="49DF5499" w14:textId="77777777" w:rsidR="007C769C" w:rsidRPr="00B01F9E" w:rsidRDefault="007C769C" w:rsidP="00423392">
            <w:pPr>
              <w:rPr>
                <w:rFonts w:ascii="Arial" w:hAnsi="Arial" w:cs="Arial"/>
                <w:sz w:val="20"/>
                <w:szCs w:val="20"/>
              </w:rPr>
            </w:pPr>
            <w:r w:rsidRPr="00B01F9E">
              <w:rPr>
                <w:rFonts w:ascii="Arial" w:hAnsi="Arial" w:cs="Arial"/>
                <w:sz w:val="20"/>
                <w:szCs w:val="20"/>
              </w:rPr>
              <w:t>1-2</w:t>
            </w:r>
          </w:p>
        </w:tc>
      </w:tr>
      <w:tr w:rsidR="007C769C" w:rsidRPr="00B01F9E" w14:paraId="23B1EF8D" w14:textId="77777777" w:rsidTr="00423392">
        <w:trPr>
          <w:trHeight w:val="144"/>
        </w:trPr>
        <w:tc>
          <w:tcPr>
            <w:tcW w:w="1083" w:type="dxa"/>
            <w:vMerge/>
          </w:tcPr>
          <w:p w14:paraId="523FF436" w14:textId="77777777" w:rsidR="007C769C" w:rsidRPr="00B01F9E" w:rsidRDefault="007C769C" w:rsidP="00423392">
            <w:pPr>
              <w:rPr>
                <w:rFonts w:ascii="Arial" w:hAnsi="Arial" w:cs="Arial"/>
                <w:sz w:val="20"/>
                <w:szCs w:val="20"/>
              </w:rPr>
            </w:pPr>
          </w:p>
        </w:tc>
        <w:tc>
          <w:tcPr>
            <w:tcW w:w="3502" w:type="dxa"/>
            <w:vMerge/>
          </w:tcPr>
          <w:p w14:paraId="7A888FD5" w14:textId="77777777" w:rsidR="007C769C" w:rsidRPr="00B01F9E" w:rsidRDefault="007C769C" w:rsidP="00423392">
            <w:pPr>
              <w:rPr>
                <w:rFonts w:ascii="Arial" w:hAnsi="Arial" w:cs="Arial"/>
                <w:sz w:val="20"/>
                <w:szCs w:val="20"/>
              </w:rPr>
            </w:pPr>
          </w:p>
        </w:tc>
        <w:tc>
          <w:tcPr>
            <w:tcW w:w="4215" w:type="dxa"/>
          </w:tcPr>
          <w:p w14:paraId="5E134103" w14:textId="77777777" w:rsidR="007C769C" w:rsidRPr="00B01F9E" w:rsidRDefault="007C769C" w:rsidP="00423392">
            <w:pPr>
              <w:rPr>
                <w:rFonts w:ascii="Arial" w:hAnsi="Arial" w:cs="Arial"/>
                <w:sz w:val="20"/>
                <w:szCs w:val="20"/>
              </w:rPr>
            </w:pPr>
            <w:r w:rsidRPr="00B01F9E">
              <w:rPr>
                <w:rFonts w:ascii="Arial" w:hAnsi="Arial" w:cs="Arial"/>
                <w:sz w:val="20"/>
                <w:szCs w:val="20"/>
              </w:rPr>
              <w:t>3-5</w:t>
            </w:r>
          </w:p>
        </w:tc>
      </w:tr>
      <w:tr w:rsidR="007C769C" w:rsidRPr="00B01F9E" w14:paraId="3495E879" w14:textId="77777777" w:rsidTr="00423392">
        <w:trPr>
          <w:trHeight w:val="144"/>
        </w:trPr>
        <w:tc>
          <w:tcPr>
            <w:tcW w:w="1083" w:type="dxa"/>
            <w:vMerge/>
          </w:tcPr>
          <w:p w14:paraId="7C3FB76E" w14:textId="77777777" w:rsidR="007C769C" w:rsidRPr="00B01F9E" w:rsidRDefault="007C769C" w:rsidP="00423392">
            <w:pPr>
              <w:rPr>
                <w:rFonts w:ascii="Arial" w:hAnsi="Arial" w:cs="Arial"/>
                <w:sz w:val="20"/>
                <w:szCs w:val="20"/>
              </w:rPr>
            </w:pPr>
          </w:p>
        </w:tc>
        <w:tc>
          <w:tcPr>
            <w:tcW w:w="3502" w:type="dxa"/>
            <w:vMerge/>
          </w:tcPr>
          <w:p w14:paraId="336CF48B" w14:textId="77777777" w:rsidR="007C769C" w:rsidRPr="00B01F9E" w:rsidRDefault="007C769C" w:rsidP="00423392">
            <w:pPr>
              <w:rPr>
                <w:rFonts w:ascii="Arial" w:hAnsi="Arial" w:cs="Arial"/>
                <w:sz w:val="20"/>
                <w:szCs w:val="20"/>
              </w:rPr>
            </w:pPr>
          </w:p>
        </w:tc>
        <w:tc>
          <w:tcPr>
            <w:tcW w:w="4215" w:type="dxa"/>
          </w:tcPr>
          <w:p w14:paraId="4F9224AD" w14:textId="77777777" w:rsidR="007C769C" w:rsidRPr="00B01F9E" w:rsidRDefault="007C769C" w:rsidP="00423392">
            <w:pPr>
              <w:rPr>
                <w:rFonts w:ascii="Arial" w:hAnsi="Arial" w:cs="Arial"/>
                <w:sz w:val="20"/>
                <w:szCs w:val="20"/>
              </w:rPr>
            </w:pPr>
            <w:r w:rsidRPr="00B01F9E">
              <w:rPr>
                <w:rFonts w:ascii="Arial" w:hAnsi="Arial" w:cs="Arial"/>
                <w:sz w:val="20"/>
                <w:szCs w:val="20"/>
              </w:rPr>
              <w:t>6-10</w:t>
            </w:r>
          </w:p>
        </w:tc>
      </w:tr>
      <w:tr w:rsidR="007C769C" w:rsidRPr="00B01F9E" w14:paraId="64172A9E" w14:textId="77777777" w:rsidTr="00423392">
        <w:trPr>
          <w:trHeight w:val="144"/>
        </w:trPr>
        <w:tc>
          <w:tcPr>
            <w:tcW w:w="1083" w:type="dxa"/>
            <w:vMerge/>
          </w:tcPr>
          <w:p w14:paraId="76044BCF" w14:textId="77777777" w:rsidR="007C769C" w:rsidRPr="00B01F9E" w:rsidRDefault="007C769C" w:rsidP="00423392">
            <w:pPr>
              <w:rPr>
                <w:rFonts w:ascii="Arial" w:hAnsi="Arial" w:cs="Arial"/>
                <w:sz w:val="20"/>
                <w:szCs w:val="20"/>
              </w:rPr>
            </w:pPr>
          </w:p>
        </w:tc>
        <w:tc>
          <w:tcPr>
            <w:tcW w:w="3502" w:type="dxa"/>
            <w:vMerge/>
          </w:tcPr>
          <w:p w14:paraId="1DDD4CF2" w14:textId="77777777" w:rsidR="007C769C" w:rsidRPr="00B01F9E" w:rsidRDefault="007C769C" w:rsidP="00423392">
            <w:pPr>
              <w:rPr>
                <w:rFonts w:ascii="Arial" w:hAnsi="Arial" w:cs="Arial"/>
                <w:sz w:val="20"/>
                <w:szCs w:val="20"/>
              </w:rPr>
            </w:pPr>
          </w:p>
        </w:tc>
        <w:tc>
          <w:tcPr>
            <w:tcW w:w="4215" w:type="dxa"/>
          </w:tcPr>
          <w:p w14:paraId="4B465427" w14:textId="77777777" w:rsidR="007C769C" w:rsidRPr="00B01F9E" w:rsidRDefault="007C769C" w:rsidP="00423392">
            <w:pPr>
              <w:rPr>
                <w:rFonts w:ascii="Arial" w:hAnsi="Arial" w:cs="Arial"/>
                <w:sz w:val="20"/>
                <w:szCs w:val="20"/>
              </w:rPr>
            </w:pPr>
            <w:r w:rsidRPr="00B01F9E">
              <w:rPr>
                <w:rFonts w:ascii="Arial" w:hAnsi="Arial" w:cs="Arial"/>
                <w:sz w:val="20"/>
                <w:szCs w:val="20"/>
              </w:rPr>
              <w:t>More than 10</w:t>
            </w:r>
          </w:p>
        </w:tc>
      </w:tr>
      <w:tr w:rsidR="007C769C" w:rsidRPr="00B01F9E" w14:paraId="03BEFA6B" w14:textId="77777777" w:rsidTr="00423392">
        <w:trPr>
          <w:trHeight w:val="278"/>
        </w:trPr>
        <w:tc>
          <w:tcPr>
            <w:tcW w:w="1083" w:type="dxa"/>
          </w:tcPr>
          <w:p w14:paraId="67CAD00E" w14:textId="77777777" w:rsidR="007C769C" w:rsidRPr="00B01F9E" w:rsidRDefault="007C769C" w:rsidP="00423392">
            <w:pPr>
              <w:rPr>
                <w:rFonts w:ascii="Arial" w:hAnsi="Arial" w:cs="Arial"/>
                <w:sz w:val="20"/>
                <w:szCs w:val="20"/>
              </w:rPr>
            </w:pPr>
            <w:r w:rsidRPr="00B01F9E">
              <w:rPr>
                <w:rFonts w:ascii="Arial" w:hAnsi="Arial" w:cs="Arial"/>
                <w:sz w:val="20"/>
                <w:szCs w:val="20"/>
              </w:rPr>
              <w:t>10</w:t>
            </w:r>
          </w:p>
        </w:tc>
        <w:tc>
          <w:tcPr>
            <w:tcW w:w="3502" w:type="dxa"/>
          </w:tcPr>
          <w:p w14:paraId="6A9C8F10" w14:textId="77777777" w:rsidR="007C769C" w:rsidRPr="00B01F9E" w:rsidRDefault="007C769C" w:rsidP="00423392">
            <w:pPr>
              <w:rPr>
                <w:rFonts w:ascii="Arial" w:hAnsi="Arial" w:cs="Arial"/>
                <w:sz w:val="20"/>
                <w:szCs w:val="20"/>
              </w:rPr>
            </w:pPr>
            <w:r w:rsidRPr="00B01F9E">
              <w:rPr>
                <w:rFonts w:ascii="Arial" w:hAnsi="Arial" w:cs="Arial"/>
                <w:b/>
                <w:bCs/>
                <w:sz w:val="20"/>
                <w:szCs w:val="20"/>
              </w:rPr>
              <w:t>Provide feedback as to what worked well.</w:t>
            </w:r>
            <w:r w:rsidRPr="00B01F9E">
              <w:rPr>
                <w:rFonts w:ascii="Arial" w:hAnsi="Arial" w:cs="Arial"/>
                <w:sz w:val="20"/>
                <w:szCs w:val="20"/>
              </w:rPr>
              <w:t> Some topics to consider are:</w:t>
            </w:r>
          </w:p>
          <w:p w14:paraId="13293AD2" w14:textId="77777777" w:rsidR="007C769C" w:rsidRPr="00B01F9E" w:rsidRDefault="007C769C" w:rsidP="00423392">
            <w:pPr>
              <w:numPr>
                <w:ilvl w:val="0"/>
                <w:numId w:val="54"/>
              </w:numPr>
              <w:rPr>
                <w:rFonts w:ascii="Arial" w:hAnsi="Arial" w:cs="Arial"/>
                <w:sz w:val="20"/>
                <w:szCs w:val="20"/>
              </w:rPr>
            </w:pPr>
            <w:r w:rsidRPr="00B01F9E">
              <w:rPr>
                <w:rFonts w:ascii="Arial" w:hAnsi="Arial" w:cs="Arial"/>
                <w:sz w:val="20"/>
                <w:szCs w:val="20"/>
              </w:rPr>
              <w:t>What should we make sure we do again in the future? </w:t>
            </w:r>
          </w:p>
          <w:p w14:paraId="4D26B314" w14:textId="003580F8" w:rsidR="007C769C" w:rsidRPr="00B01F9E" w:rsidRDefault="007C769C" w:rsidP="00423392">
            <w:pPr>
              <w:numPr>
                <w:ilvl w:val="0"/>
                <w:numId w:val="54"/>
              </w:numPr>
              <w:rPr>
                <w:rFonts w:ascii="Arial" w:hAnsi="Arial" w:cs="Arial"/>
                <w:sz w:val="20"/>
                <w:szCs w:val="20"/>
              </w:rPr>
            </w:pPr>
            <w:r w:rsidRPr="00B01F9E">
              <w:rPr>
                <w:rFonts w:ascii="Arial" w:hAnsi="Arial" w:cs="Arial"/>
                <w:sz w:val="20"/>
                <w:szCs w:val="20"/>
              </w:rPr>
              <w:t>What tools or techniques proved to be useful? </w:t>
            </w:r>
          </w:p>
        </w:tc>
        <w:tc>
          <w:tcPr>
            <w:tcW w:w="4215" w:type="dxa"/>
          </w:tcPr>
          <w:p w14:paraId="7B338D41" w14:textId="77777777" w:rsidR="007C769C" w:rsidRPr="00B01F9E" w:rsidRDefault="007C769C" w:rsidP="00423392">
            <w:pPr>
              <w:rPr>
                <w:rFonts w:ascii="Arial" w:hAnsi="Arial" w:cs="Arial"/>
                <w:sz w:val="20"/>
                <w:szCs w:val="20"/>
              </w:rPr>
            </w:pPr>
            <w:r w:rsidRPr="00B01F9E">
              <w:rPr>
                <w:rFonts w:ascii="Arial" w:hAnsi="Arial" w:cs="Arial"/>
                <w:sz w:val="20"/>
                <w:szCs w:val="20"/>
              </w:rPr>
              <w:t>Open-ended question</w:t>
            </w:r>
          </w:p>
        </w:tc>
      </w:tr>
      <w:tr w:rsidR="007C769C" w:rsidRPr="00B01F9E" w14:paraId="216C06BD" w14:textId="77777777" w:rsidTr="00423392">
        <w:trPr>
          <w:trHeight w:val="278"/>
        </w:trPr>
        <w:tc>
          <w:tcPr>
            <w:tcW w:w="1083" w:type="dxa"/>
            <w:tcBorders>
              <w:bottom w:val="single" w:sz="4" w:space="0" w:color="auto"/>
            </w:tcBorders>
          </w:tcPr>
          <w:p w14:paraId="50997B77" w14:textId="77777777" w:rsidR="007C769C" w:rsidRPr="00B01F9E" w:rsidRDefault="007C769C" w:rsidP="00423392">
            <w:pPr>
              <w:rPr>
                <w:rFonts w:ascii="Arial" w:hAnsi="Arial" w:cs="Arial"/>
                <w:sz w:val="20"/>
                <w:szCs w:val="20"/>
              </w:rPr>
            </w:pPr>
            <w:r w:rsidRPr="00B01F9E">
              <w:rPr>
                <w:rFonts w:ascii="Arial" w:hAnsi="Arial" w:cs="Arial"/>
                <w:sz w:val="20"/>
                <w:szCs w:val="20"/>
              </w:rPr>
              <w:t>11</w:t>
            </w:r>
          </w:p>
        </w:tc>
        <w:tc>
          <w:tcPr>
            <w:tcW w:w="3502" w:type="dxa"/>
          </w:tcPr>
          <w:p w14:paraId="2B225E98" w14:textId="77777777" w:rsidR="007C769C" w:rsidRPr="00B01F9E" w:rsidRDefault="007C769C" w:rsidP="00423392">
            <w:pPr>
              <w:rPr>
                <w:rFonts w:ascii="Arial" w:hAnsi="Arial" w:cs="Arial"/>
                <w:sz w:val="20"/>
                <w:szCs w:val="20"/>
              </w:rPr>
            </w:pPr>
            <w:r w:rsidRPr="00B01F9E">
              <w:rPr>
                <w:rFonts w:ascii="Arial" w:hAnsi="Arial" w:cs="Arial"/>
                <w:b/>
                <w:bCs/>
                <w:sz w:val="20"/>
                <w:szCs w:val="20"/>
              </w:rPr>
              <w:t>Provide feedback for challenges faced.</w:t>
            </w:r>
            <w:r w:rsidRPr="00B01F9E">
              <w:rPr>
                <w:rFonts w:ascii="Arial" w:hAnsi="Arial" w:cs="Arial"/>
                <w:sz w:val="20"/>
                <w:szCs w:val="20"/>
              </w:rPr>
              <w:t> Some topics to consider are:</w:t>
            </w:r>
          </w:p>
          <w:p w14:paraId="6093C94E" w14:textId="77777777" w:rsidR="007C769C" w:rsidRPr="00B01F9E" w:rsidRDefault="007C769C" w:rsidP="00423392">
            <w:pPr>
              <w:numPr>
                <w:ilvl w:val="0"/>
                <w:numId w:val="55"/>
              </w:numPr>
              <w:rPr>
                <w:rFonts w:ascii="Arial" w:hAnsi="Arial" w:cs="Arial"/>
                <w:sz w:val="20"/>
                <w:szCs w:val="20"/>
              </w:rPr>
            </w:pPr>
            <w:r w:rsidRPr="00B01F9E">
              <w:rPr>
                <w:rFonts w:ascii="Arial" w:hAnsi="Arial" w:cs="Arial"/>
                <w:sz w:val="20"/>
                <w:szCs w:val="20"/>
              </w:rPr>
              <w:t>What was unexpected? </w:t>
            </w:r>
          </w:p>
          <w:p w14:paraId="209E983E" w14:textId="77777777" w:rsidR="007C769C" w:rsidRPr="00B01F9E" w:rsidRDefault="007C769C" w:rsidP="00423392">
            <w:pPr>
              <w:numPr>
                <w:ilvl w:val="0"/>
                <w:numId w:val="55"/>
              </w:numPr>
              <w:rPr>
                <w:rFonts w:ascii="Arial" w:hAnsi="Arial" w:cs="Arial"/>
                <w:sz w:val="20"/>
                <w:szCs w:val="20"/>
              </w:rPr>
            </w:pPr>
            <w:r w:rsidRPr="00B01F9E">
              <w:rPr>
                <w:rFonts w:ascii="Arial" w:hAnsi="Arial" w:cs="Arial"/>
                <w:sz w:val="20"/>
                <w:szCs w:val="20"/>
              </w:rPr>
              <w:t>What tools or techniques were not useful? </w:t>
            </w:r>
          </w:p>
          <w:p w14:paraId="7F43535E" w14:textId="77777777" w:rsidR="007C769C" w:rsidRPr="00B01F9E" w:rsidRDefault="007C769C" w:rsidP="00423392">
            <w:pPr>
              <w:numPr>
                <w:ilvl w:val="0"/>
                <w:numId w:val="55"/>
              </w:numPr>
              <w:rPr>
                <w:rFonts w:ascii="Arial" w:hAnsi="Arial" w:cs="Arial"/>
                <w:sz w:val="20"/>
                <w:szCs w:val="20"/>
              </w:rPr>
            </w:pPr>
            <w:r w:rsidRPr="00B01F9E">
              <w:rPr>
                <w:rFonts w:ascii="Arial" w:hAnsi="Arial" w:cs="Arial"/>
                <w:sz w:val="20"/>
                <w:szCs w:val="20"/>
              </w:rPr>
              <w:t>What was the biggest impediment? </w:t>
            </w:r>
          </w:p>
          <w:p w14:paraId="064A182B" w14:textId="2F249040" w:rsidR="007C769C" w:rsidRPr="00B01F9E" w:rsidRDefault="007C769C" w:rsidP="00423392">
            <w:pPr>
              <w:numPr>
                <w:ilvl w:val="0"/>
                <w:numId w:val="55"/>
              </w:numPr>
              <w:rPr>
                <w:rFonts w:ascii="Arial" w:hAnsi="Arial" w:cs="Arial"/>
                <w:sz w:val="20"/>
                <w:szCs w:val="20"/>
              </w:rPr>
            </w:pPr>
            <w:r w:rsidRPr="00B01F9E">
              <w:rPr>
                <w:rFonts w:ascii="Arial" w:hAnsi="Arial" w:cs="Arial"/>
                <w:sz w:val="20"/>
                <w:szCs w:val="20"/>
              </w:rPr>
              <w:lastRenderedPageBreak/>
              <w:t>Which of our methods or processes were difficult or frustrating to use?</w:t>
            </w:r>
          </w:p>
        </w:tc>
        <w:tc>
          <w:tcPr>
            <w:tcW w:w="4215" w:type="dxa"/>
          </w:tcPr>
          <w:p w14:paraId="53C40120" w14:textId="77777777" w:rsidR="007C769C" w:rsidRPr="00B01F9E" w:rsidRDefault="007C769C" w:rsidP="00423392">
            <w:pPr>
              <w:rPr>
                <w:rFonts w:ascii="Arial" w:hAnsi="Arial" w:cs="Arial"/>
                <w:sz w:val="20"/>
                <w:szCs w:val="20"/>
              </w:rPr>
            </w:pPr>
            <w:r w:rsidRPr="00B01F9E">
              <w:rPr>
                <w:rFonts w:ascii="Arial" w:hAnsi="Arial" w:cs="Arial"/>
                <w:sz w:val="20"/>
                <w:szCs w:val="20"/>
              </w:rPr>
              <w:lastRenderedPageBreak/>
              <w:t>Open-ended question</w:t>
            </w:r>
          </w:p>
        </w:tc>
      </w:tr>
      <w:tr w:rsidR="0016170A" w:rsidRPr="00B01F9E" w14:paraId="6AA94351" w14:textId="77777777" w:rsidTr="00423392">
        <w:trPr>
          <w:trHeight w:val="278"/>
        </w:trPr>
        <w:tc>
          <w:tcPr>
            <w:tcW w:w="1083" w:type="dxa"/>
            <w:tcBorders>
              <w:bottom w:val="single" w:sz="4" w:space="0" w:color="auto"/>
            </w:tcBorders>
          </w:tcPr>
          <w:p w14:paraId="11FF2115" w14:textId="7ECEBA8D" w:rsidR="0016170A" w:rsidRPr="00B01F9E" w:rsidRDefault="0016170A" w:rsidP="00423392">
            <w:pPr>
              <w:rPr>
                <w:rFonts w:ascii="Arial" w:hAnsi="Arial" w:cs="Arial"/>
                <w:sz w:val="20"/>
                <w:szCs w:val="20"/>
              </w:rPr>
            </w:pPr>
            <w:r w:rsidRPr="00B01F9E">
              <w:rPr>
                <w:rFonts w:ascii="Arial" w:hAnsi="Arial" w:cs="Arial"/>
                <w:sz w:val="20"/>
                <w:szCs w:val="20"/>
              </w:rPr>
              <w:t>12.</w:t>
            </w:r>
          </w:p>
        </w:tc>
        <w:tc>
          <w:tcPr>
            <w:tcW w:w="7717" w:type="dxa"/>
            <w:gridSpan w:val="2"/>
          </w:tcPr>
          <w:p w14:paraId="6474A9F7" w14:textId="5AD68D75" w:rsidR="0016170A" w:rsidRPr="00B01F9E" w:rsidRDefault="0016170A" w:rsidP="00423392">
            <w:pPr>
              <w:rPr>
                <w:rFonts w:ascii="Arial" w:hAnsi="Arial" w:cs="Arial"/>
                <w:sz w:val="20"/>
                <w:szCs w:val="20"/>
              </w:rPr>
            </w:pPr>
            <w:r w:rsidRPr="00B01F9E">
              <w:rPr>
                <w:rFonts w:ascii="Arial" w:hAnsi="Arial" w:cs="Arial"/>
                <w:sz w:val="20"/>
                <w:szCs w:val="20"/>
              </w:rPr>
              <w:t xml:space="preserve">Rate how well you agree or disagree with the following statements: </w:t>
            </w:r>
          </w:p>
        </w:tc>
      </w:tr>
      <w:tr w:rsidR="007C769C" w:rsidRPr="00B01F9E" w14:paraId="461AE3BE" w14:textId="77777777" w:rsidTr="00423392">
        <w:trPr>
          <w:trHeight w:val="144"/>
        </w:trPr>
        <w:tc>
          <w:tcPr>
            <w:tcW w:w="1083" w:type="dxa"/>
            <w:vMerge w:val="restart"/>
          </w:tcPr>
          <w:p w14:paraId="0AB026E3" w14:textId="77777777" w:rsidR="007C769C" w:rsidRPr="00B01F9E" w:rsidRDefault="007C769C" w:rsidP="00423392">
            <w:pPr>
              <w:rPr>
                <w:rFonts w:ascii="Arial" w:hAnsi="Arial" w:cs="Arial"/>
                <w:sz w:val="20"/>
                <w:szCs w:val="20"/>
              </w:rPr>
            </w:pPr>
            <w:r w:rsidRPr="00B01F9E">
              <w:rPr>
                <w:rFonts w:ascii="Arial" w:hAnsi="Arial" w:cs="Arial"/>
                <w:sz w:val="20"/>
                <w:szCs w:val="20"/>
              </w:rPr>
              <w:t>12.1</w:t>
            </w:r>
          </w:p>
        </w:tc>
        <w:tc>
          <w:tcPr>
            <w:tcW w:w="3502" w:type="dxa"/>
            <w:vMerge w:val="restart"/>
          </w:tcPr>
          <w:p w14:paraId="22D086D8" w14:textId="77777777" w:rsidR="007C769C" w:rsidRPr="00B01F9E" w:rsidRDefault="007C769C" w:rsidP="00423392">
            <w:pPr>
              <w:rPr>
                <w:rFonts w:ascii="Arial" w:hAnsi="Arial" w:cs="Arial"/>
                <w:b/>
                <w:bCs/>
                <w:sz w:val="20"/>
                <w:szCs w:val="20"/>
              </w:rPr>
            </w:pPr>
            <w:r w:rsidRPr="00B01F9E">
              <w:rPr>
                <w:rFonts w:ascii="Arial" w:hAnsi="Arial" w:cs="Arial"/>
                <w:sz w:val="20"/>
                <w:szCs w:val="20"/>
              </w:rPr>
              <w:t>I clearly understood the project’s objectives and scope</w:t>
            </w:r>
          </w:p>
        </w:tc>
        <w:tc>
          <w:tcPr>
            <w:tcW w:w="4215" w:type="dxa"/>
          </w:tcPr>
          <w:p w14:paraId="6D8C9AC8" w14:textId="77777777" w:rsidR="007C769C" w:rsidRPr="00B01F9E" w:rsidRDefault="007C769C" w:rsidP="00423392">
            <w:pPr>
              <w:rPr>
                <w:rFonts w:ascii="Arial" w:hAnsi="Arial" w:cs="Arial"/>
                <w:sz w:val="20"/>
                <w:szCs w:val="20"/>
              </w:rPr>
            </w:pPr>
            <w:r w:rsidRPr="00B01F9E">
              <w:rPr>
                <w:rFonts w:ascii="Arial" w:hAnsi="Arial" w:cs="Arial"/>
                <w:sz w:val="20"/>
                <w:szCs w:val="20"/>
              </w:rPr>
              <w:t>Strongly Agree</w:t>
            </w:r>
          </w:p>
        </w:tc>
      </w:tr>
      <w:tr w:rsidR="007C769C" w:rsidRPr="00B01F9E" w14:paraId="28561E91" w14:textId="77777777" w:rsidTr="00423392">
        <w:trPr>
          <w:trHeight w:val="144"/>
        </w:trPr>
        <w:tc>
          <w:tcPr>
            <w:tcW w:w="1083" w:type="dxa"/>
            <w:vMerge/>
          </w:tcPr>
          <w:p w14:paraId="109FB7E2" w14:textId="77777777" w:rsidR="007C769C" w:rsidRPr="00B01F9E" w:rsidRDefault="007C769C" w:rsidP="00423392">
            <w:pPr>
              <w:rPr>
                <w:rFonts w:ascii="Arial" w:hAnsi="Arial" w:cs="Arial"/>
                <w:sz w:val="20"/>
                <w:szCs w:val="20"/>
              </w:rPr>
            </w:pPr>
          </w:p>
        </w:tc>
        <w:tc>
          <w:tcPr>
            <w:tcW w:w="3502" w:type="dxa"/>
            <w:vMerge/>
          </w:tcPr>
          <w:p w14:paraId="5A5E13FE" w14:textId="77777777" w:rsidR="007C769C" w:rsidRPr="00B01F9E" w:rsidRDefault="007C769C" w:rsidP="00423392">
            <w:pPr>
              <w:rPr>
                <w:rFonts w:ascii="Arial" w:hAnsi="Arial" w:cs="Arial"/>
                <w:sz w:val="20"/>
                <w:szCs w:val="20"/>
              </w:rPr>
            </w:pPr>
          </w:p>
        </w:tc>
        <w:tc>
          <w:tcPr>
            <w:tcW w:w="4215" w:type="dxa"/>
          </w:tcPr>
          <w:p w14:paraId="249CA441" w14:textId="77777777" w:rsidR="007C769C" w:rsidRPr="00B01F9E" w:rsidRDefault="007C769C" w:rsidP="00423392">
            <w:pPr>
              <w:rPr>
                <w:rFonts w:ascii="Arial" w:hAnsi="Arial" w:cs="Arial"/>
                <w:sz w:val="20"/>
                <w:szCs w:val="20"/>
              </w:rPr>
            </w:pPr>
            <w:r w:rsidRPr="00B01F9E">
              <w:rPr>
                <w:rFonts w:ascii="Arial" w:hAnsi="Arial" w:cs="Arial"/>
                <w:sz w:val="20"/>
                <w:szCs w:val="20"/>
              </w:rPr>
              <w:t>Agree</w:t>
            </w:r>
          </w:p>
        </w:tc>
      </w:tr>
      <w:tr w:rsidR="007C769C" w:rsidRPr="00B01F9E" w14:paraId="552E6B90" w14:textId="77777777" w:rsidTr="00423392">
        <w:trPr>
          <w:trHeight w:val="144"/>
        </w:trPr>
        <w:tc>
          <w:tcPr>
            <w:tcW w:w="1083" w:type="dxa"/>
            <w:vMerge/>
          </w:tcPr>
          <w:p w14:paraId="0ADF690F" w14:textId="77777777" w:rsidR="007C769C" w:rsidRPr="00B01F9E" w:rsidRDefault="007C769C" w:rsidP="00423392">
            <w:pPr>
              <w:rPr>
                <w:rFonts w:ascii="Arial" w:hAnsi="Arial" w:cs="Arial"/>
                <w:sz w:val="20"/>
                <w:szCs w:val="20"/>
              </w:rPr>
            </w:pPr>
          </w:p>
        </w:tc>
        <w:tc>
          <w:tcPr>
            <w:tcW w:w="3502" w:type="dxa"/>
            <w:vMerge/>
          </w:tcPr>
          <w:p w14:paraId="37CE29C2" w14:textId="77777777" w:rsidR="007C769C" w:rsidRPr="00B01F9E" w:rsidRDefault="007C769C" w:rsidP="00423392">
            <w:pPr>
              <w:rPr>
                <w:rFonts w:ascii="Arial" w:hAnsi="Arial" w:cs="Arial"/>
                <w:sz w:val="20"/>
                <w:szCs w:val="20"/>
              </w:rPr>
            </w:pPr>
          </w:p>
        </w:tc>
        <w:tc>
          <w:tcPr>
            <w:tcW w:w="4215" w:type="dxa"/>
          </w:tcPr>
          <w:p w14:paraId="4E98C0EF" w14:textId="77777777" w:rsidR="007C769C" w:rsidRPr="00B01F9E" w:rsidRDefault="007C769C" w:rsidP="00423392">
            <w:pPr>
              <w:rPr>
                <w:rFonts w:ascii="Arial" w:hAnsi="Arial" w:cs="Arial"/>
                <w:sz w:val="20"/>
                <w:szCs w:val="20"/>
              </w:rPr>
            </w:pPr>
            <w:r w:rsidRPr="00B01F9E">
              <w:rPr>
                <w:rFonts w:ascii="Arial" w:hAnsi="Arial" w:cs="Arial"/>
                <w:sz w:val="20"/>
                <w:szCs w:val="20"/>
              </w:rPr>
              <w:t>Neutral</w:t>
            </w:r>
          </w:p>
        </w:tc>
      </w:tr>
      <w:tr w:rsidR="007C769C" w:rsidRPr="00B01F9E" w14:paraId="4C471928" w14:textId="77777777" w:rsidTr="00423392">
        <w:trPr>
          <w:trHeight w:val="144"/>
        </w:trPr>
        <w:tc>
          <w:tcPr>
            <w:tcW w:w="1083" w:type="dxa"/>
            <w:vMerge/>
          </w:tcPr>
          <w:p w14:paraId="70E14BE0" w14:textId="77777777" w:rsidR="007C769C" w:rsidRPr="00B01F9E" w:rsidRDefault="007C769C" w:rsidP="00423392">
            <w:pPr>
              <w:rPr>
                <w:rFonts w:ascii="Arial" w:hAnsi="Arial" w:cs="Arial"/>
                <w:sz w:val="20"/>
                <w:szCs w:val="20"/>
              </w:rPr>
            </w:pPr>
          </w:p>
        </w:tc>
        <w:tc>
          <w:tcPr>
            <w:tcW w:w="3502" w:type="dxa"/>
            <w:vMerge/>
          </w:tcPr>
          <w:p w14:paraId="0E28C50B" w14:textId="77777777" w:rsidR="007C769C" w:rsidRPr="00B01F9E" w:rsidRDefault="007C769C" w:rsidP="00423392">
            <w:pPr>
              <w:rPr>
                <w:rFonts w:ascii="Arial" w:hAnsi="Arial" w:cs="Arial"/>
                <w:sz w:val="20"/>
                <w:szCs w:val="20"/>
              </w:rPr>
            </w:pPr>
          </w:p>
        </w:tc>
        <w:tc>
          <w:tcPr>
            <w:tcW w:w="4215" w:type="dxa"/>
          </w:tcPr>
          <w:p w14:paraId="41F0C1C9" w14:textId="77777777" w:rsidR="007C769C" w:rsidRPr="00B01F9E" w:rsidRDefault="007C769C" w:rsidP="00423392">
            <w:pPr>
              <w:rPr>
                <w:rFonts w:ascii="Arial" w:hAnsi="Arial" w:cs="Arial"/>
                <w:sz w:val="20"/>
                <w:szCs w:val="20"/>
              </w:rPr>
            </w:pPr>
            <w:r w:rsidRPr="00B01F9E">
              <w:rPr>
                <w:rFonts w:ascii="Arial" w:hAnsi="Arial" w:cs="Arial"/>
                <w:sz w:val="20"/>
                <w:szCs w:val="20"/>
              </w:rPr>
              <w:t>Disagree</w:t>
            </w:r>
          </w:p>
        </w:tc>
      </w:tr>
      <w:tr w:rsidR="007C769C" w:rsidRPr="00B01F9E" w14:paraId="5854418F" w14:textId="77777777" w:rsidTr="00423392">
        <w:trPr>
          <w:trHeight w:val="144"/>
        </w:trPr>
        <w:tc>
          <w:tcPr>
            <w:tcW w:w="1083" w:type="dxa"/>
            <w:vMerge/>
          </w:tcPr>
          <w:p w14:paraId="5E9CE4E7" w14:textId="77777777" w:rsidR="007C769C" w:rsidRPr="00B01F9E" w:rsidRDefault="007C769C" w:rsidP="00423392">
            <w:pPr>
              <w:rPr>
                <w:rFonts w:ascii="Arial" w:hAnsi="Arial" w:cs="Arial"/>
                <w:sz w:val="20"/>
                <w:szCs w:val="20"/>
              </w:rPr>
            </w:pPr>
          </w:p>
        </w:tc>
        <w:tc>
          <w:tcPr>
            <w:tcW w:w="3502" w:type="dxa"/>
            <w:vMerge/>
          </w:tcPr>
          <w:p w14:paraId="440655CC" w14:textId="77777777" w:rsidR="007C769C" w:rsidRPr="00B01F9E" w:rsidRDefault="007C769C" w:rsidP="00423392">
            <w:pPr>
              <w:rPr>
                <w:rFonts w:ascii="Arial" w:hAnsi="Arial" w:cs="Arial"/>
                <w:sz w:val="20"/>
                <w:szCs w:val="20"/>
              </w:rPr>
            </w:pPr>
          </w:p>
        </w:tc>
        <w:tc>
          <w:tcPr>
            <w:tcW w:w="4215" w:type="dxa"/>
          </w:tcPr>
          <w:p w14:paraId="6D4DAF8A" w14:textId="77777777" w:rsidR="007C769C" w:rsidRPr="00B01F9E" w:rsidRDefault="007C769C" w:rsidP="00423392">
            <w:pPr>
              <w:rPr>
                <w:rFonts w:ascii="Arial" w:hAnsi="Arial" w:cs="Arial"/>
                <w:sz w:val="20"/>
                <w:szCs w:val="20"/>
              </w:rPr>
            </w:pPr>
            <w:r w:rsidRPr="00B01F9E">
              <w:rPr>
                <w:rFonts w:ascii="Arial" w:hAnsi="Arial" w:cs="Arial"/>
                <w:sz w:val="20"/>
                <w:szCs w:val="20"/>
              </w:rPr>
              <w:t>Strongly Disagree</w:t>
            </w:r>
          </w:p>
        </w:tc>
      </w:tr>
      <w:tr w:rsidR="007C769C" w:rsidRPr="00B01F9E" w14:paraId="28401115" w14:textId="77777777" w:rsidTr="00423392">
        <w:trPr>
          <w:trHeight w:val="144"/>
        </w:trPr>
        <w:tc>
          <w:tcPr>
            <w:tcW w:w="1083" w:type="dxa"/>
            <w:vMerge w:val="restart"/>
          </w:tcPr>
          <w:p w14:paraId="3363F1AD" w14:textId="77777777" w:rsidR="007C769C" w:rsidRPr="00B01F9E" w:rsidRDefault="007C769C" w:rsidP="00423392">
            <w:pPr>
              <w:rPr>
                <w:rFonts w:ascii="Arial" w:hAnsi="Arial" w:cs="Arial"/>
                <w:sz w:val="20"/>
                <w:szCs w:val="20"/>
              </w:rPr>
            </w:pPr>
            <w:r w:rsidRPr="00B01F9E">
              <w:rPr>
                <w:rFonts w:ascii="Arial" w:hAnsi="Arial" w:cs="Arial"/>
                <w:sz w:val="20"/>
                <w:szCs w:val="20"/>
              </w:rPr>
              <w:t>12.2</w:t>
            </w:r>
          </w:p>
        </w:tc>
        <w:tc>
          <w:tcPr>
            <w:tcW w:w="3502" w:type="dxa"/>
            <w:vMerge w:val="restart"/>
          </w:tcPr>
          <w:p w14:paraId="1C3B54D0" w14:textId="77777777" w:rsidR="007C769C" w:rsidRPr="00B01F9E" w:rsidRDefault="007C769C" w:rsidP="00423392">
            <w:pPr>
              <w:rPr>
                <w:rFonts w:ascii="Arial" w:hAnsi="Arial" w:cs="Arial"/>
                <w:sz w:val="20"/>
                <w:szCs w:val="20"/>
              </w:rPr>
            </w:pPr>
            <w:r w:rsidRPr="00B01F9E">
              <w:rPr>
                <w:rFonts w:ascii="Arial" w:hAnsi="Arial" w:cs="Arial"/>
                <w:sz w:val="20"/>
                <w:szCs w:val="20"/>
              </w:rPr>
              <w:t>Changes to the objectives and scope were clearly communicated and understood</w:t>
            </w:r>
          </w:p>
        </w:tc>
        <w:tc>
          <w:tcPr>
            <w:tcW w:w="4215" w:type="dxa"/>
          </w:tcPr>
          <w:p w14:paraId="23A2666C" w14:textId="77777777" w:rsidR="007C769C" w:rsidRPr="00B01F9E" w:rsidRDefault="007C769C" w:rsidP="00423392">
            <w:pPr>
              <w:rPr>
                <w:rFonts w:ascii="Arial" w:hAnsi="Arial" w:cs="Arial"/>
                <w:sz w:val="20"/>
                <w:szCs w:val="20"/>
              </w:rPr>
            </w:pPr>
            <w:r w:rsidRPr="00B01F9E">
              <w:rPr>
                <w:rFonts w:ascii="Arial" w:hAnsi="Arial" w:cs="Arial"/>
                <w:sz w:val="20"/>
                <w:szCs w:val="20"/>
              </w:rPr>
              <w:t>Strongly Agree</w:t>
            </w:r>
          </w:p>
        </w:tc>
      </w:tr>
      <w:tr w:rsidR="007C769C" w:rsidRPr="00B01F9E" w14:paraId="13985D15" w14:textId="77777777" w:rsidTr="00423392">
        <w:trPr>
          <w:trHeight w:val="144"/>
        </w:trPr>
        <w:tc>
          <w:tcPr>
            <w:tcW w:w="1083" w:type="dxa"/>
            <w:vMerge/>
          </w:tcPr>
          <w:p w14:paraId="3CDC0FEC" w14:textId="77777777" w:rsidR="007C769C" w:rsidRPr="00B01F9E" w:rsidRDefault="007C769C" w:rsidP="00423392">
            <w:pPr>
              <w:rPr>
                <w:rFonts w:ascii="Arial" w:hAnsi="Arial" w:cs="Arial"/>
                <w:sz w:val="20"/>
                <w:szCs w:val="20"/>
              </w:rPr>
            </w:pPr>
          </w:p>
        </w:tc>
        <w:tc>
          <w:tcPr>
            <w:tcW w:w="3502" w:type="dxa"/>
            <w:vMerge/>
          </w:tcPr>
          <w:p w14:paraId="615B9A89" w14:textId="77777777" w:rsidR="007C769C" w:rsidRPr="00B01F9E" w:rsidRDefault="007C769C" w:rsidP="00423392">
            <w:pPr>
              <w:rPr>
                <w:rFonts w:ascii="Arial" w:hAnsi="Arial" w:cs="Arial"/>
                <w:sz w:val="20"/>
                <w:szCs w:val="20"/>
              </w:rPr>
            </w:pPr>
          </w:p>
        </w:tc>
        <w:tc>
          <w:tcPr>
            <w:tcW w:w="4215" w:type="dxa"/>
          </w:tcPr>
          <w:p w14:paraId="678C7CB0" w14:textId="77777777" w:rsidR="007C769C" w:rsidRPr="00B01F9E" w:rsidRDefault="007C769C" w:rsidP="00423392">
            <w:pPr>
              <w:rPr>
                <w:rFonts w:ascii="Arial" w:hAnsi="Arial" w:cs="Arial"/>
                <w:sz w:val="20"/>
                <w:szCs w:val="20"/>
              </w:rPr>
            </w:pPr>
            <w:r w:rsidRPr="00B01F9E">
              <w:rPr>
                <w:rFonts w:ascii="Arial" w:hAnsi="Arial" w:cs="Arial"/>
                <w:sz w:val="20"/>
                <w:szCs w:val="20"/>
              </w:rPr>
              <w:t>Agree</w:t>
            </w:r>
          </w:p>
        </w:tc>
      </w:tr>
      <w:tr w:rsidR="007C769C" w:rsidRPr="00B01F9E" w14:paraId="3D0FFA24" w14:textId="77777777" w:rsidTr="00423392">
        <w:trPr>
          <w:trHeight w:val="144"/>
        </w:trPr>
        <w:tc>
          <w:tcPr>
            <w:tcW w:w="1083" w:type="dxa"/>
            <w:vMerge/>
          </w:tcPr>
          <w:p w14:paraId="5737ACBE" w14:textId="77777777" w:rsidR="007C769C" w:rsidRPr="00B01F9E" w:rsidRDefault="007C769C" w:rsidP="00423392">
            <w:pPr>
              <w:rPr>
                <w:rFonts w:ascii="Arial" w:hAnsi="Arial" w:cs="Arial"/>
                <w:sz w:val="20"/>
                <w:szCs w:val="20"/>
              </w:rPr>
            </w:pPr>
          </w:p>
        </w:tc>
        <w:tc>
          <w:tcPr>
            <w:tcW w:w="3502" w:type="dxa"/>
            <w:vMerge/>
          </w:tcPr>
          <w:p w14:paraId="0DEAE51F" w14:textId="77777777" w:rsidR="007C769C" w:rsidRPr="00B01F9E" w:rsidRDefault="007C769C" w:rsidP="00423392">
            <w:pPr>
              <w:rPr>
                <w:rFonts w:ascii="Arial" w:hAnsi="Arial" w:cs="Arial"/>
                <w:sz w:val="20"/>
                <w:szCs w:val="20"/>
              </w:rPr>
            </w:pPr>
          </w:p>
        </w:tc>
        <w:tc>
          <w:tcPr>
            <w:tcW w:w="4215" w:type="dxa"/>
          </w:tcPr>
          <w:p w14:paraId="357DFAEC" w14:textId="77777777" w:rsidR="007C769C" w:rsidRPr="00B01F9E" w:rsidRDefault="007C769C" w:rsidP="00423392">
            <w:pPr>
              <w:rPr>
                <w:rFonts w:ascii="Arial" w:hAnsi="Arial" w:cs="Arial"/>
                <w:sz w:val="20"/>
                <w:szCs w:val="20"/>
              </w:rPr>
            </w:pPr>
            <w:r w:rsidRPr="00B01F9E">
              <w:rPr>
                <w:rFonts w:ascii="Arial" w:hAnsi="Arial" w:cs="Arial"/>
                <w:sz w:val="20"/>
                <w:szCs w:val="20"/>
              </w:rPr>
              <w:t>Neutral</w:t>
            </w:r>
          </w:p>
        </w:tc>
      </w:tr>
      <w:tr w:rsidR="007C769C" w:rsidRPr="00B01F9E" w14:paraId="3EDCEF5E" w14:textId="77777777" w:rsidTr="00423392">
        <w:trPr>
          <w:trHeight w:val="144"/>
        </w:trPr>
        <w:tc>
          <w:tcPr>
            <w:tcW w:w="1083" w:type="dxa"/>
            <w:vMerge/>
          </w:tcPr>
          <w:p w14:paraId="28FBF8B8" w14:textId="77777777" w:rsidR="007C769C" w:rsidRPr="00B01F9E" w:rsidRDefault="007C769C" w:rsidP="00423392">
            <w:pPr>
              <w:rPr>
                <w:rFonts w:ascii="Arial" w:hAnsi="Arial" w:cs="Arial"/>
                <w:sz w:val="20"/>
                <w:szCs w:val="20"/>
              </w:rPr>
            </w:pPr>
          </w:p>
        </w:tc>
        <w:tc>
          <w:tcPr>
            <w:tcW w:w="3502" w:type="dxa"/>
            <w:vMerge/>
          </w:tcPr>
          <w:p w14:paraId="658162D0" w14:textId="77777777" w:rsidR="007C769C" w:rsidRPr="00B01F9E" w:rsidRDefault="007C769C" w:rsidP="00423392">
            <w:pPr>
              <w:rPr>
                <w:rFonts w:ascii="Arial" w:hAnsi="Arial" w:cs="Arial"/>
                <w:sz w:val="20"/>
                <w:szCs w:val="20"/>
              </w:rPr>
            </w:pPr>
          </w:p>
        </w:tc>
        <w:tc>
          <w:tcPr>
            <w:tcW w:w="4215" w:type="dxa"/>
          </w:tcPr>
          <w:p w14:paraId="5CB8F6B2" w14:textId="77777777" w:rsidR="007C769C" w:rsidRPr="00B01F9E" w:rsidRDefault="007C769C" w:rsidP="00423392">
            <w:pPr>
              <w:rPr>
                <w:rFonts w:ascii="Arial" w:hAnsi="Arial" w:cs="Arial"/>
                <w:sz w:val="20"/>
                <w:szCs w:val="20"/>
              </w:rPr>
            </w:pPr>
            <w:r w:rsidRPr="00B01F9E">
              <w:rPr>
                <w:rFonts w:ascii="Arial" w:hAnsi="Arial" w:cs="Arial"/>
                <w:sz w:val="20"/>
                <w:szCs w:val="20"/>
              </w:rPr>
              <w:t>Disagree</w:t>
            </w:r>
          </w:p>
        </w:tc>
      </w:tr>
      <w:tr w:rsidR="007C769C" w:rsidRPr="00B01F9E" w14:paraId="5A4421DD" w14:textId="77777777" w:rsidTr="00423392">
        <w:trPr>
          <w:trHeight w:val="144"/>
        </w:trPr>
        <w:tc>
          <w:tcPr>
            <w:tcW w:w="1083" w:type="dxa"/>
            <w:vMerge/>
          </w:tcPr>
          <w:p w14:paraId="3CD7C7C9" w14:textId="77777777" w:rsidR="007C769C" w:rsidRPr="00B01F9E" w:rsidRDefault="007C769C" w:rsidP="00423392">
            <w:pPr>
              <w:rPr>
                <w:rFonts w:ascii="Arial" w:hAnsi="Arial" w:cs="Arial"/>
                <w:sz w:val="20"/>
                <w:szCs w:val="20"/>
              </w:rPr>
            </w:pPr>
          </w:p>
        </w:tc>
        <w:tc>
          <w:tcPr>
            <w:tcW w:w="3502" w:type="dxa"/>
            <w:vMerge/>
          </w:tcPr>
          <w:p w14:paraId="3D182D4E" w14:textId="77777777" w:rsidR="007C769C" w:rsidRPr="00B01F9E" w:rsidRDefault="007C769C" w:rsidP="00423392">
            <w:pPr>
              <w:rPr>
                <w:rFonts w:ascii="Arial" w:hAnsi="Arial" w:cs="Arial"/>
                <w:sz w:val="20"/>
                <w:szCs w:val="20"/>
              </w:rPr>
            </w:pPr>
          </w:p>
        </w:tc>
        <w:tc>
          <w:tcPr>
            <w:tcW w:w="4215" w:type="dxa"/>
          </w:tcPr>
          <w:p w14:paraId="7C54BF84" w14:textId="77777777" w:rsidR="007C769C" w:rsidRPr="00B01F9E" w:rsidRDefault="007C769C" w:rsidP="00423392">
            <w:pPr>
              <w:rPr>
                <w:rFonts w:ascii="Arial" w:hAnsi="Arial" w:cs="Arial"/>
                <w:sz w:val="20"/>
                <w:szCs w:val="20"/>
              </w:rPr>
            </w:pPr>
            <w:r w:rsidRPr="00B01F9E">
              <w:rPr>
                <w:rFonts w:ascii="Arial" w:hAnsi="Arial" w:cs="Arial"/>
                <w:sz w:val="20"/>
                <w:szCs w:val="20"/>
              </w:rPr>
              <w:t>Strongly Disagree</w:t>
            </w:r>
          </w:p>
        </w:tc>
      </w:tr>
      <w:tr w:rsidR="007C769C" w:rsidRPr="00B01F9E" w14:paraId="73E4304D" w14:textId="77777777" w:rsidTr="00423392">
        <w:trPr>
          <w:trHeight w:val="144"/>
        </w:trPr>
        <w:tc>
          <w:tcPr>
            <w:tcW w:w="1083" w:type="dxa"/>
            <w:vMerge w:val="restart"/>
          </w:tcPr>
          <w:p w14:paraId="02D3FF52" w14:textId="77777777" w:rsidR="007C769C" w:rsidRPr="00B01F9E" w:rsidRDefault="007C769C" w:rsidP="00423392">
            <w:pPr>
              <w:rPr>
                <w:rFonts w:ascii="Arial" w:hAnsi="Arial" w:cs="Arial"/>
                <w:sz w:val="20"/>
                <w:szCs w:val="20"/>
              </w:rPr>
            </w:pPr>
            <w:r w:rsidRPr="00B01F9E">
              <w:rPr>
                <w:rFonts w:ascii="Arial" w:hAnsi="Arial" w:cs="Arial"/>
                <w:sz w:val="20"/>
                <w:szCs w:val="20"/>
              </w:rPr>
              <w:t>12.3</w:t>
            </w:r>
          </w:p>
        </w:tc>
        <w:tc>
          <w:tcPr>
            <w:tcW w:w="3502" w:type="dxa"/>
            <w:vMerge w:val="restart"/>
          </w:tcPr>
          <w:p w14:paraId="19F68CB6" w14:textId="77777777" w:rsidR="007C769C" w:rsidRPr="00B01F9E" w:rsidRDefault="007C769C" w:rsidP="00423392">
            <w:pPr>
              <w:rPr>
                <w:rFonts w:ascii="Arial" w:hAnsi="Arial" w:cs="Arial"/>
                <w:sz w:val="20"/>
                <w:szCs w:val="20"/>
              </w:rPr>
            </w:pPr>
            <w:r w:rsidRPr="00B01F9E">
              <w:rPr>
                <w:rFonts w:ascii="Arial" w:hAnsi="Arial" w:cs="Arial"/>
                <w:sz w:val="20"/>
                <w:szCs w:val="20"/>
              </w:rPr>
              <w:t>Communication was effective where I was adequately informed of project status, milestones, and decisions</w:t>
            </w:r>
          </w:p>
        </w:tc>
        <w:tc>
          <w:tcPr>
            <w:tcW w:w="4215" w:type="dxa"/>
          </w:tcPr>
          <w:p w14:paraId="45BCB7CE" w14:textId="77777777" w:rsidR="007C769C" w:rsidRPr="00B01F9E" w:rsidRDefault="007C769C" w:rsidP="00423392">
            <w:pPr>
              <w:rPr>
                <w:rFonts w:ascii="Arial" w:hAnsi="Arial" w:cs="Arial"/>
                <w:sz w:val="20"/>
                <w:szCs w:val="20"/>
              </w:rPr>
            </w:pPr>
            <w:r w:rsidRPr="00B01F9E">
              <w:rPr>
                <w:rFonts w:ascii="Arial" w:hAnsi="Arial" w:cs="Arial"/>
                <w:sz w:val="20"/>
                <w:szCs w:val="20"/>
              </w:rPr>
              <w:t>Strongly Agree</w:t>
            </w:r>
          </w:p>
        </w:tc>
      </w:tr>
      <w:tr w:rsidR="007C769C" w:rsidRPr="00B01F9E" w14:paraId="137B6595" w14:textId="77777777" w:rsidTr="00423392">
        <w:trPr>
          <w:trHeight w:val="144"/>
        </w:trPr>
        <w:tc>
          <w:tcPr>
            <w:tcW w:w="1083" w:type="dxa"/>
            <w:vMerge/>
          </w:tcPr>
          <w:p w14:paraId="141DEB58" w14:textId="77777777" w:rsidR="007C769C" w:rsidRPr="00B01F9E" w:rsidRDefault="007C769C" w:rsidP="00423392">
            <w:pPr>
              <w:rPr>
                <w:rFonts w:ascii="Arial" w:hAnsi="Arial" w:cs="Arial"/>
                <w:sz w:val="20"/>
                <w:szCs w:val="20"/>
              </w:rPr>
            </w:pPr>
          </w:p>
        </w:tc>
        <w:tc>
          <w:tcPr>
            <w:tcW w:w="3502" w:type="dxa"/>
            <w:vMerge/>
          </w:tcPr>
          <w:p w14:paraId="5ADA3BB3" w14:textId="77777777" w:rsidR="007C769C" w:rsidRPr="00B01F9E" w:rsidRDefault="007C769C" w:rsidP="00423392">
            <w:pPr>
              <w:rPr>
                <w:rFonts w:ascii="Arial" w:hAnsi="Arial" w:cs="Arial"/>
                <w:sz w:val="20"/>
                <w:szCs w:val="20"/>
              </w:rPr>
            </w:pPr>
          </w:p>
        </w:tc>
        <w:tc>
          <w:tcPr>
            <w:tcW w:w="4215" w:type="dxa"/>
          </w:tcPr>
          <w:p w14:paraId="568DA839" w14:textId="77777777" w:rsidR="007C769C" w:rsidRPr="00B01F9E" w:rsidRDefault="007C769C" w:rsidP="00423392">
            <w:pPr>
              <w:rPr>
                <w:rFonts w:ascii="Arial" w:hAnsi="Arial" w:cs="Arial"/>
                <w:sz w:val="20"/>
                <w:szCs w:val="20"/>
              </w:rPr>
            </w:pPr>
            <w:r w:rsidRPr="00B01F9E">
              <w:rPr>
                <w:rFonts w:ascii="Arial" w:hAnsi="Arial" w:cs="Arial"/>
                <w:sz w:val="20"/>
                <w:szCs w:val="20"/>
              </w:rPr>
              <w:t>Agree</w:t>
            </w:r>
          </w:p>
        </w:tc>
      </w:tr>
      <w:tr w:rsidR="007C769C" w:rsidRPr="00B01F9E" w14:paraId="74C1F588" w14:textId="77777777" w:rsidTr="00423392">
        <w:trPr>
          <w:trHeight w:val="144"/>
        </w:trPr>
        <w:tc>
          <w:tcPr>
            <w:tcW w:w="1083" w:type="dxa"/>
            <w:vMerge/>
          </w:tcPr>
          <w:p w14:paraId="7FF4C005" w14:textId="77777777" w:rsidR="007C769C" w:rsidRPr="00B01F9E" w:rsidRDefault="007C769C" w:rsidP="00423392">
            <w:pPr>
              <w:rPr>
                <w:rFonts w:ascii="Arial" w:hAnsi="Arial" w:cs="Arial"/>
                <w:sz w:val="20"/>
                <w:szCs w:val="20"/>
              </w:rPr>
            </w:pPr>
          </w:p>
        </w:tc>
        <w:tc>
          <w:tcPr>
            <w:tcW w:w="3502" w:type="dxa"/>
            <w:vMerge/>
          </w:tcPr>
          <w:p w14:paraId="6B77772D" w14:textId="77777777" w:rsidR="007C769C" w:rsidRPr="00B01F9E" w:rsidRDefault="007C769C" w:rsidP="00423392">
            <w:pPr>
              <w:rPr>
                <w:rFonts w:ascii="Arial" w:hAnsi="Arial" w:cs="Arial"/>
                <w:sz w:val="20"/>
                <w:szCs w:val="20"/>
              </w:rPr>
            </w:pPr>
          </w:p>
        </w:tc>
        <w:tc>
          <w:tcPr>
            <w:tcW w:w="4215" w:type="dxa"/>
          </w:tcPr>
          <w:p w14:paraId="3874D2A6" w14:textId="77777777" w:rsidR="007C769C" w:rsidRPr="00B01F9E" w:rsidRDefault="007C769C" w:rsidP="00423392">
            <w:pPr>
              <w:rPr>
                <w:rFonts w:ascii="Arial" w:hAnsi="Arial" w:cs="Arial"/>
                <w:sz w:val="20"/>
                <w:szCs w:val="20"/>
              </w:rPr>
            </w:pPr>
            <w:r w:rsidRPr="00B01F9E">
              <w:rPr>
                <w:rFonts w:ascii="Arial" w:hAnsi="Arial" w:cs="Arial"/>
                <w:sz w:val="20"/>
                <w:szCs w:val="20"/>
              </w:rPr>
              <w:t>Neutral</w:t>
            </w:r>
          </w:p>
        </w:tc>
      </w:tr>
      <w:tr w:rsidR="007C769C" w:rsidRPr="00B01F9E" w14:paraId="039250B6" w14:textId="77777777" w:rsidTr="00423392">
        <w:trPr>
          <w:trHeight w:val="144"/>
        </w:trPr>
        <w:tc>
          <w:tcPr>
            <w:tcW w:w="1083" w:type="dxa"/>
            <w:vMerge/>
          </w:tcPr>
          <w:p w14:paraId="4FF54A55" w14:textId="77777777" w:rsidR="007C769C" w:rsidRPr="00B01F9E" w:rsidRDefault="007C769C" w:rsidP="00423392">
            <w:pPr>
              <w:rPr>
                <w:rFonts w:ascii="Arial" w:hAnsi="Arial" w:cs="Arial"/>
                <w:sz w:val="20"/>
                <w:szCs w:val="20"/>
              </w:rPr>
            </w:pPr>
          </w:p>
        </w:tc>
        <w:tc>
          <w:tcPr>
            <w:tcW w:w="3502" w:type="dxa"/>
            <w:vMerge/>
          </w:tcPr>
          <w:p w14:paraId="10317653" w14:textId="77777777" w:rsidR="007C769C" w:rsidRPr="00B01F9E" w:rsidRDefault="007C769C" w:rsidP="00423392">
            <w:pPr>
              <w:rPr>
                <w:rFonts w:ascii="Arial" w:hAnsi="Arial" w:cs="Arial"/>
                <w:sz w:val="20"/>
                <w:szCs w:val="20"/>
              </w:rPr>
            </w:pPr>
          </w:p>
        </w:tc>
        <w:tc>
          <w:tcPr>
            <w:tcW w:w="4215" w:type="dxa"/>
          </w:tcPr>
          <w:p w14:paraId="7346F0D7" w14:textId="77777777" w:rsidR="007C769C" w:rsidRPr="00B01F9E" w:rsidRDefault="007C769C" w:rsidP="00423392">
            <w:pPr>
              <w:rPr>
                <w:rFonts w:ascii="Arial" w:hAnsi="Arial" w:cs="Arial"/>
                <w:sz w:val="20"/>
                <w:szCs w:val="20"/>
              </w:rPr>
            </w:pPr>
            <w:r w:rsidRPr="00B01F9E">
              <w:rPr>
                <w:rFonts w:ascii="Arial" w:hAnsi="Arial" w:cs="Arial"/>
                <w:sz w:val="20"/>
                <w:szCs w:val="20"/>
              </w:rPr>
              <w:t>Disagree</w:t>
            </w:r>
          </w:p>
        </w:tc>
      </w:tr>
      <w:tr w:rsidR="007C769C" w:rsidRPr="00B01F9E" w14:paraId="0F5E369E" w14:textId="77777777" w:rsidTr="00423392">
        <w:trPr>
          <w:trHeight w:val="144"/>
        </w:trPr>
        <w:tc>
          <w:tcPr>
            <w:tcW w:w="1083" w:type="dxa"/>
            <w:vMerge/>
          </w:tcPr>
          <w:p w14:paraId="1F2EF91C" w14:textId="77777777" w:rsidR="007C769C" w:rsidRPr="00B01F9E" w:rsidRDefault="007C769C" w:rsidP="00423392">
            <w:pPr>
              <w:rPr>
                <w:rFonts w:ascii="Arial" w:hAnsi="Arial" w:cs="Arial"/>
                <w:sz w:val="20"/>
                <w:szCs w:val="20"/>
              </w:rPr>
            </w:pPr>
          </w:p>
        </w:tc>
        <w:tc>
          <w:tcPr>
            <w:tcW w:w="3502" w:type="dxa"/>
            <w:vMerge/>
          </w:tcPr>
          <w:p w14:paraId="68177A57" w14:textId="77777777" w:rsidR="007C769C" w:rsidRPr="00B01F9E" w:rsidRDefault="007C769C" w:rsidP="00423392">
            <w:pPr>
              <w:rPr>
                <w:rFonts w:ascii="Arial" w:hAnsi="Arial" w:cs="Arial"/>
                <w:sz w:val="20"/>
                <w:szCs w:val="20"/>
              </w:rPr>
            </w:pPr>
          </w:p>
        </w:tc>
        <w:tc>
          <w:tcPr>
            <w:tcW w:w="4215" w:type="dxa"/>
          </w:tcPr>
          <w:p w14:paraId="644A3EF5" w14:textId="77777777" w:rsidR="007C769C" w:rsidRPr="00B01F9E" w:rsidRDefault="007C769C" w:rsidP="00423392">
            <w:pPr>
              <w:rPr>
                <w:rFonts w:ascii="Arial" w:hAnsi="Arial" w:cs="Arial"/>
                <w:sz w:val="20"/>
                <w:szCs w:val="20"/>
              </w:rPr>
            </w:pPr>
            <w:r w:rsidRPr="00B01F9E">
              <w:rPr>
                <w:rFonts w:ascii="Arial" w:hAnsi="Arial" w:cs="Arial"/>
                <w:sz w:val="20"/>
                <w:szCs w:val="20"/>
              </w:rPr>
              <w:t>Strongly Disagree</w:t>
            </w:r>
          </w:p>
        </w:tc>
      </w:tr>
      <w:tr w:rsidR="007C769C" w:rsidRPr="00B01F9E" w14:paraId="786C8B4D" w14:textId="77777777" w:rsidTr="00423392">
        <w:trPr>
          <w:trHeight w:val="144"/>
        </w:trPr>
        <w:tc>
          <w:tcPr>
            <w:tcW w:w="1083" w:type="dxa"/>
            <w:vMerge w:val="restart"/>
          </w:tcPr>
          <w:p w14:paraId="2C61F74F" w14:textId="77777777" w:rsidR="007C769C" w:rsidRPr="00B01F9E" w:rsidRDefault="007C769C" w:rsidP="00423392">
            <w:pPr>
              <w:rPr>
                <w:rFonts w:ascii="Arial" w:hAnsi="Arial" w:cs="Arial"/>
                <w:sz w:val="20"/>
                <w:szCs w:val="20"/>
              </w:rPr>
            </w:pPr>
            <w:r w:rsidRPr="00B01F9E">
              <w:rPr>
                <w:rFonts w:ascii="Arial" w:hAnsi="Arial" w:cs="Arial"/>
                <w:sz w:val="20"/>
                <w:szCs w:val="20"/>
              </w:rPr>
              <w:t>12.4</w:t>
            </w:r>
          </w:p>
        </w:tc>
        <w:tc>
          <w:tcPr>
            <w:tcW w:w="3502" w:type="dxa"/>
            <w:vMerge w:val="restart"/>
          </w:tcPr>
          <w:p w14:paraId="4559561C" w14:textId="77777777" w:rsidR="007C769C" w:rsidRPr="00B01F9E" w:rsidRDefault="007C769C" w:rsidP="00423392">
            <w:pPr>
              <w:rPr>
                <w:rFonts w:ascii="Arial" w:hAnsi="Arial" w:cs="Arial"/>
                <w:sz w:val="20"/>
                <w:szCs w:val="20"/>
              </w:rPr>
            </w:pPr>
            <w:r w:rsidRPr="00B01F9E">
              <w:rPr>
                <w:rFonts w:ascii="Arial" w:hAnsi="Arial" w:cs="Arial"/>
                <w:sz w:val="20"/>
                <w:szCs w:val="20"/>
              </w:rPr>
              <w:t>My allocated time commitment was adequate for the project and the scheduling realistic for the work that had to be completed</w:t>
            </w:r>
          </w:p>
        </w:tc>
        <w:tc>
          <w:tcPr>
            <w:tcW w:w="4215" w:type="dxa"/>
          </w:tcPr>
          <w:p w14:paraId="08BA9180" w14:textId="77777777" w:rsidR="007C769C" w:rsidRPr="00B01F9E" w:rsidRDefault="007C769C" w:rsidP="00423392">
            <w:pPr>
              <w:rPr>
                <w:rFonts w:ascii="Arial" w:hAnsi="Arial" w:cs="Arial"/>
                <w:sz w:val="20"/>
                <w:szCs w:val="20"/>
              </w:rPr>
            </w:pPr>
            <w:r w:rsidRPr="00B01F9E">
              <w:rPr>
                <w:rFonts w:ascii="Arial" w:hAnsi="Arial" w:cs="Arial"/>
                <w:sz w:val="20"/>
                <w:szCs w:val="20"/>
              </w:rPr>
              <w:t>Strongly Agree</w:t>
            </w:r>
          </w:p>
        </w:tc>
      </w:tr>
      <w:tr w:rsidR="007C769C" w:rsidRPr="00B01F9E" w14:paraId="50CAB613" w14:textId="77777777" w:rsidTr="00423392">
        <w:trPr>
          <w:trHeight w:val="144"/>
        </w:trPr>
        <w:tc>
          <w:tcPr>
            <w:tcW w:w="1083" w:type="dxa"/>
            <w:vMerge/>
          </w:tcPr>
          <w:p w14:paraId="772904D3" w14:textId="77777777" w:rsidR="007C769C" w:rsidRPr="00B01F9E" w:rsidRDefault="007C769C" w:rsidP="00423392">
            <w:pPr>
              <w:rPr>
                <w:rFonts w:ascii="Arial" w:hAnsi="Arial" w:cs="Arial"/>
                <w:sz w:val="20"/>
                <w:szCs w:val="20"/>
              </w:rPr>
            </w:pPr>
          </w:p>
        </w:tc>
        <w:tc>
          <w:tcPr>
            <w:tcW w:w="3502" w:type="dxa"/>
            <w:vMerge/>
          </w:tcPr>
          <w:p w14:paraId="7BAB1C98" w14:textId="77777777" w:rsidR="007C769C" w:rsidRPr="00B01F9E" w:rsidRDefault="007C769C" w:rsidP="00423392">
            <w:pPr>
              <w:rPr>
                <w:rFonts w:ascii="Arial" w:hAnsi="Arial" w:cs="Arial"/>
                <w:sz w:val="20"/>
                <w:szCs w:val="20"/>
              </w:rPr>
            </w:pPr>
          </w:p>
        </w:tc>
        <w:tc>
          <w:tcPr>
            <w:tcW w:w="4215" w:type="dxa"/>
          </w:tcPr>
          <w:p w14:paraId="143BAF8F" w14:textId="77777777" w:rsidR="007C769C" w:rsidRPr="00B01F9E" w:rsidRDefault="007C769C" w:rsidP="00423392">
            <w:pPr>
              <w:rPr>
                <w:rFonts w:ascii="Arial" w:hAnsi="Arial" w:cs="Arial"/>
                <w:sz w:val="20"/>
                <w:szCs w:val="20"/>
              </w:rPr>
            </w:pPr>
            <w:r w:rsidRPr="00B01F9E">
              <w:rPr>
                <w:rFonts w:ascii="Arial" w:hAnsi="Arial" w:cs="Arial"/>
                <w:sz w:val="20"/>
                <w:szCs w:val="20"/>
              </w:rPr>
              <w:t>Agree</w:t>
            </w:r>
          </w:p>
        </w:tc>
      </w:tr>
      <w:tr w:rsidR="007C769C" w:rsidRPr="00B01F9E" w14:paraId="0D64C9DC" w14:textId="77777777" w:rsidTr="00423392">
        <w:trPr>
          <w:trHeight w:val="144"/>
        </w:trPr>
        <w:tc>
          <w:tcPr>
            <w:tcW w:w="1083" w:type="dxa"/>
            <w:vMerge/>
          </w:tcPr>
          <w:p w14:paraId="0BB7C86E" w14:textId="77777777" w:rsidR="007C769C" w:rsidRPr="00B01F9E" w:rsidRDefault="007C769C" w:rsidP="00423392">
            <w:pPr>
              <w:rPr>
                <w:rFonts w:ascii="Arial" w:hAnsi="Arial" w:cs="Arial"/>
                <w:sz w:val="20"/>
                <w:szCs w:val="20"/>
              </w:rPr>
            </w:pPr>
          </w:p>
        </w:tc>
        <w:tc>
          <w:tcPr>
            <w:tcW w:w="3502" w:type="dxa"/>
            <w:vMerge/>
          </w:tcPr>
          <w:p w14:paraId="2490C90D" w14:textId="77777777" w:rsidR="007C769C" w:rsidRPr="00B01F9E" w:rsidRDefault="007C769C" w:rsidP="00423392">
            <w:pPr>
              <w:rPr>
                <w:rFonts w:ascii="Arial" w:hAnsi="Arial" w:cs="Arial"/>
                <w:sz w:val="20"/>
                <w:szCs w:val="20"/>
              </w:rPr>
            </w:pPr>
          </w:p>
        </w:tc>
        <w:tc>
          <w:tcPr>
            <w:tcW w:w="4215" w:type="dxa"/>
          </w:tcPr>
          <w:p w14:paraId="325BF8CE" w14:textId="77777777" w:rsidR="007C769C" w:rsidRPr="00B01F9E" w:rsidRDefault="007C769C" w:rsidP="00423392">
            <w:pPr>
              <w:rPr>
                <w:rFonts w:ascii="Arial" w:hAnsi="Arial" w:cs="Arial"/>
                <w:sz w:val="20"/>
                <w:szCs w:val="20"/>
              </w:rPr>
            </w:pPr>
            <w:r w:rsidRPr="00B01F9E">
              <w:rPr>
                <w:rFonts w:ascii="Arial" w:hAnsi="Arial" w:cs="Arial"/>
                <w:sz w:val="20"/>
                <w:szCs w:val="20"/>
              </w:rPr>
              <w:t>Neutral</w:t>
            </w:r>
          </w:p>
        </w:tc>
      </w:tr>
      <w:tr w:rsidR="007C769C" w:rsidRPr="00B01F9E" w14:paraId="2FB93C76" w14:textId="77777777" w:rsidTr="00423392">
        <w:trPr>
          <w:trHeight w:val="144"/>
        </w:trPr>
        <w:tc>
          <w:tcPr>
            <w:tcW w:w="1083" w:type="dxa"/>
            <w:vMerge/>
          </w:tcPr>
          <w:p w14:paraId="6EA0BA49" w14:textId="77777777" w:rsidR="007C769C" w:rsidRPr="00B01F9E" w:rsidRDefault="007C769C" w:rsidP="00423392">
            <w:pPr>
              <w:rPr>
                <w:rFonts w:ascii="Arial" w:hAnsi="Arial" w:cs="Arial"/>
                <w:sz w:val="20"/>
                <w:szCs w:val="20"/>
              </w:rPr>
            </w:pPr>
          </w:p>
        </w:tc>
        <w:tc>
          <w:tcPr>
            <w:tcW w:w="3502" w:type="dxa"/>
            <w:vMerge/>
          </w:tcPr>
          <w:p w14:paraId="271779A8" w14:textId="77777777" w:rsidR="007C769C" w:rsidRPr="00B01F9E" w:rsidRDefault="007C769C" w:rsidP="00423392">
            <w:pPr>
              <w:rPr>
                <w:rFonts w:ascii="Arial" w:hAnsi="Arial" w:cs="Arial"/>
                <w:sz w:val="20"/>
                <w:szCs w:val="20"/>
              </w:rPr>
            </w:pPr>
          </w:p>
        </w:tc>
        <w:tc>
          <w:tcPr>
            <w:tcW w:w="4215" w:type="dxa"/>
          </w:tcPr>
          <w:p w14:paraId="68917819" w14:textId="77777777" w:rsidR="007C769C" w:rsidRPr="00B01F9E" w:rsidRDefault="007C769C" w:rsidP="00423392">
            <w:pPr>
              <w:rPr>
                <w:rFonts w:ascii="Arial" w:hAnsi="Arial" w:cs="Arial"/>
                <w:sz w:val="20"/>
                <w:szCs w:val="20"/>
              </w:rPr>
            </w:pPr>
            <w:r w:rsidRPr="00B01F9E">
              <w:rPr>
                <w:rFonts w:ascii="Arial" w:hAnsi="Arial" w:cs="Arial"/>
                <w:sz w:val="20"/>
                <w:szCs w:val="20"/>
              </w:rPr>
              <w:t>Disagree</w:t>
            </w:r>
          </w:p>
        </w:tc>
      </w:tr>
      <w:tr w:rsidR="007C769C" w:rsidRPr="00B01F9E" w14:paraId="33F118D8" w14:textId="77777777" w:rsidTr="00423392">
        <w:trPr>
          <w:trHeight w:val="144"/>
        </w:trPr>
        <w:tc>
          <w:tcPr>
            <w:tcW w:w="1083" w:type="dxa"/>
            <w:vMerge/>
          </w:tcPr>
          <w:p w14:paraId="70514B7D" w14:textId="77777777" w:rsidR="007C769C" w:rsidRPr="00B01F9E" w:rsidRDefault="007C769C" w:rsidP="00423392">
            <w:pPr>
              <w:rPr>
                <w:rFonts w:ascii="Arial" w:hAnsi="Arial" w:cs="Arial"/>
                <w:sz w:val="20"/>
                <w:szCs w:val="20"/>
              </w:rPr>
            </w:pPr>
          </w:p>
        </w:tc>
        <w:tc>
          <w:tcPr>
            <w:tcW w:w="3502" w:type="dxa"/>
            <w:vMerge/>
          </w:tcPr>
          <w:p w14:paraId="79C9E554" w14:textId="77777777" w:rsidR="007C769C" w:rsidRPr="00B01F9E" w:rsidRDefault="007C769C" w:rsidP="00423392">
            <w:pPr>
              <w:rPr>
                <w:rFonts w:ascii="Arial" w:hAnsi="Arial" w:cs="Arial"/>
                <w:sz w:val="20"/>
                <w:szCs w:val="20"/>
              </w:rPr>
            </w:pPr>
          </w:p>
        </w:tc>
        <w:tc>
          <w:tcPr>
            <w:tcW w:w="4215" w:type="dxa"/>
          </w:tcPr>
          <w:p w14:paraId="4978A224" w14:textId="77777777" w:rsidR="007C769C" w:rsidRPr="00B01F9E" w:rsidRDefault="007C769C" w:rsidP="00423392">
            <w:pPr>
              <w:rPr>
                <w:rFonts w:ascii="Arial" w:hAnsi="Arial" w:cs="Arial"/>
                <w:sz w:val="20"/>
                <w:szCs w:val="20"/>
              </w:rPr>
            </w:pPr>
            <w:r w:rsidRPr="00B01F9E">
              <w:rPr>
                <w:rFonts w:ascii="Arial" w:hAnsi="Arial" w:cs="Arial"/>
                <w:sz w:val="20"/>
                <w:szCs w:val="20"/>
              </w:rPr>
              <w:t>Strongly Disagree</w:t>
            </w:r>
          </w:p>
        </w:tc>
      </w:tr>
      <w:tr w:rsidR="007C769C" w:rsidRPr="00B01F9E" w14:paraId="543057A8" w14:textId="77777777" w:rsidTr="00423392">
        <w:trPr>
          <w:trHeight w:val="144"/>
        </w:trPr>
        <w:tc>
          <w:tcPr>
            <w:tcW w:w="1083" w:type="dxa"/>
            <w:vMerge w:val="restart"/>
          </w:tcPr>
          <w:p w14:paraId="4352E12C" w14:textId="77777777" w:rsidR="007C769C" w:rsidRPr="00B01F9E" w:rsidRDefault="007C769C" w:rsidP="00423392">
            <w:pPr>
              <w:rPr>
                <w:rFonts w:ascii="Arial" w:hAnsi="Arial" w:cs="Arial"/>
                <w:sz w:val="20"/>
                <w:szCs w:val="20"/>
              </w:rPr>
            </w:pPr>
            <w:r w:rsidRPr="00B01F9E">
              <w:rPr>
                <w:rFonts w:ascii="Arial" w:hAnsi="Arial" w:cs="Arial"/>
                <w:sz w:val="20"/>
                <w:szCs w:val="20"/>
              </w:rPr>
              <w:t>12.5</w:t>
            </w:r>
          </w:p>
        </w:tc>
        <w:tc>
          <w:tcPr>
            <w:tcW w:w="3502" w:type="dxa"/>
            <w:vMerge w:val="restart"/>
          </w:tcPr>
          <w:p w14:paraId="5D95327E" w14:textId="77777777" w:rsidR="007C769C" w:rsidRPr="00B01F9E" w:rsidRDefault="007C769C" w:rsidP="00423392">
            <w:pPr>
              <w:rPr>
                <w:rFonts w:ascii="Arial" w:hAnsi="Arial" w:cs="Arial"/>
                <w:sz w:val="20"/>
                <w:szCs w:val="20"/>
              </w:rPr>
            </w:pPr>
            <w:r w:rsidRPr="00B01F9E">
              <w:rPr>
                <w:rFonts w:ascii="Arial" w:hAnsi="Arial" w:cs="Arial"/>
                <w:sz w:val="20"/>
                <w:szCs w:val="20"/>
              </w:rPr>
              <w:t>I am satisfied with what I delivered with my scheduling and time commitments</w:t>
            </w:r>
          </w:p>
        </w:tc>
        <w:tc>
          <w:tcPr>
            <w:tcW w:w="4215" w:type="dxa"/>
          </w:tcPr>
          <w:p w14:paraId="1D6F5C30" w14:textId="77777777" w:rsidR="007C769C" w:rsidRPr="00B01F9E" w:rsidRDefault="007C769C" w:rsidP="00423392">
            <w:pPr>
              <w:rPr>
                <w:rFonts w:ascii="Arial" w:hAnsi="Arial" w:cs="Arial"/>
                <w:sz w:val="20"/>
                <w:szCs w:val="20"/>
              </w:rPr>
            </w:pPr>
            <w:r w:rsidRPr="00B01F9E">
              <w:rPr>
                <w:rFonts w:ascii="Arial" w:hAnsi="Arial" w:cs="Arial"/>
                <w:sz w:val="20"/>
                <w:szCs w:val="20"/>
              </w:rPr>
              <w:t>Strongly Agree</w:t>
            </w:r>
          </w:p>
        </w:tc>
      </w:tr>
      <w:tr w:rsidR="007C769C" w:rsidRPr="00B01F9E" w14:paraId="26823B38" w14:textId="77777777" w:rsidTr="00423392">
        <w:trPr>
          <w:trHeight w:val="144"/>
        </w:trPr>
        <w:tc>
          <w:tcPr>
            <w:tcW w:w="1083" w:type="dxa"/>
            <w:vMerge/>
          </w:tcPr>
          <w:p w14:paraId="5D9FA70A" w14:textId="77777777" w:rsidR="007C769C" w:rsidRPr="00B01F9E" w:rsidRDefault="007C769C" w:rsidP="00423392">
            <w:pPr>
              <w:rPr>
                <w:rFonts w:ascii="Arial" w:hAnsi="Arial" w:cs="Arial"/>
                <w:sz w:val="20"/>
                <w:szCs w:val="20"/>
              </w:rPr>
            </w:pPr>
          </w:p>
        </w:tc>
        <w:tc>
          <w:tcPr>
            <w:tcW w:w="3502" w:type="dxa"/>
            <w:vMerge/>
          </w:tcPr>
          <w:p w14:paraId="50D810C2" w14:textId="77777777" w:rsidR="007C769C" w:rsidRPr="00B01F9E" w:rsidRDefault="007C769C" w:rsidP="00423392">
            <w:pPr>
              <w:rPr>
                <w:rFonts w:ascii="Arial" w:hAnsi="Arial" w:cs="Arial"/>
                <w:sz w:val="20"/>
                <w:szCs w:val="20"/>
              </w:rPr>
            </w:pPr>
          </w:p>
        </w:tc>
        <w:tc>
          <w:tcPr>
            <w:tcW w:w="4215" w:type="dxa"/>
          </w:tcPr>
          <w:p w14:paraId="23203AF3" w14:textId="77777777" w:rsidR="007C769C" w:rsidRPr="00B01F9E" w:rsidRDefault="007C769C" w:rsidP="00423392">
            <w:pPr>
              <w:rPr>
                <w:rFonts w:ascii="Arial" w:hAnsi="Arial" w:cs="Arial"/>
                <w:sz w:val="20"/>
                <w:szCs w:val="20"/>
              </w:rPr>
            </w:pPr>
            <w:r w:rsidRPr="00B01F9E">
              <w:rPr>
                <w:rFonts w:ascii="Arial" w:hAnsi="Arial" w:cs="Arial"/>
                <w:sz w:val="20"/>
                <w:szCs w:val="20"/>
              </w:rPr>
              <w:t>Agree</w:t>
            </w:r>
          </w:p>
        </w:tc>
      </w:tr>
      <w:tr w:rsidR="007C769C" w:rsidRPr="00B01F9E" w14:paraId="36CF9705" w14:textId="77777777" w:rsidTr="00423392">
        <w:trPr>
          <w:trHeight w:val="144"/>
        </w:trPr>
        <w:tc>
          <w:tcPr>
            <w:tcW w:w="1083" w:type="dxa"/>
            <w:vMerge/>
          </w:tcPr>
          <w:p w14:paraId="6D269CFF" w14:textId="77777777" w:rsidR="007C769C" w:rsidRPr="00B01F9E" w:rsidRDefault="007C769C" w:rsidP="00423392">
            <w:pPr>
              <w:rPr>
                <w:rFonts w:ascii="Arial" w:hAnsi="Arial" w:cs="Arial"/>
                <w:sz w:val="20"/>
                <w:szCs w:val="20"/>
              </w:rPr>
            </w:pPr>
          </w:p>
        </w:tc>
        <w:tc>
          <w:tcPr>
            <w:tcW w:w="3502" w:type="dxa"/>
            <w:vMerge/>
          </w:tcPr>
          <w:p w14:paraId="7D61D1AD" w14:textId="77777777" w:rsidR="007C769C" w:rsidRPr="00B01F9E" w:rsidRDefault="007C769C" w:rsidP="00423392">
            <w:pPr>
              <w:rPr>
                <w:rFonts w:ascii="Arial" w:hAnsi="Arial" w:cs="Arial"/>
                <w:sz w:val="20"/>
                <w:szCs w:val="20"/>
              </w:rPr>
            </w:pPr>
          </w:p>
        </w:tc>
        <w:tc>
          <w:tcPr>
            <w:tcW w:w="4215" w:type="dxa"/>
          </w:tcPr>
          <w:p w14:paraId="589A6989" w14:textId="77777777" w:rsidR="007C769C" w:rsidRPr="00B01F9E" w:rsidRDefault="007C769C" w:rsidP="00423392">
            <w:pPr>
              <w:rPr>
                <w:rFonts w:ascii="Arial" w:hAnsi="Arial" w:cs="Arial"/>
                <w:sz w:val="20"/>
                <w:szCs w:val="20"/>
              </w:rPr>
            </w:pPr>
            <w:r w:rsidRPr="00B01F9E">
              <w:rPr>
                <w:rFonts w:ascii="Arial" w:hAnsi="Arial" w:cs="Arial"/>
                <w:sz w:val="20"/>
                <w:szCs w:val="20"/>
              </w:rPr>
              <w:t>Neutral</w:t>
            </w:r>
          </w:p>
        </w:tc>
      </w:tr>
      <w:tr w:rsidR="007C769C" w:rsidRPr="00B01F9E" w14:paraId="0BD95FF1" w14:textId="77777777" w:rsidTr="00423392">
        <w:trPr>
          <w:trHeight w:val="144"/>
        </w:trPr>
        <w:tc>
          <w:tcPr>
            <w:tcW w:w="1083" w:type="dxa"/>
            <w:vMerge/>
          </w:tcPr>
          <w:p w14:paraId="54E16405" w14:textId="77777777" w:rsidR="007C769C" w:rsidRPr="00B01F9E" w:rsidRDefault="007C769C" w:rsidP="00423392">
            <w:pPr>
              <w:rPr>
                <w:rFonts w:ascii="Arial" w:hAnsi="Arial" w:cs="Arial"/>
                <w:sz w:val="20"/>
                <w:szCs w:val="20"/>
              </w:rPr>
            </w:pPr>
          </w:p>
        </w:tc>
        <w:tc>
          <w:tcPr>
            <w:tcW w:w="3502" w:type="dxa"/>
            <w:vMerge/>
          </w:tcPr>
          <w:p w14:paraId="65C6FF69" w14:textId="77777777" w:rsidR="007C769C" w:rsidRPr="00B01F9E" w:rsidRDefault="007C769C" w:rsidP="00423392">
            <w:pPr>
              <w:rPr>
                <w:rFonts w:ascii="Arial" w:hAnsi="Arial" w:cs="Arial"/>
                <w:sz w:val="20"/>
                <w:szCs w:val="20"/>
              </w:rPr>
            </w:pPr>
          </w:p>
        </w:tc>
        <w:tc>
          <w:tcPr>
            <w:tcW w:w="4215" w:type="dxa"/>
          </w:tcPr>
          <w:p w14:paraId="4C0235DE" w14:textId="77777777" w:rsidR="007C769C" w:rsidRPr="00B01F9E" w:rsidRDefault="007C769C" w:rsidP="00423392">
            <w:pPr>
              <w:rPr>
                <w:rFonts w:ascii="Arial" w:hAnsi="Arial" w:cs="Arial"/>
                <w:sz w:val="20"/>
                <w:szCs w:val="20"/>
              </w:rPr>
            </w:pPr>
            <w:r w:rsidRPr="00B01F9E">
              <w:rPr>
                <w:rFonts w:ascii="Arial" w:hAnsi="Arial" w:cs="Arial"/>
                <w:sz w:val="20"/>
                <w:szCs w:val="20"/>
              </w:rPr>
              <w:t>Disagree</w:t>
            </w:r>
          </w:p>
        </w:tc>
      </w:tr>
      <w:tr w:rsidR="007C769C" w:rsidRPr="00B01F9E" w14:paraId="4E14B92A" w14:textId="77777777" w:rsidTr="00423392">
        <w:trPr>
          <w:trHeight w:val="144"/>
        </w:trPr>
        <w:tc>
          <w:tcPr>
            <w:tcW w:w="1083" w:type="dxa"/>
            <w:vMerge/>
          </w:tcPr>
          <w:p w14:paraId="2D424F4F" w14:textId="77777777" w:rsidR="007C769C" w:rsidRPr="00B01F9E" w:rsidRDefault="007C769C" w:rsidP="00423392">
            <w:pPr>
              <w:rPr>
                <w:rFonts w:ascii="Arial" w:hAnsi="Arial" w:cs="Arial"/>
                <w:sz w:val="20"/>
                <w:szCs w:val="20"/>
              </w:rPr>
            </w:pPr>
          </w:p>
        </w:tc>
        <w:tc>
          <w:tcPr>
            <w:tcW w:w="3502" w:type="dxa"/>
            <w:vMerge/>
          </w:tcPr>
          <w:p w14:paraId="63E94A5C" w14:textId="77777777" w:rsidR="007C769C" w:rsidRPr="00B01F9E" w:rsidRDefault="007C769C" w:rsidP="00423392">
            <w:pPr>
              <w:rPr>
                <w:rFonts w:ascii="Arial" w:hAnsi="Arial" w:cs="Arial"/>
                <w:sz w:val="20"/>
                <w:szCs w:val="20"/>
              </w:rPr>
            </w:pPr>
          </w:p>
        </w:tc>
        <w:tc>
          <w:tcPr>
            <w:tcW w:w="4215" w:type="dxa"/>
          </w:tcPr>
          <w:p w14:paraId="501B9AF6" w14:textId="77777777" w:rsidR="007C769C" w:rsidRPr="00B01F9E" w:rsidRDefault="007C769C" w:rsidP="00423392">
            <w:pPr>
              <w:rPr>
                <w:rFonts w:ascii="Arial" w:hAnsi="Arial" w:cs="Arial"/>
                <w:sz w:val="20"/>
                <w:szCs w:val="20"/>
              </w:rPr>
            </w:pPr>
            <w:r w:rsidRPr="00B01F9E">
              <w:rPr>
                <w:rFonts w:ascii="Arial" w:hAnsi="Arial" w:cs="Arial"/>
                <w:sz w:val="20"/>
                <w:szCs w:val="20"/>
              </w:rPr>
              <w:t>Strongly Disagree</w:t>
            </w:r>
          </w:p>
        </w:tc>
      </w:tr>
      <w:tr w:rsidR="007C769C" w:rsidRPr="00B01F9E" w14:paraId="06DE1204" w14:textId="77777777" w:rsidTr="00423392">
        <w:trPr>
          <w:trHeight w:val="144"/>
        </w:trPr>
        <w:tc>
          <w:tcPr>
            <w:tcW w:w="1083" w:type="dxa"/>
            <w:vMerge w:val="restart"/>
          </w:tcPr>
          <w:p w14:paraId="0C106C62" w14:textId="77777777" w:rsidR="007C769C" w:rsidRPr="00B01F9E" w:rsidRDefault="007C769C" w:rsidP="00423392">
            <w:pPr>
              <w:rPr>
                <w:rFonts w:ascii="Arial" w:hAnsi="Arial" w:cs="Arial"/>
                <w:sz w:val="20"/>
                <w:szCs w:val="20"/>
              </w:rPr>
            </w:pPr>
            <w:r w:rsidRPr="00B01F9E">
              <w:rPr>
                <w:rFonts w:ascii="Arial" w:hAnsi="Arial" w:cs="Arial"/>
                <w:sz w:val="20"/>
                <w:szCs w:val="20"/>
              </w:rPr>
              <w:t>12.6</w:t>
            </w:r>
          </w:p>
        </w:tc>
        <w:tc>
          <w:tcPr>
            <w:tcW w:w="3502" w:type="dxa"/>
            <w:vMerge w:val="restart"/>
          </w:tcPr>
          <w:p w14:paraId="6D1AA332" w14:textId="77777777" w:rsidR="007C769C" w:rsidRPr="00B01F9E" w:rsidRDefault="007C769C" w:rsidP="00423392">
            <w:pPr>
              <w:rPr>
                <w:rFonts w:ascii="Arial" w:hAnsi="Arial" w:cs="Arial"/>
                <w:sz w:val="20"/>
                <w:szCs w:val="20"/>
              </w:rPr>
            </w:pPr>
            <w:r w:rsidRPr="00B01F9E">
              <w:rPr>
                <w:rFonts w:ascii="Arial" w:hAnsi="Arial" w:cs="Arial"/>
                <w:sz w:val="20"/>
                <w:szCs w:val="20"/>
              </w:rPr>
              <w:t>I am satisfied with the overall project delivered</w:t>
            </w:r>
          </w:p>
        </w:tc>
        <w:tc>
          <w:tcPr>
            <w:tcW w:w="4215" w:type="dxa"/>
          </w:tcPr>
          <w:p w14:paraId="6C39F7A3" w14:textId="77777777" w:rsidR="007C769C" w:rsidRPr="00B01F9E" w:rsidRDefault="007C769C" w:rsidP="00423392">
            <w:pPr>
              <w:rPr>
                <w:rFonts w:ascii="Arial" w:hAnsi="Arial" w:cs="Arial"/>
                <w:sz w:val="20"/>
                <w:szCs w:val="20"/>
              </w:rPr>
            </w:pPr>
            <w:r w:rsidRPr="00B01F9E">
              <w:rPr>
                <w:rFonts w:ascii="Arial" w:hAnsi="Arial" w:cs="Arial"/>
                <w:sz w:val="20"/>
                <w:szCs w:val="20"/>
              </w:rPr>
              <w:t>Strongly Agree</w:t>
            </w:r>
          </w:p>
        </w:tc>
      </w:tr>
      <w:tr w:rsidR="007C769C" w:rsidRPr="00B01F9E" w14:paraId="72FFCF09" w14:textId="77777777" w:rsidTr="00423392">
        <w:trPr>
          <w:trHeight w:val="144"/>
        </w:trPr>
        <w:tc>
          <w:tcPr>
            <w:tcW w:w="1083" w:type="dxa"/>
            <w:vMerge/>
          </w:tcPr>
          <w:p w14:paraId="1065E937" w14:textId="77777777" w:rsidR="007C769C" w:rsidRPr="00B01F9E" w:rsidRDefault="007C769C" w:rsidP="00423392">
            <w:pPr>
              <w:rPr>
                <w:rFonts w:ascii="Arial" w:hAnsi="Arial" w:cs="Arial"/>
                <w:sz w:val="20"/>
                <w:szCs w:val="20"/>
              </w:rPr>
            </w:pPr>
          </w:p>
        </w:tc>
        <w:tc>
          <w:tcPr>
            <w:tcW w:w="3502" w:type="dxa"/>
            <w:vMerge/>
          </w:tcPr>
          <w:p w14:paraId="30B09A94" w14:textId="77777777" w:rsidR="007C769C" w:rsidRPr="00B01F9E" w:rsidRDefault="007C769C" w:rsidP="00423392">
            <w:pPr>
              <w:rPr>
                <w:rFonts w:ascii="Arial" w:hAnsi="Arial" w:cs="Arial"/>
                <w:sz w:val="20"/>
                <w:szCs w:val="20"/>
              </w:rPr>
            </w:pPr>
          </w:p>
        </w:tc>
        <w:tc>
          <w:tcPr>
            <w:tcW w:w="4215" w:type="dxa"/>
          </w:tcPr>
          <w:p w14:paraId="2AFACFBA" w14:textId="77777777" w:rsidR="007C769C" w:rsidRPr="00B01F9E" w:rsidRDefault="007C769C" w:rsidP="00423392">
            <w:pPr>
              <w:rPr>
                <w:rFonts w:ascii="Arial" w:hAnsi="Arial" w:cs="Arial"/>
                <w:sz w:val="20"/>
                <w:szCs w:val="20"/>
              </w:rPr>
            </w:pPr>
            <w:r w:rsidRPr="00B01F9E">
              <w:rPr>
                <w:rFonts w:ascii="Arial" w:hAnsi="Arial" w:cs="Arial"/>
                <w:sz w:val="20"/>
                <w:szCs w:val="20"/>
              </w:rPr>
              <w:t>Agree</w:t>
            </w:r>
          </w:p>
        </w:tc>
      </w:tr>
      <w:tr w:rsidR="007C769C" w:rsidRPr="00B01F9E" w14:paraId="37DD1172" w14:textId="77777777" w:rsidTr="00423392">
        <w:trPr>
          <w:trHeight w:val="144"/>
        </w:trPr>
        <w:tc>
          <w:tcPr>
            <w:tcW w:w="1083" w:type="dxa"/>
            <w:vMerge/>
          </w:tcPr>
          <w:p w14:paraId="5AB69384" w14:textId="77777777" w:rsidR="007C769C" w:rsidRPr="00B01F9E" w:rsidRDefault="007C769C" w:rsidP="00423392">
            <w:pPr>
              <w:rPr>
                <w:rFonts w:ascii="Arial" w:hAnsi="Arial" w:cs="Arial"/>
                <w:sz w:val="20"/>
                <w:szCs w:val="20"/>
              </w:rPr>
            </w:pPr>
          </w:p>
        </w:tc>
        <w:tc>
          <w:tcPr>
            <w:tcW w:w="3502" w:type="dxa"/>
            <w:vMerge/>
          </w:tcPr>
          <w:p w14:paraId="2946038D" w14:textId="77777777" w:rsidR="007C769C" w:rsidRPr="00B01F9E" w:rsidRDefault="007C769C" w:rsidP="00423392">
            <w:pPr>
              <w:rPr>
                <w:rFonts w:ascii="Arial" w:hAnsi="Arial" w:cs="Arial"/>
                <w:sz w:val="20"/>
                <w:szCs w:val="20"/>
              </w:rPr>
            </w:pPr>
          </w:p>
        </w:tc>
        <w:tc>
          <w:tcPr>
            <w:tcW w:w="4215" w:type="dxa"/>
          </w:tcPr>
          <w:p w14:paraId="51835EEA" w14:textId="77777777" w:rsidR="007C769C" w:rsidRPr="00B01F9E" w:rsidRDefault="007C769C" w:rsidP="00423392">
            <w:pPr>
              <w:rPr>
                <w:rFonts w:ascii="Arial" w:hAnsi="Arial" w:cs="Arial"/>
                <w:sz w:val="20"/>
                <w:szCs w:val="20"/>
              </w:rPr>
            </w:pPr>
            <w:r w:rsidRPr="00B01F9E">
              <w:rPr>
                <w:rFonts w:ascii="Arial" w:hAnsi="Arial" w:cs="Arial"/>
                <w:sz w:val="20"/>
                <w:szCs w:val="20"/>
              </w:rPr>
              <w:t>Neutral</w:t>
            </w:r>
          </w:p>
        </w:tc>
      </w:tr>
      <w:tr w:rsidR="007C769C" w:rsidRPr="00B01F9E" w14:paraId="3D140127" w14:textId="77777777" w:rsidTr="00423392">
        <w:trPr>
          <w:trHeight w:val="144"/>
        </w:trPr>
        <w:tc>
          <w:tcPr>
            <w:tcW w:w="1083" w:type="dxa"/>
            <w:vMerge/>
          </w:tcPr>
          <w:p w14:paraId="36F32578" w14:textId="77777777" w:rsidR="007C769C" w:rsidRPr="00B01F9E" w:rsidRDefault="007C769C" w:rsidP="00423392">
            <w:pPr>
              <w:rPr>
                <w:rFonts w:ascii="Arial" w:hAnsi="Arial" w:cs="Arial"/>
                <w:sz w:val="20"/>
                <w:szCs w:val="20"/>
              </w:rPr>
            </w:pPr>
          </w:p>
        </w:tc>
        <w:tc>
          <w:tcPr>
            <w:tcW w:w="3502" w:type="dxa"/>
            <w:vMerge/>
          </w:tcPr>
          <w:p w14:paraId="28F14B61" w14:textId="77777777" w:rsidR="007C769C" w:rsidRPr="00B01F9E" w:rsidRDefault="007C769C" w:rsidP="00423392">
            <w:pPr>
              <w:rPr>
                <w:rFonts w:ascii="Arial" w:hAnsi="Arial" w:cs="Arial"/>
                <w:sz w:val="20"/>
                <w:szCs w:val="20"/>
              </w:rPr>
            </w:pPr>
          </w:p>
        </w:tc>
        <w:tc>
          <w:tcPr>
            <w:tcW w:w="4215" w:type="dxa"/>
          </w:tcPr>
          <w:p w14:paraId="423D19CF" w14:textId="77777777" w:rsidR="007C769C" w:rsidRPr="00B01F9E" w:rsidRDefault="007C769C" w:rsidP="00423392">
            <w:pPr>
              <w:rPr>
                <w:rFonts w:ascii="Arial" w:hAnsi="Arial" w:cs="Arial"/>
                <w:sz w:val="20"/>
                <w:szCs w:val="20"/>
              </w:rPr>
            </w:pPr>
            <w:r w:rsidRPr="00B01F9E">
              <w:rPr>
                <w:rFonts w:ascii="Arial" w:hAnsi="Arial" w:cs="Arial"/>
                <w:sz w:val="20"/>
                <w:szCs w:val="20"/>
              </w:rPr>
              <w:t>Disagree</w:t>
            </w:r>
          </w:p>
        </w:tc>
      </w:tr>
      <w:tr w:rsidR="007C769C" w:rsidRPr="00B01F9E" w14:paraId="76BFF709" w14:textId="77777777" w:rsidTr="00423392">
        <w:trPr>
          <w:trHeight w:val="144"/>
        </w:trPr>
        <w:tc>
          <w:tcPr>
            <w:tcW w:w="1083" w:type="dxa"/>
            <w:vMerge/>
          </w:tcPr>
          <w:p w14:paraId="437CFEAC" w14:textId="77777777" w:rsidR="007C769C" w:rsidRPr="00B01F9E" w:rsidRDefault="007C769C" w:rsidP="00423392">
            <w:pPr>
              <w:rPr>
                <w:rFonts w:ascii="Arial" w:hAnsi="Arial" w:cs="Arial"/>
                <w:sz w:val="20"/>
                <w:szCs w:val="20"/>
              </w:rPr>
            </w:pPr>
          </w:p>
        </w:tc>
        <w:tc>
          <w:tcPr>
            <w:tcW w:w="3502" w:type="dxa"/>
            <w:vMerge/>
          </w:tcPr>
          <w:p w14:paraId="2D42ED98" w14:textId="77777777" w:rsidR="007C769C" w:rsidRPr="00B01F9E" w:rsidRDefault="007C769C" w:rsidP="00423392">
            <w:pPr>
              <w:rPr>
                <w:rFonts w:ascii="Arial" w:hAnsi="Arial" w:cs="Arial"/>
                <w:sz w:val="20"/>
                <w:szCs w:val="20"/>
              </w:rPr>
            </w:pPr>
          </w:p>
        </w:tc>
        <w:tc>
          <w:tcPr>
            <w:tcW w:w="4215" w:type="dxa"/>
          </w:tcPr>
          <w:p w14:paraId="0301CA71" w14:textId="77777777" w:rsidR="007C769C" w:rsidRPr="00B01F9E" w:rsidRDefault="007C769C" w:rsidP="00423392">
            <w:pPr>
              <w:rPr>
                <w:rFonts w:ascii="Arial" w:hAnsi="Arial" w:cs="Arial"/>
                <w:sz w:val="20"/>
                <w:szCs w:val="20"/>
              </w:rPr>
            </w:pPr>
            <w:r w:rsidRPr="00B01F9E">
              <w:rPr>
                <w:rFonts w:ascii="Arial" w:hAnsi="Arial" w:cs="Arial"/>
                <w:sz w:val="20"/>
                <w:szCs w:val="20"/>
              </w:rPr>
              <w:t>Strongly Disagree</w:t>
            </w:r>
          </w:p>
        </w:tc>
      </w:tr>
    </w:tbl>
    <w:p w14:paraId="118AE181" w14:textId="77777777" w:rsidR="00423392" w:rsidRPr="00B01F9E" w:rsidRDefault="00423392">
      <w:pPr>
        <w:rPr>
          <w:rFonts w:ascii="Arial" w:eastAsiaTheme="majorEastAsia" w:hAnsi="Arial" w:cs="Arial"/>
          <w:b/>
          <w:bCs/>
          <w:i/>
          <w:iCs/>
          <w:color w:val="009ABF" w:themeColor="text1"/>
          <w:sz w:val="20"/>
          <w:szCs w:val="20"/>
        </w:rPr>
      </w:pPr>
      <w:bookmarkStart w:id="401" w:name="_Toc177137031"/>
      <w:r w:rsidRPr="00B01F9E">
        <w:rPr>
          <w:rFonts w:ascii="Arial" w:hAnsi="Arial" w:cs="Arial"/>
          <w:b/>
          <w:bCs/>
          <w:i/>
          <w:iCs/>
          <w:color w:val="009ABF" w:themeColor="text1"/>
          <w:sz w:val="20"/>
          <w:szCs w:val="20"/>
        </w:rPr>
        <w:br w:type="page"/>
      </w:r>
    </w:p>
    <w:p w14:paraId="47C90B09" w14:textId="622A7301" w:rsidR="00304EA1" w:rsidRPr="00B01F9E" w:rsidRDefault="00BB62D3" w:rsidP="00163CA6">
      <w:pPr>
        <w:pStyle w:val="Heading3"/>
        <w:spacing w:before="120"/>
        <w:rPr>
          <w:rFonts w:ascii="Arial" w:hAnsi="Arial" w:cs="Arial"/>
          <w:b/>
          <w:bCs/>
          <w:i/>
          <w:iCs/>
          <w:color w:val="009ABF" w:themeColor="text1"/>
          <w:sz w:val="20"/>
          <w:szCs w:val="20"/>
        </w:rPr>
      </w:pPr>
      <w:r w:rsidRPr="00B01F9E">
        <w:rPr>
          <w:rFonts w:ascii="Arial" w:hAnsi="Arial" w:cs="Arial"/>
          <w:b/>
          <w:bCs/>
          <w:i/>
          <w:iCs/>
          <w:color w:val="009ABF" w:themeColor="text1"/>
          <w:sz w:val="20"/>
          <w:szCs w:val="20"/>
        </w:rPr>
        <w:lastRenderedPageBreak/>
        <w:t>7</w:t>
      </w:r>
      <w:r w:rsidR="00304EA1" w:rsidRPr="00B01F9E">
        <w:rPr>
          <w:rFonts w:ascii="Arial" w:hAnsi="Arial" w:cs="Arial"/>
          <w:b/>
          <w:bCs/>
          <w:i/>
          <w:iCs/>
          <w:color w:val="009ABF" w:themeColor="text1"/>
          <w:sz w:val="20"/>
          <w:szCs w:val="20"/>
        </w:rPr>
        <w:t>.3.2 Training and Education Supplemental Materials</w:t>
      </w:r>
      <w:bookmarkEnd w:id="401"/>
    </w:p>
    <w:p w14:paraId="001E5919" w14:textId="5305544D" w:rsidR="005E01A3" w:rsidRPr="00B01F9E" w:rsidRDefault="005E01A3" w:rsidP="00EA5B0B">
      <w:pPr>
        <w:spacing w:before="120" w:after="120"/>
        <w:rPr>
          <w:rFonts w:ascii="Arial" w:hAnsi="Arial" w:cs="Arial"/>
          <w:sz w:val="20"/>
          <w:szCs w:val="20"/>
        </w:rPr>
      </w:pPr>
      <w:r w:rsidRPr="00B01F9E">
        <w:rPr>
          <w:rFonts w:ascii="Arial" w:hAnsi="Arial" w:cs="Arial"/>
          <w:sz w:val="20"/>
          <w:szCs w:val="20"/>
        </w:rPr>
        <w:t>The following supplementary materials related to t</w:t>
      </w:r>
      <w:r w:rsidR="00EA5B0B" w:rsidRPr="00B01F9E">
        <w:rPr>
          <w:rFonts w:ascii="Arial" w:hAnsi="Arial" w:cs="Arial"/>
          <w:sz w:val="20"/>
          <w:szCs w:val="20"/>
        </w:rPr>
        <w:t>raining and education</w:t>
      </w:r>
      <w:r w:rsidRPr="00B01F9E">
        <w:rPr>
          <w:rFonts w:ascii="Arial" w:hAnsi="Arial" w:cs="Arial"/>
          <w:sz w:val="20"/>
          <w:szCs w:val="20"/>
        </w:rPr>
        <w:t xml:space="preserve"> are included as separate files, accompanying the submission of this document:  </w:t>
      </w:r>
    </w:p>
    <w:tbl>
      <w:tblPr>
        <w:tblStyle w:val="TableGrid"/>
        <w:tblW w:w="0" w:type="auto"/>
        <w:tblInd w:w="-5" w:type="dxa"/>
        <w:tblLook w:val="04A0" w:firstRow="1" w:lastRow="0" w:firstColumn="1" w:lastColumn="0" w:noHBand="0" w:noVBand="1"/>
      </w:tblPr>
      <w:tblGrid>
        <w:gridCol w:w="606"/>
        <w:gridCol w:w="3264"/>
        <w:gridCol w:w="5485"/>
      </w:tblGrid>
      <w:tr w:rsidR="007C7CF5" w:rsidRPr="00B01F9E" w14:paraId="360EA49A" w14:textId="77777777" w:rsidTr="00886006">
        <w:trPr>
          <w:trHeight w:val="144"/>
        </w:trPr>
        <w:tc>
          <w:tcPr>
            <w:tcW w:w="606" w:type="dxa"/>
            <w:shd w:val="clear" w:color="auto" w:fill="009ABF" w:themeFill="text1"/>
          </w:tcPr>
          <w:p w14:paraId="1E64BBAB" w14:textId="4215C462" w:rsidR="007C7CF5" w:rsidRPr="00886006" w:rsidRDefault="007C7CF5" w:rsidP="007A3B77">
            <w:pPr>
              <w:rPr>
                <w:rFonts w:ascii="Arial" w:hAnsi="Arial" w:cs="Arial"/>
                <w:b/>
                <w:bCs/>
                <w:color w:val="FFFFFF"/>
                <w:sz w:val="20"/>
                <w:szCs w:val="20"/>
              </w:rPr>
            </w:pPr>
            <w:r w:rsidRPr="00886006">
              <w:rPr>
                <w:rFonts w:ascii="Arial" w:hAnsi="Arial" w:cs="Arial"/>
                <w:b/>
                <w:bCs/>
                <w:color w:val="FFFFFF"/>
                <w:sz w:val="20"/>
                <w:szCs w:val="20"/>
              </w:rPr>
              <w:t>#</w:t>
            </w:r>
          </w:p>
        </w:tc>
        <w:tc>
          <w:tcPr>
            <w:tcW w:w="3264" w:type="dxa"/>
            <w:shd w:val="clear" w:color="auto" w:fill="009ABF" w:themeFill="text1"/>
          </w:tcPr>
          <w:p w14:paraId="06B93EA0" w14:textId="2F425286" w:rsidR="007C7CF5" w:rsidRPr="00886006" w:rsidRDefault="007C7CF5" w:rsidP="007A3B77">
            <w:pPr>
              <w:rPr>
                <w:rFonts w:ascii="Arial" w:hAnsi="Arial" w:cs="Arial"/>
                <w:b/>
                <w:bCs/>
                <w:color w:val="FFFFFF"/>
                <w:sz w:val="20"/>
                <w:szCs w:val="20"/>
              </w:rPr>
            </w:pPr>
            <w:r w:rsidRPr="00886006">
              <w:rPr>
                <w:rFonts w:ascii="Arial" w:hAnsi="Arial" w:cs="Arial"/>
                <w:b/>
                <w:bCs/>
                <w:color w:val="FFFFFF"/>
                <w:sz w:val="20"/>
                <w:szCs w:val="20"/>
              </w:rPr>
              <w:t xml:space="preserve">Name </w:t>
            </w:r>
          </w:p>
        </w:tc>
        <w:tc>
          <w:tcPr>
            <w:tcW w:w="5485" w:type="dxa"/>
            <w:shd w:val="clear" w:color="auto" w:fill="009ABF" w:themeFill="text1"/>
          </w:tcPr>
          <w:p w14:paraId="0BA43840" w14:textId="77777777" w:rsidR="007C7CF5" w:rsidRPr="00886006" w:rsidRDefault="007C7CF5" w:rsidP="007A3B77">
            <w:pPr>
              <w:rPr>
                <w:rFonts w:ascii="Arial" w:hAnsi="Arial" w:cs="Arial"/>
                <w:b/>
                <w:bCs/>
                <w:color w:val="FFFFFF"/>
                <w:sz w:val="20"/>
                <w:szCs w:val="20"/>
              </w:rPr>
            </w:pPr>
            <w:r w:rsidRPr="00886006">
              <w:rPr>
                <w:rFonts w:ascii="Arial" w:hAnsi="Arial" w:cs="Arial"/>
                <w:b/>
                <w:bCs/>
                <w:color w:val="FFFFFF"/>
                <w:sz w:val="20"/>
                <w:szCs w:val="20"/>
              </w:rPr>
              <w:t>Description</w:t>
            </w:r>
          </w:p>
        </w:tc>
      </w:tr>
      <w:tr w:rsidR="007C7CF5" w:rsidRPr="00B01F9E" w14:paraId="7D598E73" w14:textId="77777777" w:rsidTr="007A3B77">
        <w:tc>
          <w:tcPr>
            <w:tcW w:w="606" w:type="dxa"/>
          </w:tcPr>
          <w:p w14:paraId="584FCBED" w14:textId="57F23DA4" w:rsidR="007C7CF5" w:rsidRPr="00B01F9E" w:rsidRDefault="007C7CF5" w:rsidP="007A3B77">
            <w:pPr>
              <w:rPr>
                <w:rFonts w:ascii="Arial" w:hAnsi="Arial" w:cs="Arial"/>
                <w:sz w:val="20"/>
                <w:szCs w:val="20"/>
              </w:rPr>
            </w:pPr>
            <w:r w:rsidRPr="00B01F9E">
              <w:rPr>
                <w:rFonts w:ascii="Arial" w:hAnsi="Arial" w:cs="Arial"/>
                <w:sz w:val="20"/>
                <w:szCs w:val="20"/>
              </w:rPr>
              <w:t>1</w:t>
            </w:r>
            <w:r w:rsidR="00C677F2" w:rsidRPr="00B01F9E">
              <w:rPr>
                <w:rFonts w:ascii="Arial" w:hAnsi="Arial" w:cs="Arial"/>
                <w:sz w:val="20"/>
                <w:szCs w:val="20"/>
              </w:rPr>
              <w:t>2</w:t>
            </w:r>
            <w:r w:rsidRPr="00B01F9E">
              <w:rPr>
                <w:rFonts w:ascii="Arial" w:hAnsi="Arial" w:cs="Arial"/>
                <w:sz w:val="20"/>
                <w:szCs w:val="20"/>
              </w:rPr>
              <w:t>.0</w:t>
            </w:r>
          </w:p>
        </w:tc>
        <w:tc>
          <w:tcPr>
            <w:tcW w:w="3264" w:type="dxa"/>
          </w:tcPr>
          <w:p w14:paraId="6ACD6802" w14:textId="7A70E6B6" w:rsidR="007C7CF5" w:rsidRPr="00B01F9E" w:rsidRDefault="007C7CF5" w:rsidP="007A3B77">
            <w:pPr>
              <w:rPr>
                <w:rFonts w:ascii="Arial" w:hAnsi="Arial" w:cs="Arial"/>
                <w:sz w:val="20"/>
                <w:szCs w:val="20"/>
              </w:rPr>
            </w:pPr>
            <w:r w:rsidRPr="00B01F9E">
              <w:rPr>
                <w:rFonts w:ascii="Arial" w:hAnsi="Arial" w:cs="Arial"/>
                <w:sz w:val="20"/>
                <w:szCs w:val="20"/>
              </w:rPr>
              <w:t xml:space="preserve">Video Introduction Script  </w:t>
            </w:r>
          </w:p>
        </w:tc>
        <w:tc>
          <w:tcPr>
            <w:tcW w:w="5485" w:type="dxa"/>
          </w:tcPr>
          <w:p w14:paraId="651BFA2D" w14:textId="2CDC16B2" w:rsidR="007C7CF5" w:rsidRPr="00B01F9E" w:rsidRDefault="007C7CF5" w:rsidP="007A3B77">
            <w:pPr>
              <w:rPr>
                <w:rFonts w:ascii="Arial" w:hAnsi="Arial" w:cs="Arial"/>
                <w:sz w:val="20"/>
                <w:szCs w:val="20"/>
              </w:rPr>
            </w:pPr>
            <w:r w:rsidRPr="00B01F9E">
              <w:rPr>
                <w:rFonts w:ascii="Arial" w:eastAsiaTheme="majorEastAsia" w:hAnsi="Arial" w:cs="Arial"/>
                <w:color w:val="000000"/>
                <w:sz w:val="20"/>
                <w:szCs w:val="20"/>
              </w:rPr>
              <w:t>Word document containing the script and screenplay used in the final video introduction</w:t>
            </w:r>
            <w:r w:rsidR="00DD63F1" w:rsidRPr="00B01F9E">
              <w:rPr>
                <w:rFonts w:ascii="Arial" w:eastAsiaTheme="majorEastAsia" w:hAnsi="Arial" w:cs="Arial"/>
                <w:color w:val="000000"/>
                <w:sz w:val="20"/>
                <w:szCs w:val="20"/>
              </w:rPr>
              <w:t>.</w:t>
            </w:r>
          </w:p>
        </w:tc>
      </w:tr>
    </w:tbl>
    <w:p w14:paraId="7BA4BBFD" w14:textId="1966100B" w:rsidR="00BE436A" w:rsidRPr="00B01F9E" w:rsidRDefault="00BB62D3" w:rsidP="00163CA6">
      <w:pPr>
        <w:pStyle w:val="Heading3"/>
        <w:spacing w:before="120"/>
        <w:rPr>
          <w:rFonts w:ascii="Arial" w:hAnsi="Arial" w:cs="Arial"/>
          <w:b/>
          <w:bCs/>
          <w:i/>
          <w:iCs/>
          <w:color w:val="009ABF" w:themeColor="text1"/>
          <w:sz w:val="20"/>
          <w:szCs w:val="20"/>
        </w:rPr>
      </w:pPr>
      <w:bookmarkStart w:id="402" w:name="_8.3.3_ANF_Supplemental"/>
      <w:bookmarkStart w:id="403" w:name="_7.3.3_ANF_Supplemental"/>
      <w:bookmarkStart w:id="404" w:name="_Toc177137032"/>
      <w:bookmarkEnd w:id="402"/>
      <w:bookmarkEnd w:id="403"/>
      <w:r w:rsidRPr="00B01F9E">
        <w:rPr>
          <w:rFonts w:ascii="Arial" w:hAnsi="Arial" w:cs="Arial"/>
          <w:b/>
          <w:bCs/>
          <w:i/>
          <w:iCs/>
          <w:color w:val="009ABF" w:themeColor="text1"/>
          <w:sz w:val="20"/>
          <w:szCs w:val="20"/>
        </w:rPr>
        <w:t>7</w:t>
      </w:r>
      <w:r w:rsidR="00131C0E" w:rsidRPr="00B01F9E">
        <w:rPr>
          <w:rFonts w:ascii="Arial" w:hAnsi="Arial" w:cs="Arial"/>
          <w:b/>
          <w:bCs/>
          <w:i/>
          <w:iCs/>
          <w:color w:val="009ABF" w:themeColor="text1"/>
          <w:sz w:val="20"/>
          <w:szCs w:val="20"/>
        </w:rPr>
        <w:t>.3.</w:t>
      </w:r>
      <w:r w:rsidR="00E5655E" w:rsidRPr="00B01F9E">
        <w:rPr>
          <w:rFonts w:ascii="Arial" w:hAnsi="Arial" w:cs="Arial"/>
          <w:b/>
          <w:bCs/>
          <w:i/>
          <w:iCs/>
          <w:color w:val="009ABF" w:themeColor="text1"/>
          <w:sz w:val="20"/>
          <w:szCs w:val="20"/>
        </w:rPr>
        <w:t>3</w:t>
      </w:r>
      <w:r w:rsidR="00131C0E" w:rsidRPr="00B01F9E">
        <w:rPr>
          <w:rFonts w:ascii="Arial" w:hAnsi="Arial" w:cs="Arial"/>
          <w:b/>
          <w:bCs/>
          <w:i/>
          <w:iCs/>
          <w:color w:val="009ABF" w:themeColor="text1"/>
          <w:sz w:val="20"/>
          <w:szCs w:val="20"/>
        </w:rPr>
        <w:t xml:space="preserve"> </w:t>
      </w:r>
      <w:r w:rsidR="00AA0642" w:rsidRPr="00B01F9E">
        <w:rPr>
          <w:rFonts w:ascii="Arial" w:hAnsi="Arial" w:cs="Arial"/>
          <w:b/>
          <w:bCs/>
          <w:i/>
          <w:iCs/>
          <w:color w:val="009ABF" w:themeColor="text1"/>
          <w:sz w:val="20"/>
          <w:szCs w:val="20"/>
        </w:rPr>
        <w:t>ANF Supplemental Materials</w:t>
      </w:r>
      <w:bookmarkEnd w:id="404"/>
    </w:p>
    <w:p w14:paraId="4B3BE28C" w14:textId="3485F2FF" w:rsidR="005E01A3" w:rsidRPr="00B01F9E" w:rsidRDefault="005E01A3" w:rsidP="00EA5B0B">
      <w:pPr>
        <w:spacing w:before="120" w:after="120"/>
        <w:rPr>
          <w:rFonts w:ascii="Arial" w:hAnsi="Arial" w:cs="Arial"/>
          <w:sz w:val="20"/>
          <w:szCs w:val="20"/>
        </w:rPr>
      </w:pPr>
      <w:r w:rsidRPr="00B01F9E">
        <w:rPr>
          <w:rFonts w:ascii="Arial" w:hAnsi="Arial" w:cs="Arial"/>
          <w:sz w:val="20"/>
          <w:szCs w:val="20"/>
        </w:rPr>
        <w:t xml:space="preserve">The following supplementary materials related to </w:t>
      </w:r>
      <w:r w:rsidR="00EA5B0B" w:rsidRPr="00B01F9E">
        <w:rPr>
          <w:rFonts w:ascii="Arial" w:hAnsi="Arial" w:cs="Arial"/>
          <w:sz w:val="20"/>
          <w:szCs w:val="20"/>
        </w:rPr>
        <w:t>ANF</w:t>
      </w:r>
      <w:r w:rsidRPr="00B01F9E">
        <w:rPr>
          <w:rFonts w:ascii="Arial" w:hAnsi="Arial" w:cs="Arial"/>
          <w:sz w:val="20"/>
          <w:szCs w:val="20"/>
        </w:rPr>
        <w:t xml:space="preserve"> are included as separate files, accompanying the submission of this document:  </w:t>
      </w:r>
    </w:p>
    <w:tbl>
      <w:tblPr>
        <w:tblStyle w:val="TableGrid"/>
        <w:tblW w:w="0" w:type="auto"/>
        <w:tblInd w:w="-5" w:type="dxa"/>
        <w:tblLook w:val="04A0" w:firstRow="1" w:lastRow="0" w:firstColumn="1" w:lastColumn="0" w:noHBand="0" w:noVBand="1"/>
      </w:tblPr>
      <w:tblGrid>
        <w:gridCol w:w="630"/>
        <w:gridCol w:w="3240"/>
        <w:gridCol w:w="5485"/>
      </w:tblGrid>
      <w:tr w:rsidR="007C7CF5" w:rsidRPr="00B01F9E" w14:paraId="0D3C5E08" w14:textId="77777777" w:rsidTr="00886006">
        <w:trPr>
          <w:trHeight w:val="144"/>
        </w:trPr>
        <w:tc>
          <w:tcPr>
            <w:tcW w:w="630" w:type="dxa"/>
            <w:shd w:val="clear" w:color="auto" w:fill="009ABF" w:themeFill="text1"/>
          </w:tcPr>
          <w:p w14:paraId="3FBC8245" w14:textId="04BEA4EE" w:rsidR="007C7CF5" w:rsidRPr="00886006" w:rsidRDefault="007C7CF5" w:rsidP="007A3B77">
            <w:pPr>
              <w:rPr>
                <w:rFonts w:ascii="Arial" w:hAnsi="Arial" w:cs="Arial"/>
                <w:b/>
                <w:bCs/>
                <w:color w:val="FFFFFF"/>
                <w:sz w:val="20"/>
                <w:szCs w:val="20"/>
              </w:rPr>
            </w:pPr>
            <w:r w:rsidRPr="00886006">
              <w:rPr>
                <w:rFonts w:ascii="Arial" w:hAnsi="Arial" w:cs="Arial"/>
                <w:b/>
                <w:bCs/>
                <w:color w:val="FFFFFF"/>
                <w:sz w:val="20"/>
                <w:szCs w:val="20"/>
              </w:rPr>
              <w:t>#</w:t>
            </w:r>
          </w:p>
        </w:tc>
        <w:tc>
          <w:tcPr>
            <w:tcW w:w="3240" w:type="dxa"/>
            <w:shd w:val="clear" w:color="auto" w:fill="009ABF" w:themeFill="text1"/>
          </w:tcPr>
          <w:p w14:paraId="06ACF04E" w14:textId="627864B6" w:rsidR="007C7CF5" w:rsidRPr="00886006" w:rsidRDefault="007C7CF5" w:rsidP="007A3B77">
            <w:pPr>
              <w:rPr>
                <w:rFonts w:ascii="Arial" w:hAnsi="Arial" w:cs="Arial"/>
                <w:b/>
                <w:bCs/>
                <w:color w:val="FFFFFF"/>
                <w:sz w:val="20"/>
                <w:szCs w:val="20"/>
              </w:rPr>
            </w:pPr>
            <w:r w:rsidRPr="00886006">
              <w:rPr>
                <w:rFonts w:ascii="Arial" w:hAnsi="Arial" w:cs="Arial"/>
                <w:b/>
                <w:bCs/>
                <w:color w:val="FFFFFF"/>
                <w:sz w:val="20"/>
                <w:szCs w:val="20"/>
              </w:rPr>
              <w:t xml:space="preserve">Name </w:t>
            </w:r>
          </w:p>
        </w:tc>
        <w:tc>
          <w:tcPr>
            <w:tcW w:w="5485" w:type="dxa"/>
            <w:shd w:val="clear" w:color="auto" w:fill="009ABF" w:themeFill="text1"/>
          </w:tcPr>
          <w:p w14:paraId="338B9769" w14:textId="77777777" w:rsidR="007C7CF5" w:rsidRPr="00886006" w:rsidRDefault="007C7CF5" w:rsidP="007A3B77">
            <w:pPr>
              <w:rPr>
                <w:rFonts w:ascii="Arial" w:hAnsi="Arial" w:cs="Arial"/>
                <w:b/>
                <w:bCs/>
                <w:color w:val="FFFFFF"/>
                <w:sz w:val="20"/>
                <w:szCs w:val="20"/>
              </w:rPr>
            </w:pPr>
            <w:r w:rsidRPr="00886006">
              <w:rPr>
                <w:rFonts w:ascii="Arial" w:hAnsi="Arial" w:cs="Arial"/>
                <w:b/>
                <w:bCs/>
                <w:color w:val="FFFFFF"/>
                <w:sz w:val="20"/>
                <w:szCs w:val="20"/>
              </w:rPr>
              <w:t>Description</w:t>
            </w:r>
          </w:p>
        </w:tc>
      </w:tr>
      <w:tr w:rsidR="007C7CF5" w:rsidRPr="00B01F9E" w14:paraId="7DE90D38" w14:textId="77777777" w:rsidTr="007A3B77">
        <w:tc>
          <w:tcPr>
            <w:tcW w:w="630" w:type="dxa"/>
          </w:tcPr>
          <w:p w14:paraId="5EF73C32" w14:textId="14BAB9BC" w:rsidR="007C7CF5" w:rsidRPr="00B01F9E" w:rsidRDefault="007C7CF5" w:rsidP="007A3B77">
            <w:pPr>
              <w:rPr>
                <w:rFonts w:ascii="Arial" w:hAnsi="Arial" w:cs="Arial"/>
                <w:sz w:val="20"/>
                <w:szCs w:val="20"/>
              </w:rPr>
            </w:pPr>
            <w:r w:rsidRPr="00B01F9E">
              <w:rPr>
                <w:rFonts w:ascii="Arial" w:hAnsi="Arial" w:cs="Arial"/>
                <w:sz w:val="20"/>
                <w:szCs w:val="20"/>
              </w:rPr>
              <w:t>1</w:t>
            </w:r>
            <w:r w:rsidR="00C677F2" w:rsidRPr="00B01F9E">
              <w:rPr>
                <w:rFonts w:ascii="Arial" w:hAnsi="Arial" w:cs="Arial"/>
                <w:sz w:val="20"/>
                <w:szCs w:val="20"/>
              </w:rPr>
              <w:t>3</w:t>
            </w:r>
            <w:r w:rsidRPr="00B01F9E">
              <w:rPr>
                <w:rFonts w:ascii="Arial" w:hAnsi="Arial" w:cs="Arial"/>
                <w:sz w:val="20"/>
                <w:szCs w:val="20"/>
              </w:rPr>
              <w:t>.0</w:t>
            </w:r>
          </w:p>
        </w:tc>
        <w:tc>
          <w:tcPr>
            <w:tcW w:w="3240" w:type="dxa"/>
          </w:tcPr>
          <w:p w14:paraId="5FF005F0" w14:textId="5451BE1D" w:rsidR="007C7CF5" w:rsidRPr="00B01F9E" w:rsidRDefault="007C7CF5" w:rsidP="007A3B77">
            <w:pPr>
              <w:rPr>
                <w:rFonts w:ascii="Arial" w:hAnsi="Arial" w:cs="Arial"/>
                <w:sz w:val="20"/>
                <w:szCs w:val="20"/>
              </w:rPr>
            </w:pPr>
            <w:r w:rsidRPr="00B01F9E">
              <w:rPr>
                <w:rFonts w:ascii="Arial" w:hAnsi="Arial" w:cs="Arial"/>
                <w:sz w:val="20"/>
                <w:szCs w:val="20"/>
              </w:rPr>
              <w:t xml:space="preserve">ANF Use Cases Master List </w:t>
            </w:r>
          </w:p>
        </w:tc>
        <w:tc>
          <w:tcPr>
            <w:tcW w:w="5485" w:type="dxa"/>
          </w:tcPr>
          <w:p w14:paraId="1620A866" w14:textId="262FBBE4" w:rsidR="007C7CF5" w:rsidRPr="00B01F9E" w:rsidRDefault="007C7CF5" w:rsidP="007A3B77">
            <w:pPr>
              <w:rPr>
                <w:rFonts w:ascii="Arial" w:hAnsi="Arial" w:cs="Arial"/>
                <w:sz w:val="20"/>
                <w:szCs w:val="20"/>
              </w:rPr>
            </w:pPr>
            <w:r w:rsidRPr="00B01F9E">
              <w:rPr>
                <w:rFonts w:ascii="Arial" w:hAnsi="Arial" w:cs="Arial"/>
                <w:sz w:val="20"/>
                <w:szCs w:val="20"/>
              </w:rPr>
              <w:t xml:space="preserve">An Excel document containing the detailed use cases and illustrating the process of aligning them with ANF elements. </w:t>
            </w:r>
          </w:p>
        </w:tc>
      </w:tr>
      <w:tr w:rsidR="007C7CF5" w:rsidRPr="00B01F9E" w14:paraId="71F6A997" w14:textId="77777777" w:rsidTr="007A3B77">
        <w:tc>
          <w:tcPr>
            <w:tcW w:w="630" w:type="dxa"/>
          </w:tcPr>
          <w:p w14:paraId="2DE2DCE5" w14:textId="55B81FFB" w:rsidR="007C7CF5" w:rsidRPr="00B01F9E" w:rsidRDefault="007C7CF5" w:rsidP="007A3B77">
            <w:pPr>
              <w:rPr>
                <w:rFonts w:ascii="Arial" w:hAnsi="Arial" w:cs="Arial"/>
                <w:sz w:val="20"/>
                <w:szCs w:val="20"/>
              </w:rPr>
            </w:pPr>
            <w:r w:rsidRPr="00B01F9E">
              <w:rPr>
                <w:rFonts w:ascii="Arial" w:hAnsi="Arial" w:cs="Arial"/>
                <w:sz w:val="20"/>
                <w:szCs w:val="20"/>
              </w:rPr>
              <w:t>1</w:t>
            </w:r>
            <w:r w:rsidR="00C677F2" w:rsidRPr="00B01F9E">
              <w:rPr>
                <w:rFonts w:ascii="Arial" w:hAnsi="Arial" w:cs="Arial"/>
                <w:sz w:val="20"/>
                <w:szCs w:val="20"/>
              </w:rPr>
              <w:t>4</w:t>
            </w:r>
            <w:r w:rsidR="00463FF9" w:rsidRPr="00B01F9E">
              <w:rPr>
                <w:rFonts w:ascii="Arial" w:hAnsi="Arial" w:cs="Arial"/>
                <w:sz w:val="20"/>
                <w:szCs w:val="20"/>
              </w:rPr>
              <w:t>.0</w:t>
            </w:r>
          </w:p>
        </w:tc>
        <w:tc>
          <w:tcPr>
            <w:tcW w:w="3240" w:type="dxa"/>
          </w:tcPr>
          <w:p w14:paraId="70AD1813" w14:textId="378C7AB0" w:rsidR="007C7CF5" w:rsidRPr="00B01F9E" w:rsidRDefault="007C7CF5" w:rsidP="007A3B77">
            <w:pPr>
              <w:rPr>
                <w:rFonts w:ascii="Arial" w:hAnsi="Arial" w:cs="Arial"/>
                <w:sz w:val="20"/>
                <w:szCs w:val="20"/>
              </w:rPr>
            </w:pPr>
            <w:r w:rsidRPr="00B01F9E">
              <w:rPr>
                <w:rFonts w:ascii="Arial" w:hAnsi="Arial" w:cs="Arial"/>
                <w:sz w:val="20"/>
                <w:szCs w:val="20"/>
              </w:rPr>
              <w:t>ANF Use Case and Circumstance Figures (Figure</w:t>
            </w:r>
            <w:r w:rsidR="00666764" w:rsidRPr="00B01F9E">
              <w:rPr>
                <w:rFonts w:ascii="Arial" w:hAnsi="Arial" w:cs="Arial"/>
                <w:sz w:val="20"/>
                <w:szCs w:val="20"/>
              </w:rPr>
              <w:t>s</w:t>
            </w:r>
            <w:r w:rsidRPr="00B01F9E">
              <w:rPr>
                <w:rFonts w:ascii="Arial" w:hAnsi="Arial" w:cs="Arial"/>
                <w:sz w:val="20"/>
                <w:szCs w:val="20"/>
              </w:rPr>
              <w:t xml:space="preserve"> 2</w:t>
            </w:r>
            <w:r w:rsidR="001D1418" w:rsidRPr="00B01F9E">
              <w:rPr>
                <w:rFonts w:ascii="Arial" w:hAnsi="Arial" w:cs="Arial"/>
                <w:sz w:val="20"/>
                <w:szCs w:val="20"/>
              </w:rPr>
              <w:t>4</w:t>
            </w:r>
            <w:r w:rsidRPr="00B01F9E">
              <w:rPr>
                <w:rFonts w:ascii="Arial" w:hAnsi="Arial" w:cs="Arial"/>
                <w:sz w:val="20"/>
                <w:szCs w:val="20"/>
              </w:rPr>
              <w:t>, 2</w:t>
            </w:r>
            <w:r w:rsidR="001D1418" w:rsidRPr="00B01F9E">
              <w:rPr>
                <w:rFonts w:ascii="Arial" w:hAnsi="Arial" w:cs="Arial"/>
                <w:sz w:val="20"/>
                <w:szCs w:val="20"/>
              </w:rPr>
              <w:t>5</w:t>
            </w:r>
            <w:r w:rsidRPr="00B01F9E">
              <w:rPr>
                <w:rFonts w:ascii="Arial" w:hAnsi="Arial" w:cs="Arial"/>
                <w:sz w:val="20"/>
                <w:szCs w:val="20"/>
              </w:rPr>
              <w:t>, and 2</w:t>
            </w:r>
            <w:r w:rsidR="001D1418" w:rsidRPr="00B01F9E">
              <w:rPr>
                <w:rFonts w:ascii="Arial" w:hAnsi="Arial" w:cs="Arial"/>
                <w:sz w:val="20"/>
                <w:szCs w:val="20"/>
              </w:rPr>
              <w:t>6</w:t>
            </w:r>
            <w:r w:rsidRPr="00B01F9E">
              <w:rPr>
                <w:rFonts w:ascii="Arial" w:hAnsi="Arial" w:cs="Arial"/>
                <w:sz w:val="20"/>
                <w:szCs w:val="20"/>
              </w:rPr>
              <w:t>)</w:t>
            </w:r>
          </w:p>
        </w:tc>
        <w:tc>
          <w:tcPr>
            <w:tcW w:w="5485" w:type="dxa"/>
          </w:tcPr>
          <w:p w14:paraId="3B817F1F" w14:textId="5D629A7A" w:rsidR="007C7CF5" w:rsidRPr="00B01F9E" w:rsidRDefault="007C7CF5" w:rsidP="007A3B77">
            <w:pPr>
              <w:rPr>
                <w:rFonts w:ascii="Arial" w:hAnsi="Arial" w:cs="Arial"/>
                <w:sz w:val="20"/>
                <w:szCs w:val="20"/>
              </w:rPr>
            </w:pPr>
            <w:r w:rsidRPr="00B01F9E">
              <w:rPr>
                <w:rFonts w:ascii="Arial" w:hAnsi="Arial" w:cs="Arial"/>
                <w:sz w:val="20"/>
                <w:szCs w:val="20"/>
              </w:rPr>
              <w:t>Figures 2</w:t>
            </w:r>
            <w:r w:rsidR="001D1418" w:rsidRPr="00B01F9E">
              <w:rPr>
                <w:rFonts w:ascii="Arial" w:hAnsi="Arial" w:cs="Arial"/>
                <w:sz w:val="20"/>
                <w:szCs w:val="20"/>
              </w:rPr>
              <w:t>4</w:t>
            </w:r>
            <w:r w:rsidRPr="00B01F9E">
              <w:rPr>
                <w:rFonts w:ascii="Arial" w:hAnsi="Arial" w:cs="Arial"/>
                <w:sz w:val="20"/>
                <w:szCs w:val="20"/>
              </w:rPr>
              <w:t>, 2</w:t>
            </w:r>
            <w:r w:rsidR="001D1418" w:rsidRPr="00B01F9E">
              <w:rPr>
                <w:rFonts w:ascii="Arial" w:hAnsi="Arial" w:cs="Arial"/>
                <w:sz w:val="20"/>
                <w:szCs w:val="20"/>
              </w:rPr>
              <w:t>5</w:t>
            </w:r>
            <w:r w:rsidRPr="00B01F9E">
              <w:rPr>
                <w:rFonts w:ascii="Arial" w:hAnsi="Arial" w:cs="Arial"/>
                <w:sz w:val="20"/>
                <w:szCs w:val="20"/>
              </w:rPr>
              <w:t>, and 2</w:t>
            </w:r>
            <w:r w:rsidR="001D1418" w:rsidRPr="00B01F9E">
              <w:rPr>
                <w:rFonts w:ascii="Arial" w:hAnsi="Arial" w:cs="Arial"/>
                <w:sz w:val="20"/>
                <w:szCs w:val="20"/>
              </w:rPr>
              <w:t>6</w:t>
            </w:r>
            <w:r w:rsidRPr="00B01F9E">
              <w:rPr>
                <w:rFonts w:ascii="Arial" w:hAnsi="Arial" w:cs="Arial"/>
                <w:sz w:val="20"/>
                <w:szCs w:val="20"/>
              </w:rPr>
              <w:t xml:space="preserve"> are provided as individual PDFs for user convenience.</w:t>
            </w:r>
          </w:p>
        </w:tc>
      </w:tr>
      <w:tr w:rsidR="007C7CF5" w:rsidRPr="00B01F9E" w14:paraId="4519E40B" w14:textId="77777777" w:rsidTr="007A3B77">
        <w:tc>
          <w:tcPr>
            <w:tcW w:w="630" w:type="dxa"/>
          </w:tcPr>
          <w:p w14:paraId="599660A2" w14:textId="25532422" w:rsidR="007C7CF5" w:rsidRPr="00B01F9E" w:rsidRDefault="00463FF9" w:rsidP="007A3B77">
            <w:pPr>
              <w:rPr>
                <w:rFonts w:ascii="Arial" w:hAnsi="Arial" w:cs="Arial"/>
                <w:sz w:val="20"/>
                <w:szCs w:val="20"/>
              </w:rPr>
            </w:pPr>
            <w:r w:rsidRPr="00B01F9E">
              <w:rPr>
                <w:rFonts w:ascii="Arial" w:hAnsi="Arial" w:cs="Arial"/>
                <w:sz w:val="20"/>
                <w:szCs w:val="20"/>
              </w:rPr>
              <w:t>1</w:t>
            </w:r>
            <w:r w:rsidR="00C677F2" w:rsidRPr="00B01F9E">
              <w:rPr>
                <w:rFonts w:ascii="Arial" w:hAnsi="Arial" w:cs="Arial"/>
                <w:sz w:val="20"/>
                <w:szCs w:val="20"/>
              </w:rPr>
              <w:t>5</w:t>
            </w:r>
            <w:r w:rsidRPr="00B01F9E">
              <w:rPr>
                <w:rFonts w:ascii="Arial" w:hAnsi="Arial" w:cs="Arial"/>
                <w:sz w:val="20"/>
                <w:szCs w:val="20"/>
              </w:rPr>
              <w:t>.0</w:t>
            </w:r>
          </w:p>
        </w:tc>
        <w:tc>
          <w:tcPr>
            <w:tcW w:w="3240" w:type="dxa"/>
          </w:tcPr>
          <w:p w14:paraId="7B9C8773" w14:textId="4F49B44A" w:rsidR="007C7CF5" w:rsidRPr="00B01F9E" w:rsidRDefault="007C7CF5" w:rsidP="007A3B77">
            <w:pPr>
              <w:rPr>
                <w:rFonts w:ascii="Arial" w:hAnsi="Arial" w:cs="Arial"/>
                <w:sz w:val="20"/>
                <w:szCs w:val="20"/>
              </w:rPr>
            </w:pPr>
            <w:r w:rsidRPr="00B01F9E">
              <w:rPr>
                <w:rFonts w:ascii="Arial" w:hAnsi="Arial" w:cs="Arial"/>
                <w:sz w:val="20"/>
                <w:szCs w:val="20"/>
              </w:rPr>
              <w:t xml:space="preserve">ANF UML Model </w:t>
            </w:r>
          </w:p>
        </w:tc>
        <w:tc>
          <w:tcPr>
            <w:tcW w:w="5485" w:type="dxa"/>
          </w:tcPr>
          <w:p w14:paraId="3F053047" w14:textId="435CC360" w:rsidR="007C7CF5" w:rsidRPr="00B01F9E" w:rsidRDefault="007C7CF5" w:rsidP="007A3B77">
            <w:pPr>
              <w:rPr>
                <w:rFonts w:ascii="Arial" w:hAnsi="Arial" w:cs="Arial"/>
                <w:sz w:val="20"/>
                <w:szCs w:val="20"/>
              </w:rPr>
            </w:pPr>
            <w:r w:rsidRPr="00B01F9E">
              <w:rPr>
                <w:rFonts w:ascii="Arial" w:hAnsi="Arial" w:cs="Arial"/>
                <w:sz w:val="20"/>
                <w:szCs w:val="20"/>
              </w:rPr>
              <w:t>Figure 2</w:t>
            </w:r>
            <w:r w:rsidR="001D1418" w:rsidRPr="00B01F9E">
              <w:rPr>
                <w:rFonts w:ascii="Arial" w:hAnsi="Arial" w:cs="Arial"/>
                <w:sz w:val="20"/>
                <w:szCs w:val="20"/>
              </w:rPr>
              <w:t>7</w:t>
            </w:r>
            <w:r w:rsidRPr="00B01F9E">
              <w:rPr>
                <w:rFonts w:ascii="Arial" w:hAnsi="Arial" w:cs="Arial"/>
                <w:sz w:val="20"/>
                <w:szCs w:val="20"/>
              </w:rPr>
              <w:t xml:space="preserve"> is provided as an individual PDF for convenience.</w:t>
            </w:r>
          </w:p>
        </w:tc>
      </w:tr>
      <w:tr w:rsidR="007C7CF5" w:rsidRPr="00B01F9E" w14:paraId="0C4952E3" w14:textId="77777777" w:rsidTr="007A3B77">
        <w:tc>
          <w:tcPr>
            <w:tcW w:w="630" w:type="dxa"/>
          </w:tcPr>
          <w:p w14:paraId="29ABAC7B" w14:textId="13631F1A" w:rsidR="007C7CF5" w:rsidRPr="00B01F9E" w:rsidRDefault="00463FF9" w:rsidP="007A3B77">
            <w:pPr>
              <w:rPr>
                <w:rFonts w:ascii="Arial" w:hAnsi="Arial" w:cs="Arial"/>
                <w:sz w:val="20"/>
                <w:szCs w:val="20"/>
              </w:rPr>
            </w:pPr>
            <w:r w:rsidRPr="00B01F9E">
              <w:rPr>
                <w:rFonts w:ascii="Arial" w:hAnsi="Arial" w:cs="Arial"/>
                <w:sz w:val="20"/>
                <w:szCs w:val="20"/>
              </w:rPr>
              <w:t>1</w:t>
            </w:r>
            <w:r w:rsidR="00B60576" w:rsidRPr="00B01F9E">
              <w:rPr>
                <w:rFonts w:ascii="Arial" w:hAnsi="Arial" w:cs="Arial"/>
                <w:sz w:val="20"/>
                <w:szCs w:val="20"/>
              </w:rPr>
              <w:t>6</w:t>
            </w:r>
            <w:r w:rsidRPr="00B01F9E">
              <w:rPr>
                <w:rFonts w:ascii="Arial" w:hAnsi="Arial" w:cs="Arial"/>
                <w:sz w:val="20"/>
                <w:szCs w:val="20"/>
              </w:rPr>
              <w:t>.0</w:t>
            </w:r>
          </w:p>
        </w:tc>
        <w:tc>
          <w:tcPr>
            <w:tcW w:w="3240" w:type="dxa"/>
          </w:tcPr>
          <w:p w14:paraId="3952B7F9" w14:textId="152E3B75" w:rsidR="007C7CF5" w:rsidRPr="00B01F9E" w:rsidRDefault="007C7CF5" w:rsidP="007A3B77">
            <w:pPr>
              <w:rPr>
                <w:rFonts w:ascii="Arial" w:hAnsi="Arial" w:cs="Arial"/>
                <w:sz w:val="20"/>
                <w:szCs w:val="20"/>
              </w:rPr>
            </w:pPr>
            <w:r w:rsidRPr="00B01F9E">
              <w:rPr>
                <w:rFonts w:ascii="Arial" w:hAnsi="Arial" w:cs="Arial"/>
                <w:sz w:val="20"/>
                <w:szCs w:val="20"/>
              </w:rPr>
              <w:t xml:space="preserve">Clinical Narratives </w:t>
            </w:r>
          </w:p>
        </w:tc>
        <w:tc>
          <w:tcPr>
            <w:tcW w:w="5485" w:type="dxa"/>
          </w:tcPr>
          <w:p w14:paraId="3568B089" w14:textId="331DF7FE" w:rsidR="003669E2" w:rsidRPr="00B01F9E" w:rsidRDefault="007C7CF5" w:rsidP="007A3B77">
            <w:pPr>
              <w:rPr>
                <w:rFonts w:ascii="Arial" w:hAnsi="Arial" w:cs="Arial"/>
                <w:sz w:val="20"/>
                <w:szCs w:val="20"/>
              </w:rPr>
            </w:pPr>
            <w:r w:rsidRPr="00B01F9E">
              <w:rPr>
                <w:rFonts w:ascii="Arial" w:hAnsi="Arial" w:cs="Arial"/>
                <w:sz w:val="20"/>
                <w:szCs w:val="20"/>
              </w:rPr>
              <w:t>The clinical narratives described in Table 13 are included as individual Word documents for convenience.</w:t>
            </w:r>
          </w:p>
        </w:tc>
      </w:tr>
    </w:tbl>
    <w:p w14:paraId="278644EA" w14:textId="77777777" w:rsidR="00BE436A" w:rsidRPr="00B01F9E" w:rsidRDefault="00BE436A" w:rsidP="00B60576">
      <w:pPr>
        <w:rPr>
          <w:rFonts w:ascii="Arial" w:hAnsi="Arial" w:cs="Arial"/>
          <w:sz w:val="20"/>
          <w:szCs w:val="20"/>
        </w:rPr>
      </w:pPr>
    </w:p>
    <w:sectPr w:rsidR="00BE436A" w:rsidRPr="00B01F9E" w:rsidSect="00322C54">
      <w:headerReference w:type="default" r:id="rId136"/>
      <w:pgSz w:w="12240" w:h="15840"/>
      <w:pgMar w:top="1440" w:right="1440" w:bottom="1440" w:left="144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26ECC7" w14:textId="77777777" w:rsidR="004C0B9B" w:rsidRDefault="004C0B9B" w:rsidP="004043EB">
      <w:pPr>
        <w:spacing w:after="0" w:line="240" w:lineRule="auto"/>
      </w:pPr>
      <w:r>
        <w:separator/>
      </w:r>
    </w:p>
  </w:endnote>
  <w:endnote w:type="continuationSeparator" w:id="0">
    <w:p w14:paraId="008421EF" w14:textId="77777777" w:rsidR="004C0B9B" w:rsidRDefault="004C0B9B" w:rsidP="004043EB">
      <w:pPr>
        <w:spacing w:after="0" w:line="240" w:lineRule="auto"/>
      </w:pPr>
      <w:r>
        <w:continuationSeparator/>
      </w:r>
    </w:p>
  </w:endnote>
  <w:endnote w:type="continuationNotice" w:id="1">
    <w:p w14:paraId="43934B53" w14:textId="77777777" w:rsidR="004C0B9B" w:rsidRDefault="004C0B9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eiryo">
    <w:altName w:val="メイリオ"/>
    <w:charset w:val="80"/>
    <w:family w:val="swiss"/>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385B3" w14:textId="6F27D256" w:rsidR="00B57D56" w:rsidRPr="00B57D56" w:rsidRDefault="00D002A6" w:rsidP="00B57D56">
    <w:pPr>
      <w:pBdr>
        <w:top w:val="single" w:sz="4" w:space="4" w:color="808080"/>
      </w:pBdr>
      <w:tabs>
        <w:tab w:val="center" w:pos="4680"/>
        <w:tab w:val="right" w:pos="9360"/>
        <w:tab w:val="right" w:pos="12870"/>
      </w:tabs>
      <w:spacing w:after="0" w:line="240" w:lineRule="auto"/>
      <w:rPr>
        <w:rFonts w:ascii="Calibri" w:eastAsia="Times New Roman" w:hAnsi="Calibri" w:cs="Times New Roman"/>
        <w:i/>
        <w:iCs/>
        <w:color w:val="404040"/>
        <w:sz w:val="16"/>
        <w:szCs w:val="20"/>
      </w:rPr>
    </w:pPr>
    <w:r>
      <w:rPr>
        <w:rStyle w:val="normaltextrun"/>
        <w:rFonts w:ascii="Arial" w:hAnsi="Arial" w:cs="Arial"/>
        <w:b/>
        <w:bCs/>
        <w:color w:val="808080"/>
        <w:sz w:val="16"/>
        <w:szCs w:val="16"/>
        <w:shd w:val="clear" w:color="auto" w:fill="FFFFFF"/>
      </w:rPr>
      <w:t>© 2024 College of American Pathologists. This work is licensed under a Creative Commons Attribution 4.0 International License. https://creativecommons.org/licenses/by/4.0/</w:t>
    </w:r>
    <w:r>
      <w:rPr>
        <w:rStyle w:val="tabchar"/>
        <w:rFonts w:ascii="Calibri" w:hAnsi="Calibri" w:cs="Calibri"/>
        <w:color w:val="808080"/>
        <w:sz w:val="16"/>
        <w:szCs w:val="16"/>
        <w:shd w:val="clear" w:color="auto" w:fill="FFFFFF"/>
      </w:rPr>
      <w:tab/>
    </w:r>
    <w:r w:rsidR="00B57D56" w:rsidRPr="00B57D56">
      <w:rPr>
        <w:rFonts w:ascii="Calibri" w:eastAsia="Times New Roman" w:hAnsi="Calibri" w:cs="Times New Roman"/>
        <w:i/>
        <w:iCs/>
        <w:color w:val="404040"/>
        <w:sz w:val="16"/>
        <w:szCs w:val="20"/>
      </w:rPr>
      <w:tab/>
      <w:t xml:space="preserve"> </w:t>
    </w:r>
  </w:p>
  <w:p w14:paraId="766D16BD" w14:textId="77777777" w:rsidR="00B57D56" w:rsidRPr="00B57D56" w:rsidRDefault="00B57D56" w:rsidP="00B57D56">
    <w:pPr>
      <w:tabs>
        <w:tab w:val="center" w:pos="4680"/>
        <w:tab w:val="center" w:pos="5040"/>
        <w:tab w:val="right" w:pos="9360"/>
        <w:tab w:val="right" w:pos="10080"/>
      </w:tabs>
      <w:spacing w:after="0" w:line="240" w:lineRule="auto"/>
      <w:jc w:val="right"/>
      <w:rPr>
        <w:rFonts w:ascii="Calibri" w:eastAsia="Times New Roman" w:hAnsi="Calibri" w:cs="Times New Roman"/>
        <w:color w:val="BFBFBF"/>
        <w:sz w:val="16"/>
        <w:szCs w:val="20"/>
      </w:rPr>
    </w:pPr>
    <w:r w:rsidRPr="00B57D56">
      <w:rPr>
        <w:rFonts w:ascii="Calibri" w:eastAsia="Times New Roman" w:hAnsi="Calibri" w:cs="Times New Roman"/>
        <w:color w:val="BFBFBF"/>
        <w:sz w:val="16"/>
        <w:szCs w:val="20"/>
      </w:rPr>
      <w:tab/>
      <w:t xml:space="preserve">Page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PAGE </w:instrText>
    </w:r>
    <w:r w:rsidRPr="00B57D56">
      <w:rPr>
        <w:rFonts w:ascii="Calibri" w:eastAsia="Times New Roman" w:hAnsi="Calibri" w:cs="Times New Roman"/>
        <w:color w:val="BFBFBF"/>
        <w:sz w:val="16"/>
        <w:szCs w:val="20"/>
      </w:rPr>
      <w:fldChar w:fldCharType="separate"/>
    </w:r>
    <w:r w:rsidR="0019233F">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r w:rsidRPr="00B57D56">
      <w:rPr>
        <w:rFonts w:ascii="Calibri" w:eastAsia="Times New Roman" w:hAnsi="Calibri" w:cs="Times New Roman"/>
        <w:color w:val="BFBFBF"/>
        <w:sz w:val="16"/>
        <w:szCs w:val="20"/>
      </w:rPr>
      <w:t xml:space="preserve"> of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NUMPAGES </w:instrText>
    </w:r>
    <w:r w:rsidRPr="00B57D56">
      <w:rPr>
        <w:rFonts w:ascii="Calibri" w:eastAsia="Times New Roman" w:hAnsi="Calibri" w:cs="Times New Roman"/>
        <w:color w:val="BFBFBF"/>
        <w:sz w:val="16"/>
        <w:szCs w:val="20"/>
      </w:rPr>
      <w:fldChar w:fldCharType="separate"/>
    </w:r>
    <w:r w:rsidR="0019233F">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p>
  <w:p w14:paraId="520E5462" w14:textId="77777777" w:rsidR="00B57D56" w:rsidRPr="00B57D56" w:rsidRDefault="00B57D56" w:rsidP="00B57D56">
    <w:pPr>
      <w:tabs>
        <w:tab w:val="center" w:pos="4680"/>
        <w:tab w:val="right" w:pos="9360"/>
      </w:tabs>
      <w:spacing w:after="0" w:line="240" w:lineRule="auto"/>
      <w:rPr>
        <w:rFonts w:ascii="Calibri" w:eastAsia="Times New Roman" w:hAnsi="Calibri" w:cs="Times New Roman"/>
        <w:sz w:val="20"/>
        <w:szCs w:val="20"/>
      </w:rPr>
    </w:pPr>
  </w:p>
  <w:p w14:paraId="0AC81A08" w14:textId="77777777" w:rsidR="00B57D56" w:rsidRPr="00B57D56" w:rsidRDefault="00B57D56" w:rsidP="00B57D56">
    <w:pPr>
      <w:tabs>
        <w:tab w:val="center" w:pos="4680"/>
        <w:tab w:val="right" w:pos="9360"/>
      </w:tabs>
      <w:spacing w:after="0" w:line="240" w:lineRule="auto"/>
      <w:rPr>
        <w:rFonts w:ascii="Calibri" w:eastAsia="Times New Roman" w:hAnsi="Calibri" w:cs="Times New Roman"/>
        <w:sz w:val="20"/>
        <w:szCs w:val="20"/>
      </w:rPr>
    </w:pPr>
  </w:p>
  <w:p w14:paraId="399B63FF" w14:textId="77777777" w:rsidR="00B57D56" w:rsidRDefault="00B57D56">
    <w:pPr>
      <w:pStyle w:val="Footer"/>
    </w:pPr>
  </w:p>
  <w:p w14:paraId="6A9E7191" w14:textId="77777777" w:rsidR="00817C40" w:rsidRDefault="00817C4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1210A" w14:textId="77777777" w:rsidR="00397D75" w:rsidRPr="00B57D56" w:rsidRDefault="00397D75" w:rsidP="00B57D56">
    <w:pPr>
      <w:pBdr>
        <w:top w:val="single" w:sz="4" w:space="4" w:color="808080"/>
      </w:pBdr>
      <w:tabs>
        <w:tab w:val="center" w:pos="4680"/>
        <w:tab w:val="right" w:pos="9360"/>
        <w:tab w:val="right" w:pos="12870"/>
      </w:tabs>
      <w:spacing w:after="0" w:line="240" w:lineRule="auto"/>
      <w:rPr>
        <w:rFonts w:ascii="Calibri" w:eastAsia="Times New Roman" w:hAnsi="Calibri" w:cs="Times New Roman"/>
        <w:i/>
        <w:iCs/>
        <w:color w:val="404040"/>
        <w:sz w:val="16"/>
        <w:szCs w:val="20"/>
      </w:rPr>
    </w:pPr>
    <w:r>
      <w:rPr>
        <w:rStyle w:val="normaltextrun"/>
        <w:rFonts w:ascii="Arial" w:hAnsi="Arial" w:cs="Arial"/>
        <w:b/>
        <w:bCs/>
        <w:color w:val="808080"/>
        <w:sz w:val="16"/>
        <w:szCs w:val="16"/>
        <w:shd w:val="clear" w:color="auto" w:fill="FFFFFF"/>
      </w:rPr>
      <w:t>© 2024 College of American Pathologists. This work is licensed under a Creative Commons Attribution 4.0 International License. https://creativecommons.org/licenses/by/4.0/</w:t>
    </w:r>
    <w:r>
      <w:rPr>
        <w:rStyle w:val="tabchar"/>
        <w:rFonts w:ascii="Calibri" w:hAnsi="Calibri" w:cs="Calibri"/>
        <w:color w:val="808080"/>
        <w:sz w:val="16"/>
        <w:szCs w:val="16"/>
        <w:shd w:val="clear" w:color="auto" w:fill="FFFFFF"/>
      </w:rPr>
      <w:tab/>
    </w:r>
    <w:r w:rsidRPr="00B57D56">
      <w:rPr>
        <w:rFonts w:ascii="Calibri" w:eastAsia="Times New Roman" w:hAnsi="Calibri" w:cs="Times New Roman"/>
        <w:i/>
        <w:iCs/>
        <w:color w:val="404040"/>
        <w:sz w:val="16"/>
        <w:szCs w:val="20"/>
      </w:rPr>
      <w:tab/>
      <w:t xml:space="preserve"> </w:t>
    </w:r>
  </w:p>
  <w:p w14:paraId="53BD4D08" w14:textId="77777777" w:rsidR="00397D75" w:rsidRPr="00B57D56" w:rsidRDefault="00397D75" w:rsidP="00B57D56">
    <w:pPr>
      <w:tabs>
        <w:tab w:val="center" w:pos="4680"/>
        <w:tab w:val="center" w:pos="5040"/>
        <w:tab w:val="right" w:pos="9360"/>
        <w:tab w:val="right" w:pos="10080"/>
      </w:tabs>
      <w:spacing w:after="0" w:line="240" w:lineRule="auto"/>
      <w:jc w:val="right"/>
      <w:rPr>
        <w:rFonts w:ascii="Calibri" w:eastAsia="Times New Roman" w:hAnsi="Calibri" w:cs="Times New Roman"/>
        <w:color w:val="BFBFBF"/>
        <w:sz w:val="16"/>
        <w:szCs w:val="20"/>
      </w:rPr>
    </w:pPr>
    <w:r w:rsidRPr="00B57D56">
      <w:rPr>
        <w:rFonts w:ascii="Calibri" w:eastAsia="Times New Roman" w:hAnsi="Calibri" w:cs="Times New Roman"/>
        <w:color w:val="BFBFBF"/>
        <w:sz w:val="16"/>
        <w:szCs w:val="20"/>
      </w:rPr>
      <w:tab/>
      <w:t xml:space="preserve">Page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PAGE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r w:rsidRPr="00B57D56">
      <w:rPr>
        <w:rFonts w:ascii="Calibri" w:eastAsia="Times New Roman" w:hAnsi="Calibri" w:cs="Times New Roman"/>
        <w:color w:val="BFBFBF"/>
        <w:sz w:val="16"/>
        <w:szCs w:val="20"/>
      </w:rPr>
      <w:t xml:space="preserve"> of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NUMPAGES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p>
  <w:p w14:paraId="204101ED" w14:textId="77777777" w:rsidR="00397D75" w:rsidRPr="00B57D56" w:rsidRDefault="00397D75" w:rsidP="00B57D56">
    <w:pPr>
      <w:tabs>
        <w:tab w:val="center" w:pos="4680"/>
        <w:tab w:val="right" w:pos="9360"/>
      </w:tabs>
      <w:spacing w:after="0" w:line="240" w:lineRule="auto"/>
      <w:rPr>
        <w:rFonts w:ascii="Calibri" w:eastAsia="Times New Roman" w:hAnsi="Calibri" w:cs="Times New Roman"/>
        <w:sz w:val="20"/>
        <w:szCs w:val="20"/>
      </w:rPr>
    </w:pPr>
  </w:p>
  <w:p w14:paraId="78F3A8A7" w14:textId="77777777" w:rsidR="00397D75" w:rsidRPr="00B57D56" w:rsidRDefault="00397D75" w:rsidP="00B57D56">
    <w:pPr>
      <w:tabs>
        <w:tab w:val="center" w:pos="4680"/>
        <w:tab w:val="right" w:pos="9360"/>
      </w:tabs>
      <w:spacing w:after="0" w:line="240" w:lineRule="auto"/>
      <w:rPr>
        <w:rFonts w:ascii="Calibri" w:eastAsia="Times New Roman" w:hAnsi="Calibri" w:cs="Times New Roman"/>
        <w:sz w:val="20"/>
        <w:szCs w:val="20"/>
      </w:rPr>
    </w:pPr>
  </w:p>
  <w:p w14:paraId="3699FA6A" w14:textId="77777777" w:rsidR="00397D75" w:rsidRDefault="00397D75">
    <w:pPr>
      <w:pStyle w:val="Footer"/>
    </w:pPr>
  </w:p>
  <w:p w14:paraId="4C289624" w14:textId="77777777" w:rsidR="00397D75" w:rsidRDefault="00397D75"/>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5BD5F" w14:textId="77777777" w:rsidR="00397D75" w:rsidRPr="00B57D56" w:rsidRDefault="00397D75" w:rsidP="00B57D56">
    <w:pPr>
      <w:pBdr>
        <w:top w:val="single" w:sz="4" w:space="4" w:color="808080"/>
      </w:pBdr>
      <w:tabs>
        <w:tab w:val="center" w:pos="4680"/>
        <w:tab w:val="right" w:pos="9360"/>
        <w:tab w:val="right" w:pos="12870"/>
      </w:tabs>
      <w:spacing w:after="0" w:line="240" w:lineRule="auto"/>
      <w:rPr>
        <w:rFonts w:ascii="Calibri" w:eastAsia="Times New Roman" w:hAnsi="Calibri" w:cs="Times New Roman"/>
        <w:i/>
        <w:iCs/>
        <w:color w:val="404040"/>
        <w:sz w:val="16"/>
        <w:szCs w:val="20"/>
      </w:rPr>
    </w:pPr>
    <w:r>
      <w:rPr>
        <w:rStyle w:val="normaltextrun"/>
        <w:rFonts w:ascii="Arial" w:hAnsi="Arial" w:cs="Arial"/>
        <w:b/>
        <w:bCs/>
        <w:color w:val="808080"/>
        <w:sz w:val="16"/>
        <w:szCs w:val="16"/>
        <w:shd w:val="clear" w:color="auto" w:fill="FFFFFF"/>
      </w:rPr>
      <w:t>© 2024 College of American Pathologists. This work is licensed under a Creative Commons Attribution 4.0 International License. https://creativecommons.org/licenses/by/4.0/</w:t>
    </w:r>
    <w:r>
      <w:rPr>
        <w:rStyle w:val="tabchar"/>
        <w:rFonts w:ascii="Calibri" w:hAnsi="Calibri" w:cs="Calibri"/>
        <w:color w:val="808080"/>
        <w:sz w:val="16"/>
        <w:szCs w:val="16"/>
        <w:shd w:val="clear" w:color="auto" w:fill="FFFFFF"/>
      </w:rPr>
      <w:tab/>
    </w:r>
    <w:r w:rsidRPr="00B57D56">
      <w:rPr>
        <w:rFonts w:ascii="Calibri" w:eastAsia="Times New Roman" w:hAnsi="Calibri" w:cs="Times New Roman"/>
        <w:i/>
        <w:iCs/>
        <w:color w:val="404040"/>
        <w:sz w:val="16"/>
        <w:szCs w:val="20"/>
      </w:rPr>
      <w:tab/>
      <w:t xml:space="preserve"> </w:t>
    </w:r>
  </w:p>
  <w:p w14:paraId="354EBF94" w14:textId="77777777" w:rsidR="00397D75" w:rsidRPr="00B57D56" w:rsidRDefault="00397D75" w:rsidP="00B57D56">
    <w:pPr>
      <w:tabs>
        <w:tab w:val="center" w:pos="4680"/>
        <w:tab w:val="center" w:pos="5040"/>
        <w:tab w:val="right" w:pos="9360"/>
        <w:tab w:val="right" w:pos="10080"/>
      </w:tabs>
      <w:spacing w:after="0" w:line="240" w:lineRule="auto"/>
      <w:jc w:val="right"/>
      <w:rPr>
        <w:rFonts w:ascii="Calibri" w:eastAsia="Times New Roman" w:hAnsi="Calibri" w:cs="Times New Roman"/>
        <w:color w:val="BFBFBF"/>
        <w:sz w:val="16"/>
        <w:szCs w:val="20"/>
      </w:rPr>
    </w:pPr>
    <w:r w:rsidRPr="00B57D56">
      <w:rPr>
        <w:rFonts w:ascii="Calibri" w:eastAsia="Times New Roman" w:hAnsi="Calibri" w:cs="Times New Roman"/>
        <w:color w:val="BFBFBF"/>
        <w:sz w:val="16"/>
        <w:szCs w:val="20"/>
      </w:rPr>
      <w:tab/>
      <w:t xml:space="preserve">Page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PAGE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r w:rsidRPr="00B57D56">
      <w:rPr>
        <w:rFonts w:ascii="Calibri" w:eastAsia="Times New Roman" w:hAnsi="Calibri" w:cs="Times New Roman"/>
        <w:color w:val="BFBFBF"/>
        <w:sz w:val="16"/>
        <w:szCs w:val="20"/>
      </w:rPr>
      <w:t xml:space="preserve"> of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NUMPAGES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p>
  <w:p w14:paraId="291850FB" w14:textId="1F793CEA" w:rsidR="00397D75" w:rsidRPr="00B57D56" w:rsidRDefault="00147AB4" w:rsidP="00147AB4">
    <w:pPr>
      <w:tabs>
        <w:tab w:val="left" w:pos="5040"/>
      </w:tabs>
      <w:spacing w:after="0" w:line="240" w:lineRule="auto"/>
      <w:rPr>
        <w:rFonts w:ascii="Calibri" w:eastAsia="Times New Roman" w:hAnsi="Calibri" w:cs="Times New Roman"/>
        <w:sz w:val="20"/>
        <w:szCs w:val="20"/>
      </w:rPr>
    </w:pPr>
    <w:r>
      <w:rPr>
        <w:rFonts w:ascii="Calibri" w:eastAsia="Times New Roman" w:hAnsi="Calibri" w:cs="Times New Roman"/>
        <w:sz w:val="20"/>
        <w:szCs w:val="20"/>
      </w:rPr>
      <w:tab/>
    </w:r>
  </w:p>
  <w:p w14:paraId="24E77A36" w14:textId="77777777" w:rsidR="00397D75" w:rsidRPr="00B57D56" w:rsidRDefault="00397D75" w:rsidP="00B57D56">
    <w:pPr>
      <w:tabs>
        <w:tab w:val="center" w:pos="4680"/>
        <w:tab w:val="right" w:pos="9360"/>
      </w:tabs>
      <w:spacing w:after="0" w:line="240" w:lineRule="auto"/>
      <w:rPr>
        <w:rFonts w:ascii="Calibri" w:eastAsia="Times New Roman" w:hAnsi="Calibri" w:cs="Times New Roman"/>
        <w:sz w:val="20"/>
        <w:szCs w:val="20"/>
      </w:rPr>
    </w:pPr>
  </w:p>
  <w:p w14:paraId="5F4838F7" w14:textId="77777777" w:rsidR="00397D75" w:rsidRDefault="00397D75">
    <w:pPr>
      <w:pStyle w:val="Footer"/>
    </w:pPr>
  </w:p>
  <w:p w14:paraId="70BE4347" w14:textId="77777777" w:rsidR="00397D75" w:rsidRDefault="00397D75"/>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CF9C33" w14:textId="77777777" w:rsidR="00147AB4" w:rsidRPr="00B57D56" w:rsidRDefault="00147AB4" w:rsidP="00B57D56">
    <w:pPr>
      <w:pBdr>
        <w:top w:val="single" w:sz="4" w:space="4" w:color="808080"/>
      </w:pBdr>
      <w:tabs>
        <w:tab w:val="center" w:pos="4680"/>
        <w:tab w:val="right" w:pos="9360"/>
        <w:tab w:val="right" w:pos="12870"/>
      </w:tabs>
      <w:spacing w:after="0" w:line="240" w:lineRule="auto"/>
      <w:rPr>
        <w:rFonts w:ascii="Calibri" w:eastAsia="Times New Roman" w:hAnsi="Calibri" w:cs="Times New Roman"/>
        <w:i/>
        <w:iCs/>
        <w:color w:val="404040"/>
        <w:sz w:val="16"/>
        <w:szCs w:val="20"/>
      </w:rPr>
    </w:pPr>
    <w:r>
      <w:rPr>
        <w:rStyle w:val="normaltextrun"/>
        <w:rFonts w:ascii="Arial" w:hAnsi="Arial" w:cs="Arial"/>
        <w:b/>
        <w:bCs/>
        <w:color w:val="808080"/>
        <w:sz w:val="16"/>
        <w:szCs w:val="16"/>
        <w:shd w:val="clear" w:color="auto" w:fill="FFFFFF"/>
      </w:rPr>
      <w:t>© 2024 College of American Pathologists. This work is licensed under a Creative Commons Attribution 4.0 International License. https://creativecommons.org/licenses/by/4.0/</w:t>
    </w:r>
    <w:r>
      <w:rPr>
        <w:rStyle w:val="tabchar"/>
        <w:rFonts w:ascii="Calibri" w:hAnsi="Calibri" w:cs="Calibri"/>
        <w:color w:val="808080"/>
        <w:sz w:val="16"/>
        <w:szCs w:val="16"/>
        <w:shd w:val="clear" w:color="auto" w:fill="FFFFFF"/>
      </w:rPr>
      <w:tab/>
    </w:r>
    <w:r w:rsidRPr="00B57D56">
      <w:rPr>
        <w:rFonts w:ascii="Calibri" w:eastAsia="Times New Roman" w:hAnsi="Calibri" w:cs="Times New Roman"/>
        <w:i/>
        <w:iCs/>
        <w:color w:val="404040"/>
        <w:sz w:val="16"/>
        <w:szCs w:val="20"/>
      </w:rPr>
      <w:tab/>
      <w:t xml:space="preserve"> </w:t>
    </w:r>
  </w:p>
  <w:p w14:paraId="61A81EAD" w14:textId="77777777" w:rsidR="00147AB4" w:rsidRPr="00B57D56" w:rsidRDefault="00147AB4" w:rsidP="00B57D56">
    <w:pPr>
      <w:tabs>
        <w:tab w:val="center" w:pos="4680"/>
        <w:tab w:val="center" w:pos="5040"/>
        <w:tab w:val="right" w:pos="9360"/>
        <w:tab w:val="right" w:pos="10080"/>
      </w:tabs>
      <w:spacing w:after="0" w:line="240" w:lineRule="auto"/>
      <w:jc w:val="right"/>
      <w:rPr>
        <w:rFonts w:ascii="Calibri" w:eastAsia="Times New Roman" w:hAnsi="Calibri" w:cs="Times New Roman"/>
        <w:color w:val="BFBFBF"/>
        <w:sz w:val="16"/>
        <w:szCs w:val="20"/>
      </w:rPr>
    </w:pPr>
    <w:r w:rsidRPr="00B57D56">
      <w:rPr>
        <w:rFonts w:ascii="Calibri" w:eastAsia="Times New Roman" w:hAnsi="Calibri" w:cs="Times New Roman"/>
        <w:color w:val="BFBFBF"/>
        <w:sz w:val="16"/>
        <w:szCs w:val="20"/>
      </w:rPr>
      <w:tab/>
      <w:t xml:space="preserve">Page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PAGE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r w:rsidRPr="00B57D56">
      <w:rPr>
        <w:rFonts w:ascii="Calibri" w:eastAsia="Times New Roman" w:hAnsi="Calibri" w:cs="Times New Roman"/>
        <w:color w:val="BFBFBF"/>
        <w:sz w:val="16"/>
        <w:szCs w:val="20"/>
      </w:rPr>
      <w:t xml:space="preserve"> of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NUMPAGES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p>
  <w:p w14:paraId="09ADBE00" w14:textId="77777777" w:rsidR="00147AB4" w:rsidRPr="00B57D56" w:rsidRDefault="00147AB4" w:rsidP="00147AB4">
    <w:pPr>
      <w:tabs>
        <w:tab w:val="left" w:pos="5040"/>
      </w:tabs>
      <w:spacing w:after="0" w:line="240" w:lineRule="auto"/>
      <w:rPr>
        <w:rFonts w:ascii="Calibri" w:eastAsia="Times New Roman" w:hAnsi="Calibri" w:cs="Times New Roman"/>
        <w:sz w:val="20"/>
        <w:szCs w:val="20"/>
      </w:rPr>
    </w:pPr>
    <w:r>
      <w:rPr>
        <w:rFonts w:ascii="Calibri" w:eastAsia="Times New Roman" w:hAnsi="Calibri" w:cs="Times New Roman"/>
        <w:sz w:val="20"/>
        <w:szCs w:val="20"/>
      </w:rPr>
      <w:tab/>
    </w:r>
  </w:p>
  <w:p w14:paraId="695EAFBC" w14:textId="77777777" w:rsidR="00147AB4" w:rsidRPr="00B57D56" w:rsidRDefault="00147AB4" w:rsidP="00B57D56">
    <w:pPr>
      <w:tabs>
        <w:tab w:val="center" w:pos="4680"/>
        <w:tab w:val="right" w:pos="9360"/>
      </w:tabs>
      <w:spacing w:after="0" w:line="240" w:lineRule="auto"/>
      <w:rPr>
        <w:rFonts w:ascii="Calibri" w:eastAsia="Times New Roman" w:hAnsi="Calibri" w:cs="Times New Roman"/>
        <w:sz w:val="20"/>
        <w:szCs w:val="20"/>
      </w:rPr>
    </w:pPr>
  </w:p>
  <w:p w14:paraId="70889FCD" w14:textId="50BB70B3" w:rsidR="00147AB4" w:rsidRDefault="00147AB4" w:rsidP="00147AB4">
    <w:pPr>
      <w:pStyle w:val="Footer"/>
      <w:tabs>
        <w:tab w:val="clear" w:pos="4680"/>
        <w:tab w:val="clear" w:pos="9360"/>
        <w:tab w:val="left" w:pos="3143"/>
      </w:tabs>
    </w:pPr>
    <w:r>
      <w:tab/>
    </w:r>
  </w:p>
  <w:p w14:paraId="446779E0" w14:textId="77777777" w:rsidR="00147AB4" w:rsidRDefault="00147AB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052A89" w14:textId="77777777" w:rsidR="00147AB4" w:rsidRPr="00B57D56" w:rsidRDefault="00147AB4" w:rsidP="00B57D56">
    <w:pPr>
      <w:pBdr>
        <w:top w:val="single" w:sz="4" w:space="4" w:color="808080"/>
      </w:pBdr>
      <w:tabs>
        <w:tab w:val="center" w:pos="4680"/>
        <w:tab w:val="right" w:pos="9360"/>
        <w:tab w:val="right" w:pos="12870"/>
      </w:tabs>
      <w:spacing w:after="0" w:line="240" w:lineRule="auto"/>
      <w:rPr>
        <w:rFonts w:ascii="Calibri" w:eastAsia="Times New Roman" w:hAnsi="Calibri" w:cs="Times New Roman"/>
        <w:i/>
        <w:iCs/>
        <w:color w:val="404040"/>
        <w:sz w:val="16"/>
        <w:szCs w:val="20"/>
      </w:rPr>
    </w:pPr>
    <w:r>
      <w:rPr>
        <w:rStyle w:val="normaltextrun"/>
        <w:rFonts w:ascii="Arial" w:hAnsi="Arial" w:cs="Arial"/>
        <w:b/>
        <w:bCs/>
        <w:color w:val="808080"/>
        <w:sz w:val="16"/>
        <w:szCs w:val="16"/>
        <w:shd w:val="clear" w:color="auto" w:fill="FFFFFF"/>
      </w:rPr>
      <w:t>© 2024 College of American Pathologists. This work is licensed under a Creative Commons Attribution 4.0 International License. https://creativecommons.org/licenses/by/4.0/</w:t>
    </w:r>
    <w:r>
      <w:rPr>
        <w:rStyle w:val="tabchar"/>
        <w:rFonts w:ascii="Calibri" w:hAnsi="Calibri" w:cs="Calibri"/>
        <w:color w:val="808080"/>
        <w:sz w:val="16"/>
        <w:szCs w:val="16"/>
        <w:shd w:val="clear" w:color="auto" w:fill="FFFFFF"/>
      </w:rPr>
      <w:tab/>
    </w:r>
    <w:r w:rsidRPr="00B57D56">
      <w:rPr>
        <w:rFonts w:ascii="Calibri" w:eastAsia="Times New Roman" w:hAnsi="Calibri" w:cs="Times New Roman"/>
        <w:i/>
        <w:iCs/>
        <w:color w:val="404040"/>
        <w:sz w:val="16"/>
        <w:szCs w:val="20"/>
      </w:rPr>
      <w:tab/>
      <w:t xml:space="preserve"> </w:t>
    </w:r>
  </w:p>
  <w:p w14:paraId="363DB01F" w14:textId="77777777" w:rsidR="00147AB4" w:rsidRPr="00B57D56" w:rsidRDefault="00147AB4" w:rsidP="00B57D56">
    <w:pPr>
      <w:tabs>
        <w:tab w:val="center" w:pos="4680"/>
        <w:tab w:val="center" w:pos="5040"/>
        <w:tab w:val="right" w:pos="9360"/>
        <w:tab w:val="right" w:pos="10080"/>
      </w:tabs>
      <w:spacing w:after="0" w:line="240" w:lineRule="auto"/>
      <w:jc w:val="right"/>
      <w:rPr>
        <w:rFonts w:ascii="Calibri" w:eastAsia="Times New Roman" w:hAnsi="Calibri" w:cs="Times New Roman"/>
        <w:color w:val="BFBFBF"/>
        <w:sz w:val="16"/>
        <w:szCs w:val="20"/>
      </w:rPr>
    </w:pPr>
    <w:r w:rsidRPr="00B57D56">
      <w:rPr>
        <w:rFonts w:ascii="Calibri" w:eastAsia="Times New Roman" w:hAnsi="Calibri" w:cs="Times New Roman"/>
        <w:color w:val="BFBFBF"/>
        <w:sz w:val="16"/>
        <w:szCs w:val="20"/>
      </w:rPr>
      <w:tab/>
      <w:t xml:space="preserve">Page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PAGE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r w:rsidRPr="00B57D56">
      <w:rPr>
        <w:rFonts w:ascii="Calibri" w:eastAsia="Times New Roman" w:hAnsi="Calibri" w:cs="Times New Roman"/>
        <w:color w:val="BFBFBF"/>
        <w:sz w:val="16"/>
        <w:szCs w:val="20"/>
      </w:rPr>
      <w:t xml:space="preserve"> of </w:t>
    </w:r>
    <w:r w:rsidRPr="00B57D56">
      <w:rPr>
        <w:rFonts w:ascii="Calibri" w:eastAsia="Times New Roman" w:hAnsi="Calibri" w:cs="Times New Roman"/>
        <w:color w:val="BFBFBF"/>
        <w:sz w:val="16"/>
        <w:szCs w:val="20"/>
      </w:rPr>
      <w:fldChar w:fldCharType="begin"/>
    </w:r>
    <w:r w:rsidRPr="00B57D56">
      <w:rPr>
        <w:rFonts w:ascii="Calibri" w:eastAsia="Times New Roman" w:hAnsi="Calibri" w:cs="Times New Roman"/>
        <w:color w:val="BFBFBF"/>
        <w:sz w:val="16"/>
        <w:szCs w:val="20"/>
      </w:rPr>
      <w:instrText xml:space="preserve"> NUMPAGES </w:instrText>
    </w:r>
    <w:r w:rsidRPr="00B57D56">
      <w:rPr>
        <w:rFonts w:ascii="Calibri" w:eastAsia="Times New Roman" w:hAnsi="Calibri" w:cs="Times New Roman"/>
        <w:color w:val="BFBFBF"/>
        <w:sz w:val="16"/>
        <w:szCs w:val="20"/>
      </w:rPr>
      <w:fldChar w:fldCharType="separate"/>
    </w:r>
    <w:r>
      <w:rPr>
        <w:rFonts w:ascii="Calibri" w:eastAsia="Times New Roman" w:hAnsi="Calibri" w:cs="Times New Roman"/>
        <w:noProof/>
        <w:color w:val="BFBFBF"/>
        <w:sz w:val="16"/>
        <w:szCs w:val="20"/>
      </w:rPr>
      <w:t>5</w:t>
    </w:r>
    <w:r w:rsidRPr="00B57D56">
      <w:rPr>
        <w:rFonts w:ascii="Calibri" w:eastAsia="Times New Roman" w:hAnsi="Calibri" w:cs="Times New Roman"/>
        <w:color w:val="BFBFBF"/>
        <w:sz w:val="16"/>
        <w:szCs w:val="20"/>
      </w:rPr>
      <w:fldChar w:fldCharType="end"/>
    </w:r>
  </w:p>
  <w:p w14:paraId="779A73BE" w14:textId="77777777" w:rsidR="00147AB4" w:rsidRPr="00B57D56" w:rsidRDefault="00147AB4" w:rsidP="00147AB4">
    <w:pPr>
      <w:tabs>
        <w:tab w:val="left" w:pos="5040"/>
      </w:tabs>
      <w:spacing w:after="0" w:line="240" w:lineRule="auto"/>
      <w:rPr>
        <w:rFonts w:ascii="Calibri" w:eastAsia="Times New Roman" w:hAnsi="Calibri" w:cs="Times New Roman"/>
        <w:sz w:val="20"/>
        <w:szCs w:val="20"/>
      </w:rPr>
    </w:pPr>
    <w:r>
      <w:rPr>
        <w:rFonts w:ascii="Calibri" w:eastAsia="Times New Roman" w:hAnsi="Calibri" w:cs="Times New Roman"/>
        <w:sz w:val="20"/>
        <w:szCs w:val="20"/>
      </w:rPr>
      <w:tab/>
    </w:r>
  </w:p>
  <w:p w14:paraId="7B574218" w14:textId="77777777" w:rsidR="00147AB4" w:rsidRPr="00B57D56" w:rsidRDefault="00147AB4" w:rsidP="00B57D56">
    <w:pPr>
      <w:tabs>
        <w:tab w:val="center" w:pos="4680"/>
        <w:tab w:val="right" w:pos="9360"/>
      </w:tabs>
      <w:spacing w:after="0" w:line="240" w:lineRule="auto"/>
      <w:rPr>
        <w:rFonts w:ascii="Calibri" w:eastAsia="Times New Roman" w:hAnsi="Calibri" w:cs="Times New Roman"/>
        <w:sz w:val="20"/>
        <w:szCs w:val="20"/>
      </w:rPr>
    </w:pPr>
  </w:p>
  <w:p w14:paraId="5D8F9F82" w14:textId="77777777" w:rsidR="00147AB4" w:rsidRDefault="00147AB4" w:rsidP="00147AB4">
    <w:pPr>
      <w:pStyle w:val="Footer"/>
      <w:tabs>
        <w:tab w:val="clear" w:pos="4680"/>
        <w:tab w:val="clear" w:pos="9360"/>
        <w:tab w:val="left" w:pos="3143"/>
      </w:tabs>
    </w:pPr>
    <w:r>
      <w:tab/>
    </w:r>
  </w:p>
  <w:p w14:paraId="69E723C1" w14:textId="77777777" w:rsidR="00147AB4" w:rsidRDefault="00147AB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0C45C8" w14:textId="77777777" w:rsidR="004C0B9B" w:rsidRDefault="004C0B9B" w:rsidP="004043EB">
      <w:pPr>
        <w:spacing w:after="0" w:line="240" w:lineRule="auto"/>
      </w:pPr>
      <w:r>
        <w:separator/>
      </w:r>
    </w:p>
  </w:footnote>
  <w:footnote w:type="continuationSeparator" w:id="0">
    <w:p w14:paraId="01307100" w14:textId="77777777" w:rsidR="004C0B9B" w:rsidRDefault="004C0B9B" w:rsidP="004043EB">
      <w:pPr>
        <w:spacing w:after="0" w:line="240" w:lineRule="auto"/>
      </w:pPr>
      <w:r>
        <w:continuationSeparator/>
      </w:r>
    </w:p>
  </w:footnote>
  <w:footnote w:type="continuationNotice" w:id="1">
    <w:p w14:paraId="503FF6F6" w14:textId="77777777" w:rsidR="004C0B9B" w:rsidRDefault="004C0B9B">
      <w:pPr>
        <w:spacing w:after="0" w:line="240" w:lineRule="auto"/>
      </w:pPr>
    </w:p>
  </w:footnote>
  <w:footnote w:id="2">
    <w:p w14:paraId="21D95DF8" w14:textId="5B17A960" w:rsidR="00DA31C4" w:rsidRDefault="00DA31C4">
      <w:pPr>
        <w:pStyle w:val="FootnoteText"/>
      </w:pPr>
      <w:r w:rsidRPr="00C37F53">
        <w:rPr>
          <w:rStyle w:val="FootnoteReference"/>
          <w:rFonts w:ascii="Arial" w:hAnsi="Arial" w:cs="Arial"/>
        </w:rPr>
        <w:t>*</w:t>
      </w:r>
      <w:r>
        <w:t xml:space="preserve"> </w:t>
      </w:r>
      <w:r w:rsidR="004C643E" w:rsidRPr="00A30583">
        <w:rPr>
          <w:rFonts w:ascii="Arial" w:hAnsi="Arial" w:cs="Arial"/>
          <w:sz w:val="18"/>
          <w:szCs w:val="18"/>
        </w:rPr>
        <w:t>Note: Relevant terminologies and acronyms are listed</w:t>
      </w:r>
      <w:r w:rsidR="00890BC0" w:rsidRPr="00A30583">
        <w:rPr>
          <w:rFonts w:ascii="Arial" w:hAnsi="Arial" w:cs="Arial"/>
          <w:sz w:val="18"/>
          <w:szCs w:val="18"/>
        </w:rPr>
        <w:t xml:space="preserve"> in </w:t>
      </w:r>
      <w:r w:rsidR="006B5505" w:rsidRPr="00A30583">
        <w:rPr>
          <w:rFonts w:ascii="Arial" w:hAnsi="Arial" w:cs="Arial"/>
          <w:sz w:val="18"/>
          <w:szCs w:val="18"/>
        </w:rPr>
        <w:t xml:space="preserve">the Terminology Glossary </w:t>
      </w:r>
      <w:r w:rsidR="00875EA6" w:rsidRPr="00A30583">
        <w:rPr>
          <w:rFonts w:ascii="Arial" w:hAnsi="Arial" w:cs="Arial"/>
          <w:sz w:val="18"/>
          <w:szCs w:val="18"/>
        </w:rPr>
        <w:t>at the end of the document.</w:t>
      </w:r>
      <w:r w:rsidR="00875EA6" w:rsidRPr="00A30583">
        <w:rPr>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B1F2A4" w14:textId="29CA7D99" w:rsidR="004043EB" w:rsidRPr="007B24DE" w:rsidRDefault="00C41BD4"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52" behindDoc="0" locked="0" layoutInCell="1" allowOverlap="1" wp14:anchorId="119B423C" wp14:editId="2F3EFC87">
              <wp:simplePos x="0" y="0"/>
              <wp:positionH relativeFrom="page">
                <wp:posOffset>4664075</wp:posOffset>
              </wp:positionH>
              <wp:positionV relativeFrom="paragraph">
                <wp:posOffset>53975</wp:posOffset>
              </wp:positionV>
              <wp:extent cx="3044952" cy="548640"/>
              <wp:effectExtent l="0" t="0" r="3175" b="3810"/>
              <wp:wrapNone/>
              <wp:docPr id="389116991" name="Rectangle 389116991"/>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59725E86" w14:textId="77777777" w:rsidR="004043EB" w:rsidRPr="0078339D" w:rsidRDefault="004043EB"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13A12CB9" w14:textId="77777777" w:rsidR="004043EB" w:rsidRPr="00557ECC" w:rsidRDefault="004043EB"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9B423C" id="Rectangle 389116991" o:spid="_x0000_s1027" style="position:absolute;margin-left:367.25pt;margin-top:4.25pt;width:239.75pt;height:43.2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" fillcolor="#00698f [3207]" stroked="f" strokeweight=".5pt">
              <v:textbox inset=",7.2pt,,7.2pt">
                <w:txbxContent>
                  <w:p w14:paraId="59725E86" w14:textId="77777777" w:rsidR="004043EB" w:rsidRPr="0078339D" w:rsidRDefault="004043EB"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13A12CB9" w14:textId="77777777" w:rsidR="004043EB" w:rsidRPr="00557ECC" w:rsidRDefault="004043EB" w:rsidP="00624F48">
                    <w:pPr>
                      <w:shd w:val="clear" w:color="auto" w:fill="00698F" w:themeFill="accent4"/>
                      <w:jc w:val="center"/>
                      <w:rPr>
                        <w:color w:val="C3C6C8" w:themeColor="background1"/>
                      </w:rPr>
                    </w:pPr>
                  </w:p>
                </w:txbxContent>
              </v:textbox>
              <w10:wrap anchorx="page"/>
            </v:rect>
          </w:pict>
        </mc:Fallback>
      </mc:AlternateContent>
    </w:r>
  </w:p>
  <w:p w14:paraId="62B6607B" w14:textId="584114B2" w:rsidR="004043EB" w:rsidRPr="00624F48" w:rsidRDefault="00C41BD4"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53" behindDoc="1" locked="0" layoutInCell="1" allowOverlap="1" wp14:anchorId="433D14F1" wp14:editId="5684E757">
          <wp:simplePos x="0" y="0"/>
          <wp:positionH relativeFrom="margin">
            <wp:align>left</wp:align>
          </wp:positionH>
          <wp:positionV relativeFrom="page">
            <wp:posOffset>355600</wp:posOffset>
          </wp:positionV>
          <wp:extent cx="2322195" cy="393065"/>
          <wp:effectExtent l="0" t="0" r="1905" b="6985"/>
          <wp:wrapNone/>
          <wp:docPr id="479451035" name="Picture 47945103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A045E6" w14:textId="69E052CF" w:rsidR="004043EB" w:rsidRPr="007B24DE" w:rsidRDefault="004043EB" w:rsidP="004043EB">
    <w:pPr>
      <w:tabs>
        <w:tab w:val="left" w:pos="2655"/>
      </w:tabs>
      <w:spacing w:after="120" w:line="264" w:lineRule="auto"/>
      <w:rPr>
        <w:rFonts w:eastAsiaTheme="majorEastAsia"/>
        <w:sz w:val="20"/>
        <w:szCs w:val="20"/>
      </w:rPr>
    </w:pPr>
    <w:r>
      <w:rPr>
        <w:rFonts w:eastAsiaTheme="majorEastAsia"/>
        <w:sz w:val="20"/>
        <w:szCs w:val="20"/>
      </w:rPr>
      <w:tab/>
    </w:r>
  </w:p>
  <w:p w14:paraId="64A63BA7" w14:textId="5DD5C057" w:rsidR="004043EB" w:rsidRDefault="00C41BD4"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54" behindDoc="0" locked="0" layoutInCell="1" allowOverlap="1" wp14:anchorId="5B4B1202" wp14:editId="4C92A34B">
              <wp:simplePos x="0" y="0"/>
              <wp:positionH relativeFrom="margin">
                <wp:posOffset>-152400</wp:posOffset>
              </wp:positionH>
              <wp:positionV relativeFrom="paragraph">
                <wp:posOffset>77470</wp:posOffset>
              </wp:positionV>
              <wp:extent cx="6426679" cy="0"/>
              <wp:effectExtent l="0" t="0" r="25400" b="19050"/>
              <wp:wrapNone/>
              <wp:docPr id="1614422728" name="Straight Connector 1614422728"/>
              <wp:cNvGraphicFramePr/>
              <a:graphic xmlns:a="http://schemas.openxmlformats.org/drawingml/2006/main">
                <a:graphicData uri="http://schemas.microsoft.com/office/word/2010/wordprocessingShape">
                  <wps:wsp>
                    <wps:cNvCnPr/>
                    <wps:spPr>
                      <a:xfrm flipV="1">
                        <a:off x="0" y="0"/>
                        <a:ext cx="6426679"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4D1E2E08">
            <v:line id="Straight Connector 13" style="position:absolute;flip:y;z-index:251660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fbfbf" strokeweight=".5pt" from="-12pt,6.1pt" to="494.05pt,6.1pt" w14:anchorId="4FA9E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">
              <v:stroke joinstyle="miter"/>
              <w10:wrap anchorx="margin"/>
            </v:line>
          </w:pict>
        </mc:Fallback>
      </mc:AlternateContent>
    </w:r>
  </w:p>
  <w:p w14:paraId="5399FC7B" w14:textId="77777777" w:rsidR="00817C40" w:rsidRDefault="00817C4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CA111" w14:textId="77777777" w:rsidR="00EC61CF" w:rsidRPr="007B24DE" w:rsidRDefault="00EC61CF"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55" behindDoc="0" locked="0" layoutInCell="1" allowOverlap="1" wp14:anchorId="4277B60E" wp14:editId="1B0A43AF">
              <wp:simplePos x="0" y="0"/>
              <wp:positionH relativeFrom="page">
                <wp:posOffset>6929945</wp:posOffset>
              </wp:positionH>
              <wp:positionV relativeFrom="paragraph">
                <wp:posOffset>53975</wp:posOffset>
              </wp:positionV>
              <wp:extent cx="3044952" cy="548640"/>
              <wp:effectExtent l="0" t="0" r="3175" b="3810"/>
              <wp:wrapNone/>
              <wp:docPr id="1533549739" name="Rectangle 1533549739"/>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4BCC6E07" w14:textId="77777777" w:rsidR="00EC61CF" w:rsidRPr="0078339D" w:rsidRDefault="00EC61CF"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7CA5D0EA" w14:textId="77777777" w:rsidR="00EC61CF" w:rsidRPr="00557ECC" w:rsidRDefault="00EC61CF"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7B60E" id="Rectangle 1533549739" o:spid="_x0000_s1028" style="position:absolute;margin-left:545.65pt;margin-top:4.25pt;width:239.75pt;height:43.2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" fillcolor="#00698f [3207]" stroked="f" strokeweight=".5pt">
              <v:textbox inset=",7.2pt,,7.2pt">
                <w:txbxContent>
                  <w:p w14:paraId="4BCC6E07" w14:textId="77777777" w:rsidR="00EC61CF" w:rsidRPr="0078339D" w:rsidRDefault="00EC61CF"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7CA5D0EA" w14:textId="77777777" w:rsidR="00EC61CF" w:rsidRPr="00557ECC" w:rsidRDefault="00EC61CF" w:rsidP="00624F48">
                    <w:pPr>
                      <w:shd w:val="clear" w:color="auto" w:fill="00698F" w:themeFill="accent4"/>
                      <w:jc w:val="center"/>
                      <w:rPr>
                        <w:color w:val="C3C6C8" w:themeColor="background1"/>
                      </w:rPr>
                    </w:pPr>
                  </w:p>
                </w:txbxContent>
              </v:textbox>
              <w10:wrap anchorx="page"/>
            </v:rect>
          </w:pict>
        </mc:Fallback>
      </mc:AlternateContent>
    </w:r>
  </w:p>
  <w:p w14:paraId="16CBA6A0" w14:textId="77777777" w:rsidR="00EC61CF" w:rsidRPr="00624F48" w:rsidRDefault="00EC61CF"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56" behindDoc="1" locked="0" layoutInCell="1" allowOverlap="1" wp14:anchorId="03C09BF2" wp14:editId="0F2B3FA6">
          <wp:simplePos x="0" y="0"/>
          <wp:positionH relativeFrom="margin">
            <wp:align>left</wp:align>
          </wp:positionH>
          <wp:positionV relativeFrom="page">
            <wp:posOffset>355600</wp:posOffset>
          </wp:positionV>
          <wp:extent cx="2322195" cy="393065"/>
          <wp:effectExtent l="0" t="0" r="1905" b="6985"/>
          <wp:wrapNone/>
          <wp:docPr id="1357708270" name="Picture 1357708270"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C40A5E" w14:textId="43A7B17A" w:rsidR="00EC61CF" w:rsidRPr="007B24DE" w:rsidRDefault="00EC61CF" w:rsidP="004043EB">
    <w:pPr>
      <w:tabs>
        <w:tab w:val="left" w:pos="2655"/>
      </w:tabs>
      <w:spacing w:after="120" w:line="264" w:lineRule="auto"/>
      <w:rPr>
        <w:rFonts w:eastAsiaTheme="majorEastAsia"/>
        <w:sz w:val="20"/>
        <w:szCs w:val="20"/>
      </w:rPr>
    </w:pPr>
    <w:r>
      <w:rPr>
        <w:rFonts w:eastAsiaTheme="majorEastAsia"/>
        <w:sz w:val="20"/>
        <w:szCs w:val="20"/>
      </w:rPr>
      <w:tab/>
    </w:r>
  </w:p>
  <w:p w14:paraId="04CE6983" w14:textId="1350626D" w:rsidR="00EC61CF" w:rsidRDefault="00817FA8"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57" behindDoc="0" locked="0" layoutInCell="1" allowOverlap="1" wp14:anchorId="093587A5" wp14:editId="4AFA0140">
              <wp:simplePos x="0" y="0"/>
              <wp:positionH relativeFrom="margin">
                <wp:align>right</wp:align>
              </wp:positionH>
              <wp:positionV relativeFrom="paragraph">
                <wp:posOffset>81593</wp:posOffset>
              </wp:positionV>
              <wp:extent cx="8360228" cy="0"/>
              <wp:effectExtent l="0" t="0" r="0" b="0"/>
              <wp:wrapNone/>
              <wp:docPr id="2008085223" name="Straight Connector 2008085223"/>
              <wp:cNvGraphicFramePr/>
              <a:graphic xmlns:a="http://schemas.openxmlformats.org/drawingml/2006/main">
                <a:graphicData uri="http://schemas.microsoft.com/office/word/2010/wordprocessingShape">
                  <wps:wsp>
                    <wps:cNvCnPr/>
                    <wps:spPr>
                      <a:xfrm flipV="1">
                        <a:off x="0" y="0"/>
                        <a:ext cx="8360228"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47AE50" id="Straight Connector 2008085223" o:spid="_x0000_s1026" style="position:absolute;flip:y;z-index:25165825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07.1pt,6.4pt" to="1265.4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" strokecolor="#bfbfbf" strokeweight=".5pt">
              <v:stroke joinstyle="miter"/>
              <w10:wrap anchorx="margin"/>
            </v:line>
          </w:pict>
        </mc:Fallback>
      </mc:AlternateContent>
    </w:r>
  </w:p>
  <w:p w14:paraId="7DB27677" w14:textId="77777777" w:rsidR="00EC61CF" w:rsidRDefault="00EC61C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A8E09F" w14:textId="77777777" w:rsidR="00EC61CF" w:rsidRPr="007B24DE" w:rsidRDefault="00EC61CF"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58" behindDoc="0" locked="0" layoutInCell="1" allowOverlap="1" wp14:anchorId="04010777" wp14:editId="36880373">
              <wp:simplePos x="0" y="0"/>
              <wp:positionH relativeFrom="page">
                <wp:posOffset>4664075</wp:posOffset>
              </wp:positionH>
              <wp:positionV relativeFrom="paragraph">
                <wp:posOffset>53975</wp:posOffset>
              </wp:positionV>
              <wp:extent cx="3044952" cy="548640"/>
              <wp:effectExtent l="0" t="0" r="3175" b="3810"/>
              <wp:wrapNone/>
              <wp:docPr id="2039081415" name="Rectangle 2039081415"/>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0AE8F980" w14:textId="77777777" w:rsidR="00EC61CF" w:rsidRPr="0078339D" w:rsidRDefault="00EC61CF"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26B847D8" w14:textId="77777777" w:rsidR="00EC61CF" w:rsidRPr="00557ECC" w:rsidRDefault="00EC61CF"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010777" id="Rectangle 2039081415" o:spid="_x0000_s1029" style="position:absolute;margin-left:367.25pt;margin-top:4.25pt;width:239.75pt;height:43.2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" fillcolor="#00698f [3207]" stroked="f" strokeweight=".5pt">
              <v:textbox inset=",7.2pt,,7.2pt">
                <w:txbxContent>
                  <w:p w14:paraId="0AE8F980" w14:textId="77777777" w:rsidR="00EC61CF" w:rsidRPr="0078339D" w:rsidRDefault="00EC61CF"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26B847D8" w14:textId="77777777" w:rsidR="00EC61CF" w:rsidRPr="00557ECC" w:rsidRDefault="00EC61CF" w:rsidP="00624F48">
                    <w:pPr>
                      <w:shd w:val="clear" w:color="auto" w:fill="00698F" w:themeFill="accent4"/>
                      <w:jc w:val="center"/>
                      <w:rPr>
                        <w:color w:val="C3C6C8" w:themeColor="background1"/>
                      </w:rPr>
                    </w:pPr>
                  </w:p>
                </w:txbxContent>
              </v:textbox>
              <w10:wrap anchorx="page"/>
            </v:rect>
          </w:pict>
        </mc:Fallback>
      </mc:AlternateContent>
    </w:r>
  </w:p>
  <w:p w14:paraId="17BDDB40" w14:textId="77777777" w:rsidR="00EC61CF" w:rsidRPr="00624F48" w:rsidRDefault="00EC61CF"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59" behindDoc="1" locked="0" layoutInCell="1" allowOverlap="1" wp14:anchorId="1AF9147E" wp14:editId="6093E4B6">
          <wp:simplePos x="0" y="0"/>
          <wp:positionH relativeFrom="margin">
            <wp:align>left</wp:align>
          </wp:positionH>
          <wp:positionV relativeFrom="page">
            <wp:posOffset>355600</wp:posOffset>
          </wp:positionV>
          <wp:extent cx="2322195" cy="393065"/>
          <wp:effectExtent l="0" t="0" r="1905" b="6985"/>
          <wp:wrapNone/>
          <wp:docPr id="929180743" name="Picture 929180743"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0F586" w14:textId="77777777" w:rsidR="00EC61CF" w:rsidRPr="007B24DE" w:rsidRDefault="00EC61CF" w:rsidP="004043EB">
    <w:pPr>
      <w:tabs>
        <w:tab w:val="left" w:pos="2655"/>
      </w:tabs>
      <w:spacing w:after="120" w:line="264" w:lineRule="auto"/>
      <w:rPr>
        <w:rFonts w:eastAsiaTheme="majorEastAsia"/>
        <w:sz w:val="20"/>
        <w:szCs w:val="20"/>
      </w:rPr>
    </w:pPr>
    <w:r>
      <w:rPr>
        <w:rFonts w:eastAsiaTheme="majorEastAsia"/>
        <w:sz w:val="20"/>
        <w:szCs w:val="20"/>
      </w:rPr>
      <w:tab/>
    </w:r>
  </w:p>
  <w:p w14:paraId="7927F642" w14:textId="77777777" w:rsidR="00EC61CF" w:rsidRDefault="00EC61CF"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60" behindDoc="0" locked="0" layoutInCell="1" allowOverlap="1" wp14:anchorId="24BA0A23" wp14:editId="1023A966">
              <wp:simplePos x="0" y="0"/>
              <wp:positionH relativeFrom="margin">
                <wp:posOffset>-152400</wp:posOffset>
              </wp:positionH>
              <wp:positionV relativeFrom="paragraph">
                <wp:posOffset>77470</wp:posOffset>
              </wp:positionV>
              <wp:extent cx="6426679" cy="0"/>
              <wp:effectExtent l="0" t="0" r="25400" b="19050"/>
              <wp:wrapNone/>
              <wp:docPr id="96906069" name="Straight Connector 96906069"/>
              <wp:cNvGraphicFramePr/>
              <a:graphic xmlns:a="http://schemas.openxmlformats.org/drawingml/2006/main">
                <a:graphicData uri="http://schemas.microsoft.com/office/word/2010/wordprocessingShape">
                  <wps:wsp>
                    <wps:cNvCnPr/>
                    <wps:spPr>
                      <a:xfrm flipV="1">
                        <a:off x="0" y="0"/>
                        <a:ext cx="6426679"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016C71" id="Straight Connector 96906069" o:spid="_x0000_s1026" style="position:absolute;flip:y;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6.1pt" to="494.0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" strokecolor="#bfbfbf" strokeweight=".5pt">
              <v:stroke joinstyle="miter"/>
              <w10:wrap anchorx="margin"/>
            </v:line>
          </w:pict>
        </mc:Fallback>
      </mc:AlternateContent>
    </w:r>
  </w:p>
  <w:p w14:paraId="0D1F475A" w14:textId="77777777" w:rsidR="00EC61CF" w:rsidRDefault="00EC61CF"/>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B3B788" w14:textId="77777777" w:rsidR="007D0C1C" w:rsidRPr="007B24DE" w:rsidRDefault="007D0C1C"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61" behindDoc="0" locked="0" layoutInCell="1" allowOverlap="1" wp14:anchorId="2E5F3E04" wp14:editId="6765A0D0">
              <wp:simplePos x="0" y="0"/>
              <wp:positionH relativeFrom="page">
                <wp:posOffset>6931025</wp:posOffset>
              </wp:positionH>
              <wp:positionV relativeFrom="paragraph">
                <wp:posOffset>53975</wp:posOffset>
              </wp:positionV>
              <wp:extent cx="3044952" cy="548640"/>
              <wp:effectExtent l="0" t="0" r="3175" b="3810"/>
              <wp:wrapNone/>
              <wp:docPr id="1565980540" name="Rectangle 1565980540"/>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61EA8271" w14:textId="77777777" w:rsidR="007D0C1C" w:rsidRPr="0078339D" w:rsidRDefault="007D0C1C"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7C9B0249" w14:textId="77777777" w:rsidR="007D0C1C" w:rsidRPr="00557ECC" w:rsidRDefault="007D0C1C"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F3E04" id="Rectangle 1565980540" o:spid="_x0000_s1030" style="position:absolute;margin-left:545.75pt;margin-top:4.25pt;width:239.75pt;height:43.2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" fillcolor="#00698f [3207]" stroked="f" strokeweight=".5pt">
              <v:textbox inset=",7.2pt,,7.2pt">
                <w:txbxContent>
                  <w:p w14:paraId="61EA8271" w14:textId="77777777" w:rsidR="007D0C1C" w:rsidRPr="0078339D" w:rsidRDefault="007D0C1C"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7C9B0249" w14:textId="77777777" w:rsidR="007D0C1C" w:rsidRPr="00557ECC" w:rsidRDefault="007D0C1C" w:rsidP="00624F48">
                    <w:pPr>
                      <w:shd w:val="clear" w:color="auto" w:fill="00698F" w:themeFill="accent4"/>
                      <w:jc w:val="center"/>
                      <w:rPr>
                        <w:color w:val="C3C6C8" w:themeColor="background1"/>
                      </w:rPr>
                    </w:pPr>
                  </w:p>
                </w:txbxContent>
              </v:textbox>
              <w10:wrap anchorx="page"/>
            </v:rect>
          </w:pict>
        </mc:Fallback>
      </mc:AlternateContent>
    </w:r>
  </w:p>
  <w:p w14:paraId="4694D6EA" w14:textId="77777777" w:rsidR="007D0C1C" w:rsidRPr="00624F48" w:rsidRDefault="007D0C1C"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62" behindDoc="1" locked="0" layoutInCell="1" allowOverlap="1" wp14:anchorId="667E47BD" wp14:editId="1593140D">
          <wp:simplePos x="0" y="0"/>
          <wp:positionH relativeFrom="margin">
            <wp:align>left</wp:align>
          </wp:positionH>
          <wp:positionV relativeFrom="page">
            <wp:posOffset>355600</wp:posOffset>
          </wp:positionV>
          <wp:extent cx="2322195" cy="393065"/>
          <wp:effectExtent l="0" t="0" r="1905" b="6985"/>
          <wp:wrapNone/>
          <wp:docPr id="1878760348" name="Picture 187876034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5A82C" w14:textId="5968FEFB" w:rsidR="007D0C1C" w:rsidRPr="007B24DE" w:rsidRDefault="007D0C1C" w:rsidP="004043EB">
    <w:pPr>
      <w:tabs>
        <w:tab w:val="left" w:pos="2655"/>
      </w:tabs>
      <w:spacing w:after="120" w:line="264" w:lineRule="auto"/>
      <w:rPr>
        <w:rFonts w:eastAsiaTheme="majorEastAsia"/>
        <w:sz w:val="20"/>
        <w:szCs w:val="20"/>
      </w:rPr>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63" behindDoc="0" locked="0" layoutInCell="1" allowOverlap="1" wp14:anchorId="4674E9E6" wp14:editId="0326BC76">
              <wp:simplePos x="0" y="0"/>
              <wp:positionH relativeFrom="margin">
                <wp:align>right</wp:align>
              </wp:positionH>
              <wp:positionV relativeFrom="paragraph">
                <wp:posOffset>292982</wp:posOffset>
              </wp:positionV>
              <wp:extent cx="8360228" cy="0"/>
              <wp:effectExtent l="0" t="0" r="0" b="0"/>
              <wp:wrapNone/>
              <wp:docPr id="985881484" name="Straight Connector 985881484"/>
              <wp:cNvGraphicFramePr/>
              <a:graphic xmlns:a="http://schemas.openxmlformats.org/drawingml/2006/main">
                <a:graphicData uri="http://schemas.microsoft.com/office/word/2010/wordprocessingShape">
                  <wps:wsp>
                    <wps:cNvCnPr/>
                    <wps:spPr>
                      <a:xfrm flipV="1">
                        <a:off x="0" y="0"/>
                        <a:ext cx="8360228"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097218" id="Straight Connector 985881484" o:spid="_x0000_s1026" style="position:absolute;flip:y;z-index:25165826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07.1pt,23.05pt" to="1265.4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" strokecolor="#bfbfbf" strokeweight=".5pt">
              <v:stroke joinstyle="miter"/>
              <w10:wrap anchorx="margin"/>
            </v:line>
          </w:pict>
        </mc:Fallback>
      </mc:AlternateContent>
    </w:r>
    <w:r>
      <w:rPr>
        <w:rFonts w:eastAsiaTheme="majorEastAsia"/>
        <w:sz w:val="20"/>
        <w:szCs w:val="20"/>
      </w:rPr>
      <w:tab/>
    </w:r>
  </w:p>
  <w:p w14:paraId="0F117FAC" w14:textId="76E8BB5E" w:rsidR="007D0C1C" w:rsidRDefault="007D0C1C" w:rsidP="004043EB">
    <w:pPr>
      <w:spacing w:after="0" w:line="360" w:lineRule="auto"/>
    </w:pPr>
  </w:p>
  <w:p w14:paraId="2D5B9B3D" w14:textId="77777777" w:rsidR="007D0C1C" w:rsidRDefault="007D0C1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AC9363" w14:textId="77777777" w:rsidR="007D0C1C" w:rsidRPr="007B24DE" w:rsidRDefault="007D0C1C"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64" behindDoc="0" locked="0" layoutInCell="1" allowOverlap="1" wp14:anchorId="49EC4FB4" wp14:editId="09BA888E">
              <wp:simplePos x="0" y="0"/>
              <wp:positionH relativeFrom="page">
                <wp:posOffset>4664075</wp:posOffset>
              </wp:positionH>
              <wp:positionV relativeFrom="paragraph">
                <wp:posOffset>53975</wp:posOffset>
              </wp:positionV>
              <wp:extent cx="3044952" cy="548640"/>
              <wp:effectExtent l="0" t="0" r="3175" b="3810"/>
              <wp:wrapNone/>
              <wp:docPr id="208193979" name="Rectangle 208193979"/>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5C5C5AD6" w14:textId="77777777" w:rsidR="007D0C1C" w:rsidRPr="0078339D" w:rsidRDefault="007D0C1C"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5E15AD77" w14:textId="77777777" w:rsidR="007D0C1C" w:rsidRPr="00557ECC" w:rsidRDefault="007D0C1C"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C4FB4" id="Rectangle 208193979" o:spid="_x0000_s1031" style="position:absolute;margin-left:367.25pt;margin-top:4.25pt;width:239.75pt;height:43.2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" fillcolor="#00698f [3207]" stroked="f" strokeweight=".5pt">
              <v:textbox inset=",7.2pt,,7.2pt">
                <w:txbxContent>
                  <w:p w14:paraId="5C5C5AD6" w14:textId="77777777" w:rsidR="007D0C1C" w:rsidRPr="0078339D" w:rsidRDefault="007D0C1C" w:rsidP="00624F48">
                    <w:pPr>
                      <w:pStyle w:val="BodyText"/>
                      <w:shd w:val="clear" w:color="auto" w:fill="00698F" w:themeFill="accent4"/>
                      <w:rPr>
                        <w:rFonts w:ascii="Arial" w:hAnsi="Arial" w:cs="Arial"/>
                        <w:b/>
                      </w:rPr>
                    </w:pPr>
                    <w:r w:rsidRPr="00397D75">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5E15AD77" w14:textId="77777777" w:rsidR="007D0C1C" w:rsidRPr="00557ECC" w:rsidRDefault="007D0C1C" w:rsidP="00624F48">
                    <w:pPr>
                      <w:shd w:val="clear" w:color="auto" w:fill="00698F" w:themeFill="accent4"/>
                      <w:jc w:val="center"/>
                      <w:rPr>
                        <w:color w:val="C3C6C8" w:themeColor="background1"/>
                      </w:rPr>
                    </w:pPr>
                  </w:p>
                </w:txbxContent>
              </v:textbox>
              <w10:wrap anchorx="page"/>
            </v:rect>
          </w:pict>
        </mc:Fallback>
      </mc:AlternateContent>
    </w:r>
  </w:p>
  <w:p w14:paraId="779EF8AE" w14:textId="77777777" w:rsidR="007D0C1C" w:rsidRPr="00624F48" w:rsidRDefault="007D0C1C"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65" behindDoc="1" locked="0" layoutInCell="1" allowOverlap="1" wp14:anchorId="54157318" wp14:editId="55ED52CF">
          <wp:simplePos x="0" y="0"/>
          <wp:positionH relativeFrom="margin">
            <wp:align>left</wp:align>
          </wp:positionH>
          <wp:positionV relativeFrom="page">
            <wp:posOffset>355600</wp:posOffset>
          </wp:positionV>
          <wp:extent cx="2322195" cy="393065"/>
          <wp:effectExtent l="0" t="0" r="1905" b="6985"/>
          <wp:wrapNone/>
          <wp:docPr id="1106480498" name="Picture 1106480498"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B72280" w14:textId="77777777" w:rsidR="007D0C1C" w:rsidRPr="007B24DE" w:rsidRDefault="007D0C1C" w:rsidP="004043EB">
    <w:pPr>
      <w:tabs>
        <w:tab w:val="left" w:pos="2655"/>
      </w:tabs>
      <w:spacing w:after="120" w:line="264" w:lineRule="auto"/>
      <w:rPr>
        <w:rFonts w:eastAsiaTheme="majorEastAsia"/>
        <w:sz w:val="20"/>
        <w:szCs w:val="20"/>
      </w:rPr>
    </w:pPr>
    <w:r>
      <w:rPr>
        <w:rFonts w:eastAsiaTheme="majorEastAsia"/>
        <w:sz w:val="20"/>
        <w:szCs w:val="20"/>
      </w:rPr>
      <w:tab/>
    </w:r>
  </w:p>
  <w:p w14:paraId="14B34E1D" w14:textId="77777777" w:rsidR="007D0C1C" w:rsidRDefault="007D0C1C"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66" behindDoc="0" locked="0" layoutInCell="1" allowOverlap="1" wp14:anchorId="0C8EA90B" wp14:editId="57F7B64E">
              <wp:simplePos x="0" y="0"/>
              <wp:positionH relativeFrom="margin">
                <wp:posOffset>-152400</wp:posOffset>
              </wp:positionH>
              <wp:positionV relativeFrom="paragraph">
                <wp:posOffset>77470</wp:posOffset>
              </wp:positionV>
              <wp:extent cx="6426679" cy="0"/>
              <wp:effectExtent l="0" t="0" r="25400" b="19050"/>
              <wp:wrapNone/>
              <wp:docPr id="981364004" name="Straight Connector 981364004"/>
              <wp:cNvGraphicFramePr/>
              <a:graphic xmlns:a="http://schemas.openxmlformats.org/drawingml/2006/main">
                <a:graphicData uri="http://schemas.microsoft.com/office/word/2010/wordprocessingShape">
                  <wps:wsp>
                    <wps:cNvCnPr/>
                    <wps:spPr>
                      <a:xfrm flipV="1">
                        <a:off x="0" y="0"/>
                        <a:ext cx="6426679"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54E2FA6" id="Straight Connector 981364004" o:spid="_x0000_s1026" style="position:absolute;flip:y;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6.1pt" to="494.0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" strokecolor="#bfbfbf" strokeweight=".5pt">
              <v:stroke joinstyle="miter"/>
              <w10:wrap anchorx="margin"/>
            </v:line>
          </w:pict>
        </mc:Fallback>
      </mc:AlternateContent>
    </w:r>
  </w:p>
  <w:p w14:paraId="3DC85832" w14:textId="77777777" w:rsidR="007D0C1C" w:rsidRDefault="007D0C1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3FE9FA" w14:textId="77777777" w:rsidR="005E09D0" w:rsidRPr="007B24DE" w:rsidRDefault="005E09D0"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40" behindDoc="0" locked="0" layoutInCell="1" allowOverlap="1" wp14:anchorId="4327615F" wp14:editId="47A091DC">
              <wp:simplePos x="0" y="0"/>
              <wp:positionH relativeFrom="page">
                <wp:posOffset>6935165</wp:posOffset>
              </wp:positionH>
              <wp:positionV relativeFrom="paragraph">
                <wp:posOffset>53975</wp:posOffset>
              </wp:positionV>
              <wp:extent cx="3044952" cy="548640"/>
              <wp:effectExtent l="0" t="0" r="3175" b="3810"/>
              <wp:wrapNone/>
              <wp:docPr id="1075902382" name="Rectangle 1075902382"/>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63E51D7E" w14:textId="77777777" w:rsidR="005E09D0" w:rsidRPr="0078339D" w:rsidRDefault="005E09D0" w:rsidP="00624F48">
                          <w:pPr>
                            <w:pStyle w:val="BodyText"/>
                            <w:shd w:val="clear" w:color="auto" w:fill="00698F" w:themeFill="accent4"/>
                            <w:rPr>
                              <w:rFonts w:ascii="Arial" w:hAnsi="Arial" w:cs="Arial"/>
                              <w:b/>
                            </w:rPr>
                          </w:pPr>
                          <w:r w:rsidRPr="00313ABD">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67A967AD" w14:textId="77777777" w:rsidR="005E09D0" w:rsidRPr="00557ECC" w:rsidRDefault="005E09D0"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7615F" id="Rectangle 1075902382" o:spid="_x0000_s1032" style="position:absolute;margin-left:546.1pt;margin-top:4.25pt;width:239.75pt;height:43.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" fillcolor="#00698f [3207]" stroked="f" strokeweight=".5pt">
              <v:textbox inset=",7.2pt,,7.2pt">
                <w:txbxContent>
                  <w:p w14:paraId="63E51D7E" w14:textId="77777777" w:rsidR="005E09D0" w:rsidRPr="0078339D" w:rsidRDefault="005E09D0" w:rsidP="00624F48">
                    <w:pPr>
                      <w:pStyle w:val="BodyText"/>
                      <w:shd w:val="clear" w:color="auto" w:fill="00698F" w:themeFill="accent4"/>
                      <w:rPr>
                        <w:rFonts w:ascii="Arial" w:hAnsi="Arial" w:cs="Arial"/>
                        <w:b/>
                      </w:rPr>
                    </w:pPr>
                    <w:r w:rsidRPr="00313ABD">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67A967AD" w14:textId="77777777" w:rsidR="005E09D0" w:rsidRPr="00557ECC" w:rsidRDefault="005E09D0" w:rsidP="00624F48">
                    <w:pPr>
                      <w:shd w:val="clear" w:color="auto" w:fill="00698F" w:themeFill="accent4"/>
                      <w:jc w:val="center"/>
                      <w:rPr>
                        <w:color w:val="C3C6C8" w:themeColor="background1"/>
                      </w:rPr>
                    </w:pPr>
                  </w:p>
                </w:txbxContent>
              </v:textbox>
              <w10:wrap anchorx="page"/>
            </v:rect>
          </w:pict>
        </mc:Fallback>
      </mc:AlternateContent>
    </w:r>
  </w:p>
  <w:p w14:paraId="0AFFD991" w14:textId="77777777" w:rsidR="005E09D0" w:rsidRPr="00624F48" w:rsidRDefault="005E09D0"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41" behindDoc="1" locked="0" layoutInCell="1" allowOverlap="1" wp14:anchorId="261945B8" wp14:editId="32947D4F">
          <wp:simplePos x="0" y="0"/>
          <wp:positionH relativeFrom="margin">
            <wp:align>left</wp:align>
          </wp:positionH>
          <wp:positionV relativeFrom="page">
            <wp:posOffset>355600</wp:posOffset>
          </wp:positionV>
          <wp:extent cx="2322195" cy="393065"/>
          <wp:effectExtent l="0" t="0" r="1905" b="6985"/>
          <wp:wrapNone/>
          <wp:docPr id="1412033535" name="Picture 141203353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4A3691" w14:textId="77777777" w:rsidR="005E09D0" w:rsidRPr="007B24DE" w:rsidRDefault="005E09D0" w:rsidP="004043EB">
    <w:pPr>
      <w:tabs>
        <w:tab w:val="left" w:pos="2655"/>
      </w:tabs>
      <w:spacing w:after="120" w:line="264" w:lineRule="auto"/>
      <w:rPr>
        <w:rFonts w:eastAsiaTheme="majorEastAsia"/>
        <w:sz w:val="20"/>
        <w:szCs w:val="20"/>
      </w:rPr>
    </w:pPr>
    <w:r>
      <w:rPr>
        <w:rFonts w:eastAsiaTheme="majorEastAsia"/>
        <w:sz w:val="20"/>
        <w:szCs w:val="20"/>
      </w:rPr>
      <w:tab/>
    </w:r>
  </w:p>
  <w:p w14:paraId="7E1C1690" w14:textId="77777777" w:rsidR="005E09D0" w:rsidRDefault="005E09D0"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42" behindDoc="0" locked="0" layoutInCell="1" allowOverlap="1" wp14:anchorId="059814E6" wp14:editId="163EA137">
              <wp:simplePos x="0" y="0"/>
              <wp:positionH relativeFrom="margin">
                <wp:align>right</wp:align>
              </wp:positionH>
              <wp:positionV relativeFrom="paragraph">
                <wp:posOffset>75133</wp:posOffset>
              </wp:positionV>
              <wp:extent cx="8361273" cy="0"/>
              <wp:effectExtent l="0" t="0" r="0" b="0"/>
              <wp:wrapNone/>
              <wp:docPr id="126572007" name="Straight Connector 126572007"/>
              <wp:cNvGraphicFramePr/>
              <a:graphic xmlns:a="http://schemas.openxmlformats.org/drawingml/2006/main">
                <a:graphicData uri="http://schemas.microsoft.com/office/word/2010/wordprocessingShape">
                  <wps:wsp>
                    <wps:cNvCnPr/>
                    <wps:spPr>
                      <a:xfrm flipV="1">
                        <a:off x="0" y="0"/>
                        <a:ext cx="8361273"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37FB631" id="Straight Connector 126572007" o:spid="_x0000_s1026" style="position:absolute;flip:y;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07.15pt,5.9pt" to="1265.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" strokecolor="#bfbfbf" strokeweight=".5pt">
              <v:stroke joinstyle="miter"/>
              <w10:wrap anchorx="margin"/>
            </v:line>
          </w:pict>
        </mc:Fallback>
      </mc:AlternateContent>
    </w:r>
  </w:p>
  <w:p w14:paraId="169A93DE" w14:textId="77777777" w:rsidR="005E09D0" w:rsidRDefault="005E0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271C07" w14:textId="77777777" w:rsidR="005E09D0" w:rsidRPr="007B24DE" w:rsidRDefault="005E09D0"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43" behindDoc="0" locked="0" layoutInCell="1" allowOverlap="1" wp14:anchorId="056DF70D" wp14:editId="66AB5AD4">
              <wp:simplePos x="0" y="0"/>
              <wp:positionH relativeFrom="page">
                <wp:posOffset>4664075</wp:posOffset>
              </wp:positionH>
              <wp:positionV relativeFrom="paragraph">
                <wp:posOffset>53975</wp:posOffset>
              </wp:positionV>
              <wp:extent cx="3044952" cy="548640"/>
              <wp:effectExtent l="0" t="0" r="3175" b="3810"/>
              <wp:wrapNone/>
              <wp:docPr id="664541657" name="Rectangle 664541657"/>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563F55BC" w14:textId="77777777" w:rsidR="005E09D0" w:rsidRPr="0078339D" w:rsidRDefault="005E09D0" w:rsidP="00624F48">
                          <w:pPr>
                            <w:pStyle w:val="BodyText"/>
                            <w:shd w:val="clear" w:color="auto" w:fill="00698F" w:themeFill="accent4"/>
                            <w:rPr>
                              <w:rFonts w:ascii="Arial" w:hAnsi="Arial" w:cs="Arial"/>
                              <w:b/>
                            </w:rPr>
                          </w:pPr>
                          <w:r w:rsidRPr="00313ABD">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56C8E75C" w14:textId="77777777" w:rsidR="005E09D0" w:rsidRPr="00557ECC" w:rsidRDefault="005E09D0"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6DF70D" id="Rectangle 664541657" o:spid="_x0000_s1033" style="position:absolute;margin-left:367.25pt;margin-top:4.25pt;width:239.75pt;height:43.2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" fillcolor="#00698f [3207]" stroked="f" strokeweight=".5pt">
              <v:textbox inset=",7.2pt,,7.2pt">
                <w:txbxContent>
                  <w:p w14:paraId="563F55BC" w14:textId="77777777" w:rsidR="005E09D0" w:rsidRPr="0078339D" w:rsidRDefault="005E09D0" w:rsidP="00624F48">
                    <w:pPr>
                      <w:pStyle w:val="BodyText"/>
                      <w:shd w:val="clear" w:color="auto" w:fill="00698F" w:themeFill="accent4"/>
                      <w:rPr>
                        <w:rFonts w:ascii="Arial" w:hAnsi="Arial" w:cs="Arial"/>
                        <w:b/>
                      </w:rPr>
                    </w:pPr>
                    <w:r w:rsidRPr="00313ABD">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56C8E75C" w14:textId="77777777" w:rsidR="005E09D0" w:rsidRPr="00557ECC" w:rsidRDefault="005E09D0" w:rsidP="00624F48">
                    <w:pPr>
                      <w:shd w:val="clear" w:color="auto" w:fill="00698F" w:themeFill="accent4"/>
                      <w:jc w:val="center"/>
                      <w:rPr>
                        <w:color w:val="C3C6C8" w:themeColor="background1"/>
                      </w:rPr>
                    </w:pPr>
                  </w:p>
                </w:txbxContent>
              </v:textbox>
              <w10:wrap anchorx="page"/>
            </v:rect>
          </w:pict>
        </mc:Fallback>
      </mc:AlternateContent>
    </w:r>
  </w:p>
  <w:p w14:paraId="2C6B07E5" w14:textId="77777777" w:rsidR="005E09D0" w:rsidRPr="00624F48" w:rsidRDefault="005E09D0"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44" behindDoc="1" locked="0" layoutInCell="1" allowOverlap="1" wp14:anchorId="56C85E31" wp14:editId="5FD25C35">
          <wp:simplePos x="0" y="0"/>
          <wp:positionH relativeFrom="margin">
            <wp:align>left</wp:align>
          </wp:positionH>
          <wp:positionV relativeFrom="page">
            <wp:posOffset>355600</wp:posOffset>
          </wp:positionV>
          <wp:extent cx="2322195" cy="393065"/>
          <wp:effectExtent l="0" t="0" r="1905" b="6985"/>
          <wp:wrapNone/>
          <wp:docPr id="749670272" name="Picture 74967027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1A9D62" w14:textId="77777777" w:rsidR="005E09D0" w:rsidRPr="007B24DE" w:rsidRDefault="005E09D0" w:rsidP="004043EB">
    <w:pPr>
      <w:tabs>
        <w:tab w:val="left" w:pos="2655"/>
      </w:tabs>
      <w:spacing w:after="120" w:line="264" w:lineRule="auto"/>
      <w:rPr>
        <w:rFonts w:eastAsiaTheme="majorEastAsia"/>
        <w:sz w:val="20"/>
        <w:szCs w:val="20"/>
      </w:rPr>
    </w:pPr>
    <w:r>
      <w:rPr>
        <w:rFonts w:eastAsiaTheme="majorEastAsia"/>
        <w:sz w:val="20"/>
        <w:szCs w:val="20"/>
      </w:rPr>
      <w:tab/>
    </w:r>
  </w:p>
  <w:p w14:paraId="15146D21" w14:textId="77777777" w:rsidR="005E09D0" w:rsidRDefault="005E09D0"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45" behindDoc="0" locked="0" layoutInCell="1" allowOverlap="1" wp14:anchorId="2428585D" wp14:editId="3AD2ABF8">
              <wp:simplePos x="0" y="0"/>
              <wp:positionH relativeFrom="margin">
                <wp:posOffset>-152400</wp:posOffset>
              </wp:positionH>
              <wp:positionV relativeFrom="paragraph">
                <wp:posOffset>77470</wp:posOffset>
              </wp:positionV>
              <wp:extent cx="6426679" cy="0"/>
              <wp:effectExtent l="0" t="0" r="25400" b="19050"/>
              <wp:wrapNone/>
              <wp:docPr id="1399463167" name="Straight Connector 1399463167"/>
              <wp:cNvGraphicFramePr/>
              <a:graphic xmlns:a="http://schemas.openxmlformats.org/drawingml/2006/main">
                <a:graphicData uri="http://schemas.microsoft.com/office/word/2010/wordprocessingShape">
                  <wps:wsp>
                    <wps:cNvCnPr/>
                    <wps:spPr>
                      <a:xfrm flipV="1">
                        <a:off x="0" y="0"/>
                        <a:ext cx="6426679"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line w14:anchorId="7811FC11" id="Straight Connector 1399463167" o:spid="_x0000_s1026" style="position:absolute;flip:y;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2pt,6.1pt" to="494.0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" strokecolor="#bfbfbf" strokeweight=".5pt">
              <v:stroke joinstyle="miter"/>
              <w10:wrap anchorx="margin"/>
            </v:line>
          </w:pict>
        </mc:Fallback>
      </mc:AlternateContent>
    </w:r>
  </w:p>
  <w:p w14:paraId="4BAB4B20" w14:textId="77777777" w:rsidR="005E09D0" w:rsidRDefault="005E0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4E3894" w14:textId="77777777" w:rsidR="00264BBA" w:rsidRPr="007B24DE" w:rsidRDefault="00264BBA"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46" behindDoc="0" locked="0" layoutInCell="1" allowOverlap="1" wp14:anchorId="0E48B92C" wp14:editId="345DC755">
              <wp:simplePos x="0" y="0"/>
              <wp:positionH relativeFrom="page">
                <wp:posOffset>6931025</wp:posOffset>
              </wp:positionH>
              <wp:positionV relativeFrom="paragraph">
                <wp:posOffset>53975</wp:posOffset>
              </wp:positionV>
              <wp:extent cx="3044952" cy="548640"/>
              <wp:effectExtent l="0" t="0" r="3175" b="3810"/>
              <wp:wrapNone/>
              <wp:docPr id="246932583" name="Rectangle 246932583"/>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5F275395" w14:textId="77777777" w:rsidR="00264BBA" w:rsidRPr="0078339D" w:rsidRDefault="00264BBA" w:rsidP="00624F48">
                          <w:pPr>
                            <w:pStyle w:val="BodyText"/>
                            <w:shd w:val="clear" w:color="auto" w:fill="00698F" w:themeFill="accent4"/>
                            <w:rPr>
                              <w:rFonts w:ascii="Arial" w:hAnsi="Arial" w:cs="Arial"/>
                              <w:b/>
                            </w:rPr>
                          </w:pPr>
                          <w:r w:rsidRPr="00915B91">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02BE7531" w14:textId="77777777" w:rsidR="00264BBA" w:rsidRPr="00557ECC" w:rsidRDefault="00264BBA"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8B92C" id="Rectangle 246932583" o:spid="_x0000_s1034" style="position:absolute;margin-left:545.75pt;margin-top:4.25pt;width:239.75pt;height:43.2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" fillcolor="#00698f [3207]" stroked="f" strokeweight=".5pt">
              <v:textbox inset=",7.2pt,,7.2pt">
                <w:txbxContent>
                  <w:p w14:paraId="5F275395" w14:textId="77777777" w:rsidR="00264BBA" w:rsidRPr="0078339D" w:rsidRDefault="00264BBA" w:rsidP="00624F48">
                    <w:pPr>
                      <w:pStyle w:val="BodyText"/>
                      <w:shd w:val="clear" w:color="auto" w:fill="00698F" w:themeFill="accent4"/>
                      <w:rPr>
                        <w:rFonts w:ascii="Arial" w:hAnsi="Arial" w:cs="Arial"/>
                        <w:b/>
                      </w:rPr>
                    </w:pPr>
                    <w:r w:rsidRPr="00915B91">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02BE7531" w14:textId="77777777" w:rsidR="00264BBA" w:rsidRPr="00557ECC" w:rsidRDefault="00264BBA" w:rsidP="00624F48">
                    <w:pPr>
                      <w:shd w:val="clear" w:color="auto" w:fill="00698F" w:themeFill="accent4"/>
                      <w:jc w:val="center"/>
                      <w:rPr>
                        <w:color w:val="C3C6C8" w:themeColor="background1"/>
                      </w:rPr>
                    </w:pPr>
                  </w:p>
                </w:txbxContent>
              </v:textbox>
              <w10:wrap anchorx="page"/>
            </v:rect>
          </w:pict>
        </mc:Fallback>
      </mc:AlternateContent>
    </w:r>
  </w:p>
  <w:p w14:paraId="48DD72A3" w14:textId="77777777" w:rsidR="00264BBA" w:rsidRPr="00624F48" w:rsidRDefault="00264BBA"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47" behindDoc="1" locked="0" layoutInCell="1" allowOverlap="1" wp14:anchorId="3DA8F843" wp14:editId="16490087">
          <wp:simplePos x="0" y="0"/>
          <wp:positionH relativeFrom="margin">
            <wp:align>left</wp:align>
          </wp:positionH>
          <wp:positionV relativeFrom="page">
            <wp:posOffset>355600</wp:posOffset>
          </wp:positionV>
          <wp:extent cx="2322195" cy="393065"/>
          <wp:effectExtent l="0" t="0" r="1905" b="6985"/>
          <wp:wrapNone/>
          <wp:docPr id="1393474035" name="Picture 139347403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83AE34" w14:textId="77777777" w:rsidR="00264BBA" w:rsidRPr="007B24DE" w:rsidRDefault="00264BBA" w:rsidP="004043EB">
    <w:pPr>
      <w:tabs>
        <w:tab w:val="left" w:pos="2655"/>
      </w:tabs>
      <w:spacing w:after="120" w:line="264" w:lineRule="auto"/>
      <w:rPr>
        <w:rFonts w:eastAsiaTheme="majorEastAsia"/>
        <w:sz w:val="20"/>
        <w:szCs w:val="20"/>
      </w:rPr>
    </w:pPr>
    <w:r>
      <w:rPr>
        <w:rFonts w:eastAsiaTheme="majorEastAsia"/>
        <w:sz w:val="20"/>
        <w:szCs w:val="20"/>
      </w:rPr>
      <w:tab/>
    </w:r>
  </w:p>
  <w:p w14:paraId="40BEFCAC" w14:textId="77777777" w:rsidR="00264BBA" w:rsidRDefault="00264BBA"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48" behindDoc="0" locked="0" layoutInCell="1" allowOverlap="1" wp14:anchorId="09A5FAE3" wp14:editId="0CDE8A3C">
              <wp:simplePos x="0" y="0"/>
              <wp:positionH relativeFrom="margin">
                <wp:align>right</wp:align>
              </wp:positionH>
              <wp:positionV relativeFrom="paragraph">
                <wp:posOffset>75132</wp:posOffset>
              </wp:positionV>
              <wp:extent cx="8353958" cy="0"/>
              <wp:effectExtent l="0" t="0" r="0" b="0"/>
              <wp:wrapNone/>
              <wp:docPr id="370141354" name="Straight Connector 370141354"/>
              <wp:cNvGraphicFramePr/>
              <a:graphic xmlns:a="http://schemas.openxmlformats.org/drawingml/2006/main">
                <a:graphicData uri="http://schemas.microsoft.com/office/word/2010/wordprocessingShape">
                  <wps:wsp>
                    <wps:cNvCnPr/>
                    <wps:spPr>
                      <a:xfrm>
                        <a:off x="0" y="0"/>
                        <a:ext cx="8353958"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72E43C" id="Straight Connector 370141354" o:spid="_x0000_s1026" style="position:absolute;z-index:251658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06.6pt,5.9pt" to="1264.4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" strokecolor="#bfbfbf" strokeweight=".5pt">
              <v:stroke joinstyle="miter"/>
              <w10:wrap anchorx="margin"/>
            </v:line>
          </w:pict>
        </mc:Fallback>
      </mc:AlternateContent>
    </w:r>
  </w:p>
  <w:p w14:paraId="79F02F05" w14:textId="77777777" w:rsidR="00264BBA" w:rsidRDefault="00264BBA"/>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E132A8" w14:textId="77777777" w:rsidR="00264BBA" w:rsidRPr="007B24DE" w:rsidRDefault="00264BBA" w:rsidP="004043EB">
    <w:pPr>
      <w:spacing w:after="0" w:line="360" w:lineRule="auto"/>
      <w:rPr>
        <w:rFonts w:ascii="Arial" w:eastAsiaTheme="majorEastAsia" w:hAnsi="Arial" w:cstheme="majorBidi"/>
        <w:snapToGrid w:val="0"/>
        <w:color w:val="009ABF"/>
        <w:sz w:val="24"/>
        <w:szCs w:val="12"/>
      </w:rPr>
    </w:pPr>
    <w:r w:rsidRPr="007B24DE">
      <w:rPr>
        <w:rFonts w:eastAsiaTheme="minorEastAsia"/>
        <w:noProof/>
        <w:color w:val="009ABF"/>
        <w:sz w:val="20"/>
        <w:szCs w:val="24"/>
      </w:rPr>
      <mc:AlternateContent>
        <mc:Choice Requires="wps">
          <w:drawing>
            <wp:anchor distT="0" distB="0" distL="114300" distR="114300" simplePos="0" relativeHeight="251658249" behindDoc="0" locked="0" layoutInCell="1" allowOverlap="1" wp14:anchorId="53159048" wp14:editId="7D4D054D">
              <wp:simplePos x="0" y="0"/>
              <wp:positionH relativeFrom="page">
                <wp:posOffset>4664075</wp:posOffset>
              </wp:positionH>
              <wp:positionV relativeFrom="paragraph">
                <wp:posOffset>53975</wp:posOffset>
              </wp:positionV>
              <wp:extent cx="3044952" cy="548640"/>
              <wp:effectExtent l="0" t="0" r="3175" b="3810"/>
              <wp:wrapNone/>
              <wp:docPr id="1101472638" name="Rectangle 1101472638"/>
              <wp:cNvGraphicFramePr/>
              <a:graphic xmlns:a="http://schemas.openxmlformats.org/drawingml/2006/main">
                <a:graphicData uri="http://schemas.microsoft.com/office/word/2010/wordprocessingShape">
                  <wps:wsp>
                    <wps:cNvSpPr/>
                    <wps:spPr>
                      <a:xfrm>
                        <a:off x="0" y="0"/>
                        <a:ext cx="3044952" cy="548640"/>
                      </a:xfrm>
                      <a:prstGeom prst="rect">
                        <a:avLst/>
                      </a:prstGeom>
                      <a:solidFill>
                        <a:schemeClr val="accent4"/>
                      </a:solidFill>
                      <a:ln w="6350" cap="flat" cmpd="sng" algn="ctr">
                        <a:noFill/>
                        <a:prstDash val="solid"/>
                        <a:miter lim="800000"/>
                      </a:ln>
                      <a:effectLst/>
                    </wps:spPr>
                    <wps:txbx>
                      <w:txbxContent>
                        <w:p w14:paraId="6BE9EFB3" w14:textId="77777777" w:rsidR="00264BBA" w:rsidRPr="0078339D" w:rsidRDefault="00264BBA" w:rsidP="00624F48">
                          <w:pPr>
                            <w:pStyle w:val="BodyText"/>
                            <w:shd w:val="clear" w:color="auto" w:fill="00698F" w:themeFill="accent4"/>
                            <w:rPr>
                              <w:rFonts w:ascii="Arial" w:hAnsi="Arial" w:cs="Arial"/>
                              <w:b/>
                            </w:rPr>
                          </w:pPr>
                          <w:r w:rsidRPr="00915B91">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089D8796" w14:textId="77777777" w:rsidR="00264BBA" w:rsidRPr="00557ECC" w:rsidRDefault="00264BBA" w:rsidP="00624F48">
                          <w:pPr>
                            <w:shd w:val="clear" w:color="auto" w:fill="00698F" w:themeFill="accent4"/>
                            <w:jc w:val="center"/>
                            <w:rPr>
                              <w:color w:val="C3C6C8" w:themeColor="background1"/>
                            </w:rPr>
                          </w:pPr>
                        </w:p>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159048" id="Rectangle 1101472638" o:spid="_x0000_s1035" style="position:absolute;margin-left:367.25pt;margin-top:4.25pt;width:239.75pt;height:43.2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" fillcolor="#00698f [3207]" stroked="f" strokeweight=".5pt">
              <v:textbox inset=",7.2pt,,7.2pt">
                <w:txbxContent>
                  <w:p w14:paraId="6BE9EFB3" w14:textId="77777777" w:rsidR="00264BBA" w:rsidRPr="0078339D" w:rsidRDefault="00264BBA" w:rsidP="00624F48">
                    <w:pPr>
                      <w:pStyle w:val="BodyText"/>
                      <w:shd w:val="clear" w:color="auto" w:fill="00698F" w:themeFill="accent4"/>
                      <w:rPr>
                        <w:rFonts w:ascii="Arial" w:hAnsi="Arial" w:cs="Arial"/>
                        <w:b/>
                      </w:rPr>
                    </w:pPr>
                    <w:r w:rsidRPr="00915B91">
                      <w:rPr>
                        <w:rFonts w:ascii="Arial" w:hAnsi="Arial" w:cs="Arial"/>
                        <w:b/>
                        <w:color w:val="FFFFFF"/>
                      </w:rPr>
                      <w:t xml:space="preserve">In Vitro Diagnostic (IVD) Encoded Test Result Data Validation and Quality </w:t>
                    </w:r>
                    <w:r w:rsidRPr="0078339D">
                      <w:rPr>
                        <w:rFonts w:ascii="Arial" w:hAnsi="Arial" w:cs="Arial"/>
                        <w:b/>
                      </w:rPr>
                      <w:t>Improvement Project</w:t>
                    </w:r>
                  </w:p>
                  <w:p w14:paraId="089D8796" w14:textId="77777777" w:rsidR="00264BBA" w:rsidRPr="00557ECC" w:rsidRDefault="00264BBA" w:rsidP="00624F48">
                    <w:pPr>
                      <w:shd w:val="clear" w:color="auto" w:fill="00698F" w:themeFill="accent4"/>
                      <w:jc w:val="center"/>
                      <w:rPr>
                        <w:color w:val="C3C6C8" w:themeColor="background1"/>
                      </w:rPr>
                    </w:pPr>
                  </w:p>
                </w:txbxContent>
              </v:textbox>
              <w10:wrap anchorx="page"/>
            </v:rect>
          </w:pict>
        </mc:Fallback>
      </mc:AlternateContent>
    </w:r>
  </w:p>
  <w:p w14:paraId="0961439B" w14:textId="77777777" w:rsidR="00264BBA" w:rsidRPr="00624F48" w:rsidRDefault="00264BBA" w:rsidP="004043EB">
    <w:pPr>
      <w:spacing w:after="120" w:line="264" w:lineRule="auto"/>
      <w:rPr>
        <w:rFonts w:eastAsiaTheme="majorEastAsia"/>
        <w:b/>
      </w:rPr>
    </w:pPr>
    <w:r w:rsidRPr="007B24DE">
      <w:rPr>
        <w:rFonts w:eastAsiaTheme="minorEastAsia"/>
        <w:noProof/>
        <w:color w:val="009ABF"/>
        <w:sz w:val="20"/>
        <w:szCs w:val="24"/>
      </w:rPr>
      <w:drawing>
        <wp:anchor distT="0" distB="0" distL="114300" distR="114300" simplePos="0" relativeHeight="251658250" behindDoc="1" locked="0" layoutInCell="1" allowOverlap="1" wp14:anchorId="0ED15170" wp14:editId="0F2DEFE9">
          <wp:simplePos x="0" y="0"/>
          <wp:positionH relativeFrom="margin">
            <wp:align>left</wp:align>
          </wp:positionH>
          <wp:positionV relativeFrom="page">
            <wp:posOffset>355600</wp:posOffset>
          </wp:positionV>
          <wp:extent cx="2322195" cy="393065"/>
          <wp:effectExtent l="0" t="0" r="1905" b="6985"/>
          <wp:wrapNone/>
          <wp:docPr id="1361697825" name="Picture 1361697825"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Shape&#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22195" cy="393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B4C6D" w14:textId="77777777" w:rsidR="00264BBA" w:rsidRPr="007B24DE" w:rsidRDefault="00264BBA" w:rsidP="004043EB">
    <w:pPr>
      <w:tabs>
        <w:tab w:val="left" w:pos="2655"/>
      </w:tabs>
      <w:spacing w:after="120" w:line="264" w:lineRule="auto"/>
      <w:rPr>
        <w:rFonts w:eastAsiaTheme="majorEastAsia"/>
        <w:sz w:val="20"/>
        <w:szCs w:val="20"/>
      </w:rPr>
    </w:pPr>
    <w:r>
      <w:rPr>
        <w:rFonts w:eastAsiaTheme="majorEastAsia"/>
        <w:sz w:val="20"/>
        <w:szCs w:val="20"/>
      </w:rPr>
      <w:tab/>
    </w:r>
  </w:p>
  <w:p w14:paraId="765FD77F" w14:textId="77777777" w:rsidR="00264BBA" w:rsidRDefault="00264BBA" w:rsidP="004043EB">
    <w:pPr>
      <w:spacing w:after="0" w:line="360" w:lineRule="auto"/>
    </w:pPr>
    <w:r w:rsidRPr="00F848AD">
      <w:rPr>
        <w:rFonts w:ascii="Calibri" w:eastAsia="Times New Roman" w:hAnsi="Calibri" w:cs="Times New Roman"/>
        <w:noProof/>
        <w:color w:val="009ABF"/>
        <w:sz w:val="20"/>
        <w:szCs w:val="24"/>
      </w:rPr>
      <mc:AlternateContent>
        <mc:Choice Requires="wps">
          <w:drawing>
            <wp:anchor distT="0" distB="0" distL="114300" distR="114300" simplePos="0" relativeHeight="251658251" behindDoc="0" locked="0" layoutInCell="1" allowOverlap="1" wp14:anchorId="7059764A" wp14:editId="331BDB03">
              <wp:simplePos x="0" y="0"/>
              <wp:positionH relativeFrom="margin">
                <wp:posOffset>-152400</wp:posOffset>
              </wp:positionH>
              <wp:positionV relativeFrom="paragraph">
                <wp:posOffset>77470</wp:posOffset>
              </wp:positionV>
              <wp:extent cx="6426679" cy="0"/>
              <wp:effectExtent l="0" t="0" r="25400" b="19050"/>
              <wp:wrapNone/>
              <wp:docPr id="1968454652" name="Straight Connector 1968454652"/>
              <wp:cNvGraphicFramePr/>
              <a:graphic xmlns:a="http://schemas.openxmlformats.org/drawingml/2006/main">
                <a:graphicData uri="http://schemas.microsoft.com/office/word/2010/wordprocessingShape">
                  <wps:wsp>
                    <wps:cNvCnPr/>
                    <wps:spPr>
                      <a:xfrm flipV="1">
                        <a:off x="0" y="0"/>
                        <a:ext cx="6426679" cy="0"/>
                      </a:xfrm>
                      <a:prstGeom prst="line">
                        <a:avLst/>
                      </a:prstGeom>
                      <a:noFill/>
                      <a:ln w="6350" cap="flat" cmpd="sng" algn="ctr">
                        <a:solidFill>
                          <a:sysClr val="window" lastClr="FFFFFF">
                            <a:lumMod val="7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7A4243B">
            <v:line id="Straight Connector 128850119" style="position:absolute;flip:y;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strokecolor="#bfbfbf" strokeweight=".5pt" from="-12pt,6.1pt" to="494.05pt,6.1pt" w14:anchorId="614BB3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">
              <v:stroke joinstyle="miter"/>
              <w10:wrap anchorx="margin"/>
            </v:line>
          </w:pict>
        </mc:Fallback>
      </mc:AlternateContent>
    </w:r>
  </w:p>
  <w:p w14:paraId="55DB2489" w14:textId="77777777" w:rsidR="0043045A" w:rsidRDefault="0043045A"/>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31E2B"/>
    <w:multiLevelType w:val="multilevel"/>
    <w:tmpl w:val="FFFAD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5402E0"/>
    <w:multiLevelType w:val="hybridMultilevel"/>
    <w:tmpl w:val="001816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7945DFF"/>
    <w:multiLevelType w:val="hybridMultilevel"/>
    <w:tmpl w:val="AA868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F8209C"/>
    <w:multiLevelType w:val="hybridMultilevel"/>
    <w:tmpl w:val="E3EC72FE"/>
    <w:lvl w:ilvl="0" w:tplc="FFFFFFFF">
      <w:start w:val="1"/>
      <w:numFmt w:val="bullet"/>
      <w:lvlText w:val=""/>
      <w:lvlJc w:val="left"/>
      <w:pPr>
        <w:ind w:left="72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A92421E"/>
    <w:multiLevelType w:val="hybridMultilevel"/>
    <w:tmpl w:val="6576D8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BB26D2"/>
    <w:multiLevelType w:val="hybridMultilevel"/>
    <w:tmpl w:val="158AD27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BFE52F1"/>
    <w:multiLevelType w:val="hybridMultilevel"/>
    <w:tmpl w:val="4E42923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0E713D1E"/>
    <w:multiLevelType w:val="hybridMultilevel"/>
    <w:tmpl w:val="B4500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3C3414"/>
    <w:multiLevelType w:val="hybridMultilevel"/>
    <w:tmpl w:val="F738D03E"/>
    <w:lvl w:ilvl="0" w:tplc="681ED918">
      <w:start w:val="1"/>
      <w:numFmt w:val="decimal"/>
      <w:lvlText w:val="%1."/>
      <w:lvlJc w:val="left"/>
      <w:pPr>
        <w:ind w:left="1080" w:hanging="360"/>
      </w:pPr>
      <w:rPr>
        <w:rFonts w:hint="default"/>
        <w:strike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F8E77A5"/>
    <w:multiLevelType w:val="hybridMultilevel"/>
    <w:tmpl w:val="9266B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DC0AF1"/>
    <w:multiLevelType w:val="hybridMultilevel"/>
    <w:tmpl w:val="741A6C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02F0277"/>
    <w:multiLevelType w:val="multilevel"/>
    <w:tmpl w:val="6C08E04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103D39C7"/>
    <w:multiLevelType w:val="hybridMultilevel"/>
    <w:tmpl w:val="B302CB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084325"/>
    <w:multiLevelType w:val="hybridMultilevel"/>
    <w:tmpl w:val="41245C34"/>
    <w:lvl w:ilvl="0" w:tplc="092C2E2E">
      <w:start w:val="1"/>
      <w:numFmt w:val="bullet"/>
      <w:lvlText w:val="o"/>
      <w:lvlJc w:val="left"/>
      <w:pPr>
        <w:ind w:left="2160" w:hanging="360"/>
      </w:pPr>
      <w:rPr>
        <w:rFonts w:ascii="Courier New" w:hAnsi="Courier New"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14960175"/>
    <w:multiLevelType w:val="hybridMultilevel"/>
    <w:tmpl w:val="4420D344"/>
    <w:lvl w:ilvl="0" w:tplc="04090001">
      <w:start w:val="1"/>
      <w:numFmt w:val="bullet"/>
      <w:lvlText w:val=""/>
      <w:lvlJc w:val="left"/>
      <w:pPr>
        <w:ind w:left="1008" w:hanging="360"/>
      </w:pPr>
      <w:rPr>
        <w:rFonts w:ascii="Symbol" w:hAnsi="Symbol"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15" w15:restartNumberingAfterBreak="0">
    <w:nsid w:val="15B458FF"/>
    <w:multiLevelType w:val="hybridMultilevel"/>
    <w:tmpl w:val="E670084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183B38D8"/>
    <w:multiLevelType w:val="hybridMultilevel"/>
    <w:tmpl w:val="D57C9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A130F98"/>
    <w:multiLevelType w:val="hybridMultilevel"/>
    <w:tmpl w:val="FA10EF0E"/>
    <w:lvl w:ilvl="0" w:tplc="FFFFFFFF">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1C5062DF"/>
    <w:multiLevelType w:val="hybridMultilevel"/>
    <w:tmpl w:val="88023A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C691822"/>
    <w:multiLevelType w:val="multilevel"/>
    <w:tmpl w:val="427CF436"/>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0" w15:restartNumberingAfterBreak="0">
    <w:nsid w:val="1E0B4EA5"/>
    <w:multiLevelType w:val="hybridMultilevel"/>
    <w:tmpl w:val="928A54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17E0A88"/>
    <w:multiLevelType w:val="hybridMultilevel"/>
    <w:tmpl w:val="72F6BB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21963828"/>
    <w:multiLevelType w:val="hybridMultilevel"/>
    <w:tmpl w:val="4EB4BB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22265099"/>
    <w:multiLevelType w:val="hybridMultilevel"/>
    <w:tmpl w:val="C0424C80"/>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24B4B46"/>
    <w:multiLevelType w:val="hybridMultilevel"/>
    <w:tmpl w:val="3BBC2BC2"/>
    <w:lvl w:ilvl="0" w:tplc="04090003">
      <w:start w:val="1"/>
      <w:numFmt w:val="bullet"/>
      <w:lvlText w:val="o"/>
      <w:lvlJc w:val="left"/>
      <w:pPr>
        <w:ind w:left="1800" w:hanging="360"/>
      </w:pPr>
      <w:rPr>
        <w:rFonts w:ascii="Courier New" w:hAnsi="Courier New" w:cs="Courier New"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5" w15:restartNumberingAfterBreak="0">
    <w:nsid w:val="22C771B4"/>
    <w:multiLevelType w:val="hybridMultilevel"/>
    <w:tmpl w:val="469E8F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50619F5"/>
    <w:multiLevelType w:val="hybridMultilevel"/>
    <w:tmpl w:val="DFD218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254F04AF"/>
    <w:multiLevelType w:val="hybridMultilevel"/>
    <w:tmpl w:val="57A6E98A"/>
    <w:lvl w:ilvl="0" w:tplc="E99CC55A">
      <w:start w:val="1"/>
      <w:numFmt w:val="decimal"/>
      <w:lvlText w:val="%1."/>
      <w:lvlJc w:val="left"/>
      <w:pPr>
        <w:ind w:left="1080" w:hanging="360"/>
      </w:pPr>
      <w:rPr>
        <w:rFonts w:hint="default"/>
        <w:sz w:val="20"/>
        <w:szCs w:val="2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25560727"/>
    <w:multiLevelType w:val="multilevel"/>
    <w:tmpl w:val="6CD0E3EA"/>
    <w:lvl w:ilvl="0">
      <w:start w:val="10"/>
      <w:numFmt w:val="decimal"/>
      <w:lvlText w:val="%1."/>
      <w:lvlJc w:val="left"/>
      <w:pPr>
        <w:ind w:left="900" w:hanging="360"/>
      </w:pPr>
      <w:rPr>
        <w:rFonts w:hint="default"/>
        <w:color w:val="009BBF"/>
      </w:rPr>
    </w:lvl>
    <w:lvl w:ilvl="1">
      <w:start w:val="1"/>
      <w:numFmt w:val="decimal"/>
      <w:isLgl/>
      <w:lvlText w:val="%1.%2"/>
      <w:lvlJc w:val="left"/>
      <w:pPr>
        <w:ind w:left="990" w:hanging="450"/>
      </w:pPr>
      <w:rPr>
        <w:rFonts w:ascii="Arial" w:hAnsi="Arial" w:cs="Arial" w:hint="default"/>
        <w:b/>
        <w:sz w:val="20"/>
        <w:szCs w:val="20"/>
      </w:rPr>
    </w:lvl>
    <w:lvl w:ilvl="2">
      <w:start w:val="1"/>
      <w:numFmt w:val="decimal"/>
      <w:isLgl/>
      <w:lvlText w:val="%1.%2.%3"/>
      <w:lvlJc w:val="left"/>
      <w:pPr>
        <w:ind w:left="1260" w:hanging="720"/>
      </w:pPr>
      <w:rPr>
        <w:rFonts w:hint="default"/>
        <w:b/>
      </w:rPr>
    </w:lvl>
    <w:lvl w:ilvl="3">
      <w:start w:val="1"/>
      <w:numFmt w:val="decimal"/>
      <w:isLgl/>
      <w:lvlText w:val="%1.%2.%3.%4"/>
      <w:lvlJc w:val="left"/>
      <w:pPr>
        <w:ind w:left="1260" w:hanging="720"/>
      </w:pPr>
      <w:rPr>
        <w:rFonts w:hint="default"/>
        <w:b/>
      </w:rPr>
    </w:lvl>
    <w:lvl w:ilvl="4">
      <w:start w:val="1"/>
      <w:numFmt w:val="decimal"/>
      <w:isLgl/>
      <w:lvlText w:val="%1.%2.%3.%4.%5"/>
      <w:lvlJc w:val="left"/>
      <w:pPr>
        <w:ind w:left="1620" w:hanging="1080"/>
      </w:pPr>
      <w:rPr>
        <w:rFonts w:hint="default"/>
        <w:b/>
      </w:rPr>
    </w:lvl>
    <w:lvl w:ilvl="5">
      <w:start w:val="1"/>
      <w:numFmt w:val="decimal"/>
      <w:isLgl/>
      <w:lvlText w:val="%1.%2.%3.%4.%5.%6"/>
      <w:lvlJc w:val="left"/>
      <w:pPr>
        <w:ind w:left="1620" w:hanging="1080"/>
      </w:pPr>
      <w:rPr>
        <w:rFonts w:hint="default"/>
        <w:b/>
      </w:rPr>
    </w:lvl>
    <w:lvl w:ilvl="6">
      <w:start w:val="1"/>
      <w:numFmt w:val="decimal"/>
      <w:isLgl/>
      <w:lvlText w:val="%1.%2.%3.%4.%5.%6.%7"/>
      <w:lvlJc w:val="left"/>
      <w:pPr>
        <w:ind w:left="1980" w:hanging="1440"/>
      </w:pPr>
      <w:rPr>
        <w:rFonts w:hint="default"/>
        <w:b/>
      </w:rPr>
    </w:lvl>
    <w:lvl w:ilvl="7">
      <w:start w:val="1"/>
      <w:numFmt w:val="decimal"/>
      <w:isLgl/>
      <w:lvlText w:val="%1.%2.%3.%4.%5.%6.%7.%8"/>
      <w:lvlJc w:val="left"/>
      <w:pPr>
        <w:ind w:left="1980" w:hanging="1440"/>
      </w:pPr>
      <w:rPr>
        <w:rFonts w:hint="default"/>
        <w:b/>
      </w:rPr>
    </w:lvl>
    <w:lvl w:ilvl="8">
      <w:start w:val="1"/>
      <w:numFmt w:val="decimal"/>
      <w:isLgl/>
      <w:lvlText w:val="%1.%2.%3.%4.%5.%6.%7.%8.%9"/>
      <w:lvlJc w:val="left"/>
      <w:pPr>
        <w:ind w:left="2340" w:hanging="1800"/>
      </w:pPr>
      <w:rPr>
        <w:rFonts w:hint="default"/>
        <w:b/>
      </w:rPr>
    </w:lvl>
  </w:abstractNum>
  <w:abstractNum w:abstractNumId="29" w15:restartNumberingAfterBreak="0">
    <w:nsid w:val="25C81F7F"/>
    <w:multiLevelType w:val="multilevel"/>
    <w:tmpl w:val="F1C48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70B1B72"/>
    <w:multiLevelType w:val="hybridMultilevel"/>
    <w:tmpl w:val="55FE5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7E70D43"/>
    <w:multiLevelType w:val="multilevel"/>
    <w:tmpl w:val="578AC6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8E212D7"/>
    <w:multiLevelType w:val="multilevel"/>
    <w:tmpl w:val="F11A2142"/>
    <w:lvl w:ilvl="0">
      <w:start w:val="4"/>
      <w:numFmt w:val="decimal"/>
      <w:lvlText w:val="%1"/>
      <w:lvlJc w:val="left"/>
      <w:pPr>
        <w:ind w:left="435" w:hanging="435"/>
      </w:pPr>
      <w:rPr>
        <w:rFonts w:hint="default"/>
      </w:rPr>
    </w:lvl>
    <w:lvl w:ilvl="1">
      <w:start w:val="7"/>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295D1666"/>
    <w:multiLevelType w:val="hybridMultilevel"/>
    <w:tmpl w:val="FFFFFFFF"/>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2B201997"/>
    <w:multiLevelType w:val="multilevel"/>
    <w:tmpl w:val="872AF04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2BFD48BE"/>
    <w:multiLevelType w:val="hybridMultilevel"/>
    <w:tmpl w:val="C7D000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2C0C0AA4"/>
    <w:multiLevelType w:val="hybridMultilevel"/>
    <w:tmpl w:val="A1326212"/>
    <w:lvl w:ilvl="0" w:tplc="04090003">
      <w:start w:val="1"/>
      <w:numFmt w:val="bullet"/>
      <w:lvlText w:val="o"/>
      <w:lvlJc w:val="left"/>
      <w:pPr>
        <w:ind w:left="1800" w:hanging="360"/>
      </w:pPr>
      <w:rPr>
        <w:rFonts w:ascii="Courier New" w:hAnsi="Courier New" w:cs="Courier New"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7" w15:restartNumberingAfterBreak="0">
    <w:nsid w:val="2EE00F13"/>
    <w:multiLevelType w:val="hybridMultilevel"/>
    <w:tmpl w:val="30627BDE"/>
    <w:lvl w:ilvl="0" w:tplc="04090001">
      <w:start w:val="1"/>
      <w:numFmt w:val="bullet"/>
      <w:lvlText w:val=""/>
      <w:lvlJc w:val="left"/>
      <w:pPr>
        <w:ind w:left="360" w:hanging="360"/>
      </w:pPr>
      <w:rPr>
        <w:rFonts w:ascii="Symbol" w:hAnsi="Symbol" w:hint="default"/>
      </w:rPr>
    </w:lvl>
    <w:lvl w:ilvl="1" w:tplc="FFFFFFFF">
      <w:start w:val="1"/>
      <w:numFmt w:val="bullet"/>
      <w:lvlText w:val="o"/>
      <w:lvlJc w:val="left"/>
      <w:pPr>
        <w:ind w:left="-360" w:hanging="360"/>
      </w:pPr>
      <w:rPr>
        <w:rFonts w:ascii="Courier New" w:hAnsi="Courier New" w:cs="Courier New" w:hint="default"/>
      </w:rPr>
    </w:lvl>
    <w:lvl w:ilvl="2" w:tplc="FFFFFFFF">
      <w:start w:val="1"/>
      <w:numFmt w:val="bullet"/>
      <w:lvlText w:val=""/>
      <w:lvlJc w:val="left"/>
      <w:pPr>
        <w:ind w:left="360" w:hanging="360"/>
      </w:pPr>
      <w:rPr>
        <w:rFonts w:ascii="Symbol" w:hAnsi="Symbol" w:hint="default"/>
      </w:rPr>
    </w:lvl>
    <w:lvl w:ilvl="3" w:tplc="FFFFFFFF" w:tentative="1">
      <w:start w:val="1"/>
      <w:numFmt w:val="bullet"/>
      <w:lvlText w:val=""/>
      <w:lvlJc w:val="left"/>
      <w:pPr>
        <w:ind w:left="1080" w:hanging="360"/>
      </w:pPr>
      <w:rPr>
        <w:rFonts w:ascii="Symbol" w:hAnsi="Symbol" w:hint="default"/>
      </w:rPr>
    </w:lvl>
    <w:lvl w:ilvl="4" w:tplc="FFFFFFFF" w:tentative="1">
      <w:start w:val="1"/>
      <w:numFmt w:val="bullet"/>
      <w:lvlText w:val="o"/>
      <w:lvlJc w:val="left"/>
      <w:pPr>
        <w:ind w:left="1800" w:hanging="360"/>
      </w:pPr>
      <w:rPr>
        <w:rFonts w:ascii="Courier New" w:hAnsi="Courier New" w:cs="Courier New" w:hint="default"/>
      </w:rPr>
    </w:lvl>
    <w:lvl w:ilvl="5" w:tplc="FFFFFFFF" w:tentative="1">
      <w:start w:val="1"/>
      <w:numFmt w:val="bullet"/>
      <w:lvlText w:val=""/>
      <w:lvlJc w:val="left"/>
      <w:pPr>
        <w:ind w:left="2520" w:hanging="360"/>
      </w:pPr>
      <w:rPr>
        <w:rFonts w:ascii="Wingdings" w:hAnsi="Wingdings" w:hint="default"/>
      </w:rPr>
    </w:lvl>
    <w:lvl w:ilvl="6" w:tplc="FFFFFFFF" w:tentative="1">
      <w:start w:val="1"/>
      <w:numFmt w:val="bullet"/>
      <w:lvlText w:val=""/>
      <w:lvlJc w:val="left"/>
      <w:pPr>
        <w:ind w:left="3240" w:hanging="360"/>
      </w:pPr>
      <w:rPr>
        <w:rFonts w:ascii="Symbol" w:hAnsi="Symbol" w:hint="default"/>
      </w:rPr>
    </w:lvl>
    <w:lvl w:ilvl="7" w:tplc="FFFFFFFF" w:tentative="1">
      <w:start w:val="1"/>
      <w:numFmt w:val="bullet"/>
      <w:lvlText w:val="o"/>
      <w:lvlJc w:val="left"/>
      <w:pPr>
        <w:ind w:left="3960" w:hanging="360"/>
      </w:pPr>
      <w:rPr>
        <w:rFonts w:ascii="Courier New" w:hAnsi="Courier New" w:cs="Courier New" w:hint="default"/>
      </w:rPr>
    </w:lvl>
    <w:lvl w:ilvl="8" w:tplc="FFFFFFFF" w:tentative="1">
      <w:start w:val="1"/>
      <w:numFmt w:val="bullet"/>
      <w:lvlText w:val=""/>
      <w:lvlJc w:val="left"/>
      <w:pPr>
        <w:ind w:left="4680" w:hanging="360"/>
      </w:pPr>
      <w:rPr>
        <w:rFonts w:ascii="Wingdings" w:hAnsi="Wingdings" w:hint="default"/>
      </w:rPr>
    </w:lvl>
  </w:abstractNum>
  <w:abstractNum w:abstractNumId="38" w15:restartNumberingAfterBreak="0">
    <w:nsid w:val="2F093A2D"/>
    <w:multiLevelType w:val="hybridMultilevel"/>
    <w:tmpl w:val="269E04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2F7A0FE8"/>
    <w:multiLevelType w:val="multilevel"/>
    <w:tmpl w:val="F672181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360"/>
        </w:tabs>
        <w:ind w:left="360" w:hanging="360"/>
      </w:pPr>
      <w:rPr>
        <w:rFonts w:ascii="Symbol" w:hAnsi="Symbol" w:hint="default"/>
        <w:sz w:val="20"/>
      </w:rPr>
    </w:lvl>
    <w:lvl w:ilvl="2" w:tentative="1">
      <w:start w:val="1"/>
      <w:numFmt w:val="bullet"/>
      <w:lvlText w:val=""/>
      <w:lvlJc w:val="left"/>
      <w:pPr>
        <w:tabs>
          <w:tab w:val="num" w:pos="1080"/>
        </w:tabs>
        <w:ind w:left="1080" w:hanging="360"/>
      </w:pPr>
      <w:rPr>
        <w:rFonts w:ascii="Symbol" w:hAnsi="Symbol" w:hint="default"/>
        <w:sz w:val="20"/>
      </w:rPr>
    </w:lvl>
    <w:lvl w:ilvl="3" w:tentative="1">
      <w:start w:val="1"/>
      <w:numFmt w:val="bullet"/>
      <w:lvlText w:val=""/>
      <w:lvlJc w:val="left"/>
      <w:pPr>
        <w:tabs>
          <w:tab w:val="num" w:pos="1800"/>
        </w:tabs>
        <w:ind w:left="1800" w:hanging="360"/>
      </w:pPr>
      <w:rPr>
        <w:rFonts w:ascii="Symbol" w:hAnsi="Symbol" w:hint="default"/>
        <w:sz w:val="20"/>
      </w:rPr>
    </w:lvl>
    <w:lvl w:ilvl="4" w:tentative="1">
      <w:start w:val="1"/>
      <w:numFmt w:val="bullet"/>
      <w:lvlText w:val=""/>
      <w:lvlJc w:val="left"/>
      <w:pPr>
        <w:tabs>
          <w:tab w:val="num" w:pos="2520"/>
        </w:tabs>
        <w:ind w:left="2520" w:hanging="360"/>
      </w:pPr>
      <w:rPr>
        <w:rFonts w:ascii="Symbol" w:hAnsi="Symbol" w:hint="default"/>
        <w:sz w:val="20"/>
      </w:rPr>
    </w:lvl>
    <w:lvl w:ilvl="5" w:tentative="1">
      <w:start w:val="1"/>
      <w:numFmt w:val="bullet"/>
      <w:lvlText w:val=""/>
      <w:lvlJc w:val="left"/>
      <w:pPr>
        <w:tabs>
          <w:tab w:val="num" w:pos="3240"/>
        </w:tabs>
        <w:ind w:left="3240" w:hanging="360"/>
      </w:pPr>
      <w:rPr>
        <w:rFonts w:ascii="Symbol" w:hAnsi="Symbol" w:hint="default"/>
        <w:sz w:val="20"/>
      </w:rPr>
    </w:lvl>
    <w:lvl w:ilvl="6" w:tentative="1">
      <w:start w:val="1"/>
      <w:numFmt w:val="bullet"/>
      <w:lvlText w:val=""/>
      <w:lvlJc w:val="left"/>
      <w:pPr>
        <w:tabs>
          <w:tab w:val="num" w:pos="3960"/>
        </w:tabs>
        <w:ind w:left="3960" w:hanging="360"/>
      </w:pPr>
      <w:rPr>
        <w:rFonts w:ascii="Symbol" w:hAnsi="Symbol" w:hint="default"/>
        <w:sz w:val="20"/>
      </w:rPr>
    </w:lvl>
    <w:lvl w:ilvl="7" w:tentative="1">
      <w:start w:val="1"/>
      <w:numFmt w:val="bullet"/>
      <w:lvlText w:val=""/>
      <w:lvlJc w:val="left"/>
      <w:pPr>
        <w:tabs>
          <w:tab w:val="num" w:pos="4680"/>
        </w:tabs>
        <w:ind w:left="4680" w:hanging="360"/>
      </w:pPr>
      <w:rPr>
        <w:rFonts w:ascii="Symbol" w:hAnsi="Symbol" w:hint="default"/>
        <w:sz w:val="20"/>
      </w:rPr>
    </w:lvl>
    <w:lvl w:ilvl="8" w:tentative="1">
      <w:start w:val="1"/>
      <w:numFmt w:val="bullet"/>
      <w:lvlText w:val=""/>
      <w:lvlJc w:val="left"/>
      <w:pPr>
        <w:tabs>
          <w:tab w:val="num" w:pos="5400"/>
        </w:tabs>
        <w:ind w:left="5400" w:hanging="360"/>
      </w:pPr>
      <w:rPr>
        <w:rFonts w:ascii="Symbol" w:hAnsi="Symbol" w:hint="default"/>
        <w:sz w:val="20"/>
      </w:rPr>
    </w:lvl>
  </w:abstractNum>
  <w:abstractNum w:abstractNumId="40" w15:restartNumberingAfterBreak="0">
    <w:nsid w:val="2FB1669B"/>
    <w:multiLevelType w:val="multilevel"/>
    <w:tmpl w:val="3444652C"/>
    <w:lvl w:ilvl="0">
      <w:start w:val="4"/>
      <w:numFmt w:val="decimal"/>
      <w:lvlText w:val="%1"/>
      <w:lvlJc w:val="left"/>
      <w:pPr>
        <w:ind w:left="435" w:hanging="435"/>
      </w:pPr>
      <w:rPr>
        <w:rFonts w:hint="default"/>
      </w:rPr>
    </w:lvl>
    <w:lvl w:ilvl="1">
      <w:start w:val="7"/>
      <w:numFmt w:val="decimal"/>
      <w:lvlText w:val="%1.%2"/>
      <w:lvlJc w:val="left"/>
      <w:pPr>
        <w:ind w:left="435" w:hanging="435"/>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30FA2AF9"/>
    <w:multiLevelType w:val="multilevel"/>
    <w:tmpl w:val="BB80AB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15:restartNumberingAfterBreak="0">
    <w:nsid w:val="317B7CB9"/>
    <w:multiLevelType w:val="hybridMultilevel"/>
    <w:tmpl w:val="5E3C9F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33660980"/>
    <w:multiLevelType w:val="multilevel"/>
    <w:tmpl w:val="28025C96"/>
    <w:lvl w:ilvl="0">
      <w:start w:val="4"/>
      <w:numFmt w:val="decimal"/>
      <w:lvlText w:val="%1."/>
      <w:lvlJc w:val="left"/>
      <w:pPr>
        <w:ind w:left="360" w:hanging="360"/>
      </w:pPr>
      <w:rPr>
        <w:rFonts w:hint="default"/>
        <w:b/>
        <w:bCs/>
        <w:color w:val="009BBF"/>
        <w:sz w:val="20"/>
        <w:szCs w:val="20"/>
      </w:rPr>
    </w:lvl>
    <w:lvl w:ilvl="1">
      <w:start w:val="1"/>
      <w:numFmt w:val="decimal"/>
      <w:lvlText w:val="%1.%2."/>
      <w:lvlJc w:val="left"/>
      <w:pPr>
        <w:ind w:left="792" w:hanging="432"/>
      </w:pPr>
      <w:rPr>
        <w:rFonts w:hint="default"/>
        <w:b/>
        <w:bCs/>
        <w:color w:val="auto"/>
        <w:sz w:val="20"/>
        <w:szCs w:val="20"/>
      </w:rPr>
    </w:lvl>
    <w:lvl w:ilvl="2">
      <w:start w:val="1"/>
      <w:numFmt w:val="decimal"/>
      <w:lvlText w:val="%1.%2.%3."/>
      <w:lvlJc w:val="left"/>
      <w:pPr>
        <w:ind w:left="1224" w:hanging="504"/>
      </w:pPr>
      <w:rPr>
        <w:rFonts w:hint="default"/>
        <w:b/>
        <w:bCs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33A327D1"/>
    <w:multiLevelType w:val="hybridMultilevel"/>
    <w:tmpl w:val="67B86BC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5" w15:restartNumberingAfterBreak="0">
    <w:nsid w:val="33DC2F49"/>
    <w:multiLevelType w:val="multilevel"/>
    <w:tmpl w:val="80C6D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40310B3"/>
    <w:multiLevelType w:val="multilevel"/>
    <w:tmpl w:val="1CE60602"/>
    <w:lvl w:ilvl="0">
      <w:start w:val="4"/>
      <w:numFmt w:val="decimal"/>
      <w:lvlText w:val="%1."/>
      <w:lvlJc w:val="left"/>
      <w:pPr>
        <w:tabs>
          <w:tab w:val="num" w:pos="720"/>
        </w:tabs>
        <w:ind w:left="720" w:hanging="360"/>
      </w:pPr>
      <w:rPr>
        <w:rFonts w:hint="default"/>
      </w:rPr>
    </w:lvl>
    <w:lvl w:ilvl="1">
      <w:start w:val="3"/>
      <w:numFmt w:val="decimal"/>
      <w:lvlText w:val="%2."/>
      <w:lvlJc w:val="left"/>
      <w:pPr>
        <w:tabs>
          <w:tab w:val="num" w:pos="1440"/>
        </w:tabs>
        <w:ind w:left="1440" w:hanging="360"/>
      </w:pPr>
      <w:rPr>
        <w:rFonts w:hint="default"/>
        <w:color w:val="000000" w:themeColor="text2"/>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7" w15:restartNumberingAfterBreak="0">
    <w:nsid w:val="3408613E"/>
    <w:multiLevelType w:val="hybridMultilevel"/>
    <w:tmpl w:val="54163BCC"/>
    <w:lvl w:ilvl="0" w:tplc="82127DB2">
      <w:start w:val="1"/>
      <w:numFmt w:val="bullet"/>
      <w:lvlText w:val=""/>
      <w:lvlJc w:val="left"/>
      <w:pPr>
        <w:ind w:left="1440" w:hanging="360"/>
      </w:pPr>
      <w:rPr>
        <w:rFonts w:ascii="Symbol" w:hAnsi="Symbol" w:hint="default"/>
        <w:color w:val="000000" w:themeColor="text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34194E74"/>
    <w:multiLevelType w:val="hybridMultilevel"/>
    <w:tmpl w:val="8EE2FF28"/>
    <w:lvl w:ilvl="0" w:tplc="EB6E824C">
      <w:start w:val="1"/>
      <w:numFmt w:val="decimal"/>
      <w:lvlText w:val="%1."/>
      <w:lvlJc w:val="left"/>
      <w:pPr>
        <w:ind w:left="795"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5B1778D"/>
    <w:multiLevelType w:val="hybridMultilevel"/>
    <w:tmpl w:val="3FBC8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5ED7B75"/>
    <w:multiLevelType w:val="hybridMultilevel"/>
    <w:tmpl w:val="307C81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362A1688"/>
    <w:multiLevelType w:val="hybridMultilevel"/>
    <w:tmpl w:val="3384E01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375B6D5C"/>
    <w:multiLevelType w:val="hybridMultilevel"/>
    <w:tmpl w:val="58A8A964"/>
    <w:lvl w:ilvl="0" w:tplc="DDF24708">
      <w:start w:val="1"/>
      <w:numFmt w:val="bullet"/>
      <w:lvlText w:val=""/>
      <w:lvlJc w:val="left"/>
      <w:pPr>
        <w:ind w:left="36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1">
      <w:start w:val="1"/>
      <w:numFmt w:val="bullet"/>
      <w:lvlText w:val=""/>
      <w:lvlJc w:val="left"/>
      <w:pPr>
        <w:ind w:left="1800" w:hanging="360"/>
      </w:pPr>
      <w:rPr>
        <w:rFonts w:ascii="Symbol" w:hAnsi="Symbol" w:hint="default"/>
      </w:rPr>
    </w:lvl>
    <w:lvl w:ilvl="3" w:tplc="04090001">
      <w:start w:val="1"/>
      <w:numFmt w:val="bullet"/>
      <w:lvlText w:val=""/>
      <w:lvlJc w:val="left"/>
      <w:pPr>
        <w:ind w:left="1080" w:hanging="360"/>
      </w:pPr>
      <w:rPr>
        <w:rFonts w:ascii="Symbol" w:hAnsi="Symbol" w:hint="default"/>
      </w:rPr>
    </w:lvl>
    <w:lvl w:ilvl="4" w:tplc="04090003">
      <w:start w:val="1"/>
      <w:numFmt w:val="bullet"/>
      <w:lvlText w:val="o"/>
      <w:lvlJc w:val="left"/>
      <w:pPr>
        <w:ind w:left="1800" w:hanging="360"/>
      </w:pPr>
      <w:rPr>
        <w:rFonts w:ascii="Courier New" w:hAnsi="Courier New" w:cs="Courier New" w:hint="default"/>
      </w:rPr>
    </w:lvl>
    <w:lvl w:ilvl="5" w:tplc="04090003">
      <w:start w:val="1"/>
      <w:numFmt w:val="bullet"/>
      <w:lvlText w:val="o"/>
      <w:lvlJc w:val="left"/>
      <w:pPr>
        <w:ind w:left="2520" w:hanging="360"/>
      </w:pPr>
      <w:rPr>
        <w:rFonts w:ascii="Courier New" w:hAnsi="Courier New" w:cs="Courier New"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53" w15:restartNumberingAfterBreak="0">
    <w:nsid w:val="3BFD1E8B"/>
    <w:multiLevelType w:val="hybridMultilevel"/>
    <w:tmpl w:val="C87CE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02935EE"/>
    <w:multiLevelType w:val="hybridMultilevel"/>
    <w:tmpl w:val="BBAC4E56"/>
    <w:lvl w:ilvl="0" w:tplc="AD7ACB34">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0FD72D9"/>
    <w:multiLevelType w:val="multilevel"/>
    <w:tmpl w:val="F7AE589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42B976B0"/>
    <w:multiLevelType w:val="hybridMultilevel"/>
    <w:tmpl w:val="387E8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39454A6"/>
    <w:multiLevelType w:val="hybridMultilevel"/>
    <w:tmpl w:val="4BA44F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4E301F7"/>
    <w:multiLevelType w:val="multilevel"/>
    <w:tmpl w:val="194E1E5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6254AC9"/>
    <w:multiLevelType w:val="multilevel"/>
    <w:tmpl w:val="7F044B8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0" w15:restartNumberingAfterBreak="0">
    <w:nsid w:val="48F106E3"/>
    <w:multiLevelType w:val="multilevel"/>
    <w:tmpl w:val="C2F235F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1" w15:restartNumberingAfterBreak="0">
    <w:nsid w:val="4BE8386D"/>
    <w:multiLevelType w:val="hybridMultilevel"/>
    <w:tmpl w:val="EE221AD0"/>
    <w:lvl w:ilvl="0" w:tplc="04090001">
      <w:start w:val="1"/>
      <w:numFmt w:val="bullet"/>
      <w:lvlText w:val=""/>
      <w:lvlJc w:val="left"/>
      <w:pPr>
        <w:ind w:left="1368" w:hanging="360"/>
      </w:pPr>
      <w:rPr>
        <w:rFonts w:ascii="Symbol" w:hAnsi="Symbol" w:hint="default"/>
      </w:rPr>
    </w:lvl>
    <w:lvl w:ilvl="1" w:tplc="04090003" w:tentative="1">
      <w:start w:val="1"/>
      <w:numFmt w:val="bullet"/>
      <w:lvlText w:val="o"/>
      <w:lvlJc w:val="left"/>
      <w:pPr>
        <w:ind w:left="2088" w:hanging="360"/>
      </w:pPr>
      <w:rPr>
        <w:rFonts w:ascii="Courier New" w:hAnsi="Courier New" w:cs="Courier New" w:hint="default"/>
      </w:rPr>
    </w:lvl>
    <w:lvl w:ilvl="2" w:tplc="04090005" w:tentative="1">
      <w:start w:val="1"/>
      <w:numFmt w:val="bullet"/>
      <w:lvlText w:val=""/>
      <w:lvlJc w:val="left"/>
      <w:pPr>
        <w:ind w:left="2808" w:hanging="360"/>
      </w:pPr>
      <w:rPr>
        <w:rFonts w:ascii="Wingdings" w:hAnsi="Wingdings" w:hint="default"/>
      </w:rPr>
    </w:lvl>
    <w:lvl w:ilvl="3" w:tplc="04090001" w:tentative="1">
      <w:start w:val="1"/>
      <w:numFmt w:val="bullet"/>
      <w:lvlText w:val=""/>
      <w:lvlJc w:val="left"/>
      <w:pPr>
        <w:ind w:left="3528" w:hanging="360"/>
      </w:pPr>
      <w:rPr>
        <w:rFonts w:ascii="Symbol" w:hAnsi="Symbol" w:hint="default"/>
      </w:rPr>
    </w:lvl>
    <w:lvl w:ilvl="4" w:tplc="04090003" w:tentative="1">
      <w:start w:val="1"/>
      <w:numFmt w:val="bullet"/>
      <w:lvlText w:val="o"/>
      <w:lvlJc w:val="left"/>
      <w:pPr>
        <w:ind w:left="4248" w:hanging="360"/>
      </w:pPr>
      <w:rPr>
        <w:rFonts w:ascii="Courier New" w:hAnsi="Courier New" w:cs="Courier New" w:hint="default"/>
      </w:rPr>
    </w:lvl>
    <w:lvl w:ilvl="5" w:tplc="04090005" w:tentative="1">
      <w:start w:val="1"/>
      <w:numFmt w:val="bullet"/>
      <w:lvlText w:val=""/>
      <w:lvlJc w:val="left"/>
      <w:pPr>
        <w:ind w:left="4968" w:hanging="360"/>
      </w:pPr>
      <w:rPr>
        <w:rFonts w:ascii="Wingdings" w:hAnsi="Wingdings" w:hint="default"/>
      </w:rPr>
    </w:lvl>
    <w:lvl w:ilvl="6" w:tplc="04090001" w:tentative="1">
      <w:start w:val="1"/>
      <w:numFmt w:val="bullet"/>
      <w:lvlText w:val=""/>
      <w:lvlJc w:val="left"/>
      <w:pPr>
        <w:ind w:left="5688" w:hanging="360"/>
      </w:pPr>
      <w:rPr>
        <w:rFonts w:ascii="Symbol" w:hAnsi="Symbol" w:hint="default"/>
      </w:rPr>
    </w:lvl>
    <w:lvl w:ilvl="7" w:tplc="04090003" w:tentative="1">
      <w:start w:val="1"/>
      <w:numFmt w:val="bullet"/>
      <w:lvlText w:val="o"/>
      <w:lvlJc w:val="left"/>
      <w:pPr>
        <w:ind w:left="6408" w:hanging="360"/>
      </w:pPr>
      <w:rPr>
        <w:rFonts w:ascii="Courier New" w:hAnsi="Courier New" w:cs="Courier New" w:hint="default"/>
      </w:rPr>
    </w:lvl>
    <w:lvl w:ilvl="8" w:tplc="04090005" w:tentative="1">
      <w:start w:val="1"/>
      <w:numFmt w:val="bullet"/>
      <w:lvlText w:val=""/>
      <w:lvlJc w:val="left"/>
      <w:pPr>
        <w:ind w:left="7128" w:hanging="360"/>
      </w:pPr>
      <w:rPr>
        <w:rFonts w:ascii="Wingdings" w:hAnsi="Wingdings" w:hint="default"/>
      </w:rPr>
    </w:lvl>
  </w:abstractNum>
  <w:abstractNum w:abstractNumId="62" w15:restartNumberingAfterBreak="0">
    <w:nsid w:val="4E597215"/>
    <w:multiLevelType w:val="hybridMultilevel"/>
    <w:tmpl w:val="CD7A6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E8454E3"/>
    <w:multiLevelType w:val="hybridMultilevel"/>
    <w:tmpl w:val="FFFFFFFF"/>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64" w15:restartNumberingAfterBreak="0">
    <w:nsid w:val="4F693FF1"/>
    <w:multiLevelType w:val="hybridMultilevel"/>
    <w:tmpl w:val="9124A476"/>
    <w:lvl w:ilvl="0" w:tplc="04090001">
      <w:start w:val="1"/>
      <w:numFmt w:val="bullet"/>
      <w:lvlText w:val=""/>
      <w:lvlJc w:val="left"/>
      <w:pPr>
        <w:ind w:left="795" w:hanging="435"/>
      </w:pPr>
      <w:rPr>
        <w:rFonts w:ascii="Symbol" w:hAnsi="Symbol"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2043651"/>
    <w:multiLevelType w:val="multilevel"/>
    <w:tmpl w:val="E33405B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3F65662"/>
    <w:multiLevelType w:val="hybridMultilevel"/>
    <w:tmpl w:val="5B00757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58422A54"/>
    <w:multiLevelType w:val="hybridMultilevel"/>
    <w:tmpl w:val="2BBE70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588C4C52"/>
    <w:multiLevelType w:val="multilevel"/>
    <w:tmpl w:val="42BA699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9" w15:restartNumberingAfterBreak="0">
    <w:nsid w:val="58A90AC2"/>
    <w:multiLevelType w:val="hybridMultilevel"/>
    <w:tmpl w:val="C45EC6E6"/>
    <w:lvl w:ilvl="0" w:tplc="83A00C5A">
      <w:start w:val="1"/>
      <w:numFmt w:val="bullet"/>
      <w:lvlText w:val=""/>
      <w:lvlJc w:val="left"/>
      <w:pPr>
        <w:ind w:left="108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0" w15:restartNumberingAfterBreak="0">
    <w:nsid w:val="59F73063"/>
    <w:multiLevelType w:val="hybridMultilevel"/>
    <w:tmpl w:val="EDAA10E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5C56131C"/>
    <w:multiLevelType w:val="hybridMultilevel"/>
    <w:tmpl w:val="17E894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5D6C5580"/>
    <w:multiLevelType w:val="multilevel"/>
    <w:tmpl w:val="A66AB81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3" w15:restartNumberingAfterBreak="0">
    <w:nsid w:val="5D86254B"/>
    <w:multiLevelType w:val="hybridMultilevel"/>
    <w:tmpl w:val="0DB4F1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5F85393C"/>
    <w:multiLevelType w:val="multilevel"/>
    <w:tmpl w:val="5770E3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62DB2B92"/>
    <w:multiLevelType w:val="hybridMultilevel"/>
    <w:tmpl w:val="6F0463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62E245C7"/>
    <w:multiLevelType w:val="multilevel"/>
    <w:tmpl w:val="98E29876"/>
    <w:lvl w:ilvl="0">
      <w:start w:val="4"/>
      <w:numFmt w:val="decimal"/>
      <w:lvlText w:val="%1."/>
      <w:lvlJc w:val="left"/>
      <w:pPr>
        <w:tabs>
          <w:tab w:val="num" w:pos="720"/>
        </w:tabs>
        <w:ind w:left="720" w:hanging="360"/>
      </w:pPr>
      <w:rPr>
        <w:rFonts w:hint="default"/>
      </w:rPr>
    </w:lvl>
    <w:lvl w:ilvl="1">
      <w:start w:val="3"/>
      <w:numFmt w:val="decimal"/>
      <w:lvlText w:val="%2."/>
      <w:lvlJc w:val="left"/>
      <w:pPr>
        <w:tabs>
          <w:tab w:val="num" w:pos="1440"/>
        </w:tabs>
        <w:ind w:left="1440" w:hanging="360"/>
      </w:pPr>
      <w:rPr>
        <w:rFonts w:hint="default"/>
        <w:color w:val="000000" w:themeColor="text2"/>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7" w15:restartNumberingAfterBreak="0">
    <w:nsid w:val="63E51015"/>
    <w:multiLevelType w:val="multilevel"/>
    <w:tmpl w:val="1F08C310"/>
    <w:lvl w:ilvl="0">
      <w:start w:val="1"/>
      <w:numFmt w:val="decimal"/>
      <w:lvlText w:val="%1."/>
      <w:lvlJc w:val="left"/>
      <w:pPr>
        <w:ind w:left="360" w:hanging="360"/>
      </w:pPr>
      <w:rPr>
        <w:rFonts w:hint="default"/>
        <w:b/>
      </w:rPr>
    </w:lvl>
    <w:lvl w:ilvl="1">
      <w:start w:val="1"/>
      <w:numFmt w:val="decimal"/>
      <w:lvlText w:val="%2."/>
      <w:lvlJc w:val="left"/>
      <w:pPr>
        <w:ind w:left="7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648D3954"/>
    <w:multiLevelType w:val="hybridMultilevel"/>
    <w:tmpl w:val="006A1B52"/>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9" w15:restartNumberingAfterBreak="0">
    <w:nsid w:val="6491530F"/>
    <w:multiLevelType w:val="hybridMultilevel"/>
    <w:tmpl w:val="3E387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528771D"/>
    <w:multiLevelType w:val="multilevel"/>
    <w:tmpl w:val="1F08C310"/>
    <w:lvl w:ilvl="0">
      <w:start w:val="1"/>
      <w:numFmt w:val="decimal"/>
      <w:lvlText w:val="%1."/>
      <w:lvlJc w:val="left"/>
      <w:pPr>
        <w:ind w:left="360" w:hanging="360"/>
      </w:pPr>
      <w:rPr>
        <w:rFonts w:hint="default"/>
        <w:b/>
      </w:rPr>
    </w:lvl>
    <w:lvl w:ilvl="1">
      <w:start w:val="1"/>
      <w:numFmt w:val="decimal"/>
      <w:lvlText w:val="%2."/>
      <w:lvlJc w:val="left"/>
      <w:pPr>
        <w:ind w:left="720" w:hanging="360"/>
      </w:p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 w15:restartNumberingAfterBreak="0">
    <w:nsid w:val="65AC3FE3"/>
    <w:multiLevelType w:val="hybridMultilevel"/>
    <w:tmpl w:val="8B303582"/>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66FA44FA"/>
    <w:multiLevelType w:val="hybridMultilevel"/>
    <w:tmpl w:val="DA1023F2"/>
    <w:lvl w:ilvl="0" w:tplc="04090001">
      <w:start w:val="1"/>
      <w:numFmt w:val="bullet"/>
      <w:lvlText w:val=""/>
      <w:lvlJc w:val="left"/>
      <w:pPr>
        <w:ind w:left="1498" w:hanging="360"/>
      </w:pPr>
      <w:rPr>
        <w:rFonts w:ascii="Symbol" w:hAnsi="Symbol" w:hint="default"/>
      </w:rPr>
    </w:lvl>
    <w:lvl w:ilvl="1" w:tplc="04090003" w:tentative="1">
      <w:start w:val="1"/>
      <w:numFmt w:val="bullet"/>
      <w:lvlText w:val="o"/>
      <w:lvlJc w:val="left"/>
      <w:pPr>
        <w:ind w:left="2218" w:hanging="360"/>
      </w:pPr>
      <w:rPr>
        <w:rFonts w:ascii="Courier New" w:hAnsi="Courier New" w:cs="Courier New" w:hint="default"/>
      </w:rPr>
    </w:lvl>
    <w:lvl w:ilvl="2" w:tplc="04090005" w:tentative="1">
      <w:start w:val="1"/>
      <w:numFmt w:val="bullet"/>
      <w:lvlText w:val=""/>
      <w:lvlJc w:val="left"/>
      <w:pPr>
        <w:ind w:left="2938" w:hanging="360"/>
      </w:pPr>
      <w:rPr>
        <w:rFonts w:ascii="Wingdings" w:hAnsi="Wingdings" w:hint="default"/>
      </w:rPr>
    </w:lvl>
    <w:lvl w:ilvl="3" w:tplc="04090001" w:tentative="1">
      <w:start w:val="1"/>
      <w:numFmt w:val="bullet"/>
      <w:lvlText w:val=""/>
      <w:lvlJc w:val="left"/>
      <w:pPr>
        <w:ind w:left="3658" w:hanging="360"/>
      </w:pPr>
      <w:rPr>
        <w:rFonts w:ascii="Symbol" w:hAnsi="Symbol" w:hint="default"/>
      </w:rPr>
    </w:lvl>
    <w:lvl w:ilvl="4" w:tplc="04090003" w:tentative="1">
      <w:start w:val="1"/>
      <w:numFmt w:val="bullet"/>
      <w:lvlText w:val="o"/>
      <w:lvlJc w:val="left"/>
      <w:pPr>
        <w:ind w:left="4378" w:hanging="360"/>
      </w:pPr>
      <w:rPr>
        <w:rFonts w:ascii="Courier New" w:hAnsi="Courier New" w:cs="Courier New" w:hint="default"/>
      </w:rPr>
    </w:lvl>
    <w:lvl w:ilvl="5" w:tplc="04090005" w:tentative="1">
      <w:start w:val="1"/>
      <w:numFmt w:val="bullet"/>
      <w:lvlText w:val=""/>
      <w:lvlJc w:val="left"/>
      <w:pPr>
        <w:ind w:left="5098" w:hanging="360"/>
      </w:pPr>
      <w:rPr>
        <w:rFonts w:ascii="Wingdings" w:hAnsi="Wingdings" w:hint="default"/>
      </w:rPr>
    </w:lvl>
    <w:lvl w:ilvl="6" w:tplc="04090001" w:tentative="1">
      <w:start w:val="1"/>
      <w:numFmt w:val="bullet"/>
      <w:lvlText w:val=""/>
      <w:lvlJc w:val="left"/>
      <w:pPr>
        <w:ind w:left="5818" w:hanging="360"/>
      </w:pPr>
      <w:rPr>
        <w:rFonts w:ascii="Symbol" w:hAnsi="Symbol" w:hint="default"/>
      </w:rPr>
    </w:lvl>
    <w:lvl w:ilvl="7" w:tplc="04090003" w:tentative="1">
      <w:start w:val="1"/>
      <w:numFmt w:val="bullet"/>
      <w:lvlText w:val="o"/>
      <w:lvlJc w:val="left"/>
      <w:pPr>
        <w:ind w:left="6538" w:hanging="360"/>
      </w:pPr>
      <w:rPr>
        <w:rFonts w:ascii="Courier New" w:hAnsi="Courier New" w:cs="Courier New" w:hint="default"/>
      </w:rPr>
    </w:lvl>
    <w:lvl w:ilvl="8" w:tplc="04090005" w:tentative="1">
      <w:start w:val="1"/>
      <w:numFmt w:val="bullet"/>
      <w:lvlText w:val=""/>
      <w:lvlJc w:val="left"/>
      <w:pPr>
        <w:ind w:left="7258" w:hanging="360"/>
      </w:pPr>
      <w:rPr>
        <w:rFonts w:ascii="Wingdings" w:hAnsi="Wingdings" w:hint="default"/>
      </w:rPr>
    </w:lvl>
  </w:abstractNum>
  <w:abstractNum w:abstractNumId="83" w15:restartNumberingAfterBreak="0">
    <w:nsid w:val="67A3146F"/>
    <w:multiLevelType w:val="hybridMultilevel"/>
    <w:tmpl w:val="54C206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693A2B1A"/>
    <w:multiLevelType w:val="multilevel"/>
    <w:tmpl w:val="79C60474"/>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85" w15:restartNumberingAfterBreak="0">
    <w:nsid w:val="6ABB5FFB"/>
    <w:multiLevelType w:val="hybridMultilevel"/>
    <w:tmpl w:val="46C6904E"/>
    <w:lvl w:ilvl="0" w:tplc="04090017">
      <w:start w:val="1"/>
      <w:numFmt w:val="lowerLetter"/>
      <w:lvlText w:val="%1)"/>
      <w:lvlJc w:val="left"/>
      <w:pPr>
        <w:ind w:left="1800" w:hanging="360"/>
      </w:pPr>
      <w:rPr>
        <w:rFonts w:hint="default"/>
      </w:r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86" w15:restartNumberingAfterBreak="0">
    <w:nsid w:val="6BBB32A8"/>
    <w:multiLevelType w:val="hybridMultilevel"/>
    <w:tmpl w:val="299244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6CBE1B5A"/>
    <w:multiLevelType w:val="hybridMultilevel"/>
    <w:tmpl w:val="FFFFFFFF"/>
    <w:lvl w:ilvl="0" w:tplc="D9448AB2">
      <w:start w:val="1"/>
      <w:numFmt w:val="bullet"/>
      <w:lvlText w:val=""/>
      <w:lvlJc w:val="left"/>
      <w:pPr>
        <w:ind w:left="720" w:hanging="360"/>
      </w:pPr>
      <w:rPr>
        <w:rFonts w:ascii="Symbol" w:hAnsi="Symbol" w:hint="default"/>
      </w:rPr>
    </w:lvl>
    <w:lvl w:ilvl="1" w:tplc="2EF824A4">
      <w:start w:val="1"/>
      <w:numFmt w:val="bullet"/>
      <w:lvlText w:val="o"/>
      <w:lvlJc w:val="left"/>
      <w:pPr>
        <w:ind w:left="1440" w:hanging="360"/>
      </w:pPr>
      <w:rPr>
        <w:rFonts w:ascii="Courier New" w:hAnsi="Courier New" w:hint="default"/>
      </w:rPr>
    </w:lvl>
    <w:lvl w:ilvl="2" w:tplc="276A7A5E">
      <w:start w:val="1"/>
      <w:numFmt w:val="bullet"/>
      <w:lvlText w:val=""/>
      <w:lvlJc w:val="left"/>
      <w:pPr>
        <w:ind w:left="2160" w:hanging="360"/>
      </w:pPr>
      <w:rPr>
        <w:rFonts w:ascii="Wingdings" w:hAnsi="Wingdings" w:hint="default"/>
      </w:rPr>
    </w:lvl>
    <w:lvl w:ilvl="3" w:tplc="D2F6E79E">
      <w:start w:val="1"/>
      <w:numFmt w:val="bullet"/>
      <w:lvlText w:val=""/>
      <w:lvlJc w:val="left"/>
      <w:pPr>
        <w:ind w:left="2880" w:hanging="360"/>
      </w:pPr>
      <w:rPr>
        <w:rFonts w:ascii="Symbol" w:hAnsi="Symbol" w:hint="default"/>
      </w:rPr>
    </w:lvl>
    <w:lvl w:ilvl="4" w:tplc="2BB05124">
      <w:start w:val="1"/>
      <w:numFmt w:val="bullet"/>
      <w:lvlText w:val="o"/>
      <w:lvlJc w:val="left"/>
      <w:pPr>
        <w:ind w:left="3600" w:hanging="360"/>
      </w:pPr>
      <w:rPr>
        <w:rFonts w:ascii="Courier New" w:hAnsi="Courier New" w:hint="default"/>
      </w:rPr>
    </w:lvl>
    <w:lvl w:ilvl="5" w:tplc="5968513E">
      <w:start w:val="1"/>
      <w:numFmt w:val="bullet"/>
      <w:lvlText w:val=""/>
      <w:lvlJc w:val="left"/>
      <w:pPr>
        <w:ind w:left="4320" w:hanging="360"/>
      </w:pPr>
      <w:rPr>
        <w:rFonts w:ascii="Wingdings" w:hAnsi="Wingdings" w:hint="default"/>
      </w:rPr>
    </w:lvl>
    <w:lvl w:ilvl="6" w:tplc="4BBA818C">
      <w:start w:val="1"/>
      <w:numFmt w:val="bullet"/>
      <w:lvlText w:val=""/>
      <w:lvlJc w:val="left"/>
      <w:pPr>
        <w:ind w:left="5040" w:hanging="360"/>
      </w:pPr>
      <w:rPr>
        <w:rFonts w:ascii="Symbol" w:hAnsi="Symbol" w:hint="default"/>
      </w:rPr>
    </w:lvl>
    <w:lvl w:ilvl="7" w:tplc="3D1E38E6">
      <w:start w:val="1"/>
      <w:numFmt w:val="bullet"/>
      <w:lvlText w:val="o"/>
      <w:lvlJc w:val="left"/>
      <w:pPr>
        <w:ind w:left="5760" w:hanging="360"/>
      </w:pPr>
      <w:rPr>
        <w:rFonts w:ascii="Courier New" w:hAnsi="Courier New" w:hint="default"/>
      </w:rPr>
    </w:lvl>
    <w:lvl w:ilvl="8" w:tplc="45BCAA50">
      <w:start w:val="1"/>
      <w:numFmt w:val="bullet"/>
      <w:lvlText w:val=""/>
      <w:lvlJc w:val="left"/>
      <w:pPr>
        <w:ind w:left="6480" w:hanging="360"/>
      </w:pPr>
      <w:rPr>
        <w:rFonts w:ascii="Wingdings" w:hAnsi="Wingdings" w:hint="default"/>
      </w:rPr>
    </w:lvl>
  </w:abstractNum>
  <w:abstractNum w:abstractNumId="88" w15:restartNumberingAfterBreak="0">
    <w:nsid w:val="6D0DC72D"/>
    <w:multiLevelType w:val="hybridMultilevel"/>
    <w:tmpl w:val="077EDA38"/>
    <w:lvl w:ilvl="0" w:tplc="4ADE9B82">
      <w:start w:val="1"/>
      <w:numFmt w:val="bullet"/>
      <w:lvlText w:val=""/>
      <w:lvlJc w:val="left"/>
      <w:pPr>
        <w:ind w:left="720" w:hanging="360"/>
      </w:pPr>
      <w:rPr>
        <w:rFonts w:ascii="Symbol" w:hAnsi="Symbol" w:hint="default"/>
      </w:rPr>
    </w:lvl>
    <w:lvl w:ilvl="1" w:tplc="3B6E6342">
      <w:start w:val="1"/>
      <w:numFmt w:val="bullet"/>
      <w:lvlText w:val="o"/>
      <w:lvlJc w:val="left"/>
      <w:pPr>
        <w:ind w:left="1440" w:hanging="360"/>
      </w:pPr>
      <w:rPr>
        <w:rFonts w:ascii="Courier New" w:hAnsi="Courier New" w:hint="default"/>
      </w:rPr>
    </w:lvl>
    <w:lvl w:ilvl="2" w:tplc="6504AFD4">
      <w:start w:val="1"/>
      <w:numFmt w:val="bullet"/>
      <w:lvlText w:val=""/>
      <w:lvlJc w:val="left"/>
      <w:pPr>
        <w:ind w:left="2160" w:hanging="360"/>
      </w:pPr>
      <w:rPr>
        <w:rFonts w:ascii="Wingdings" w:hAnsi="Wingdings" w:hint="default"/>
      </w:rPr>
    </w:lvl>
    <w:lvl w:ilvl="3" w:tplc="F432BD70">
      <w:start w:val="1"/>
      <w:numFmt w:val="bullet"/>
      <w:lvlText w:val=""/>
      <w:lvlJc w:val="left"/>
      <w:pPr>
        <w:ind w:left="2880" w:hanging="360"/>
      </w:pPr>
      <w:rPr>
        <w:rFonts w:ascii="Symbol" w:hAnsi="Symbol" w:hint="default"/>
      </w:rPr>
    </w:lvl>
    <w:lvl w:ilvl="4" w:tplc="FCB69354">
      <w:start w:val="1"/>
      <w:numFmt w:val="bullet"/>
      <w:lvlText w:val="o"/>
      <w:lvlJc w:val="left"/>
      <w:pPr>
        <w:ind w:left="3600" w:hanging="360"/>
      </w:pPr>
      <w:rPr>
        <w:rFonts w:ascii="Courier New" w:hAnsi="Courier New" w:hint="default"/>
      </w:rPr>
    </w:lvl>
    <w:lvl w:ilvl="5" w:tplc="8CF07524">
      <w:start w:val="1"/>
      <w:numFmt w:val="bullet"/>
      <w:lvlText w:val=""/>
      <w:lvlJc w:val="left"/>
      <w:pPr>
        <w:ind w:left="4320" w:hanging="360"/>
      </w:pPr>
      <w:rPr>
        <w:rFonts w:ascii="Wingdings" w:hAnsi="Wingdings" w:hint="default"/>
      </w:rPr>
    </w:lvl>
    <w:lvl w:ilvl="6" w:tplc="5FDACBDE">
      <w:start w:val="1"/>
      <w:numFmt w:val="bullet"/>
      <w:lvlText w:val=""/>
      <w:lvlJc w:val="left"/>
      <w:pPr>
        <w:ind w:left="5040" w:hanging="360"/>
      </w:pPr>
      <w:rPr>
        <w:rFonts w:ascii="Symbol" w:hAnsi="Symbol" w:hint="default"/>
      </w:rPr>
    </w:lvl>
    <w:lvl w:ilvl="7" w:tplc="A9DE284E">
      <w:start w:val="1"/>
      <w:numFmt w:val="bullet"/>
      <w:lvlText w:val="o"/>
      <w:lvlJc w:val="left"/>
      <w:pPr>
        <w:ind w:left="5760" w:hanging="360"/>
      </w:pPr>
      <w:rPr>
        <w:rFonts w:ascii="Courier New" w:hAnsi="Courier New" w:hint="default"/>
      </w:rPr>
    </w:lvl>
    <w:lvl w:ilvl="8" w:tplc="A5D0ACB2">
      <w:start w:val="1"/>
      <w:numFmt w:val="bullet"/>
      <w:lvlText w:val=""/>
      <w:lvlJc w:val="left"/>
      <w:pPr>
        <w:ind w:left="6480" w:hanging="360"/>
      </w:pPr>
      <w:rPr>
        <w:rFonts w:ascii="Wingdings" w:hAnsi="Wingdings" w:hint="default"/>
      </w:rPr>
    </w:lvl>
  </w:abstractNum>
  <w:abstractNum w:abstractNumId="89" w15:restartNumberingAfterBreak="0">
    <w:nsid w:val="6DCF7746"/>
    <w:multiLevelType w:val="multilevel"/>
    <w:tmpl w:val="23F6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6E0B7E1D"/>
    <w:multiLevelType w:val="multilevel"/>
    <w:tmpl w:val="6986B14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91" w15:restartNumberingAfterBreak="0">
    <w:nsid w:val="6E1E38FB"/>
    <w:multiLevelType w:val="hybridMultilevel"/>
    <w:tmpl w:val="7C7C02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6E4A6E90"/>
    <w:multiLevelType w:val="hybridMultilevel"/>
    <w:tmpl w:val="165AED32"/>
    <w:lvl w:ilvl="0" w:tplc="FFFFFFFF">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6F37504D"/>
    <w:multiLevelType w:val="multilevel"/>
    <w:tmpl w:val="DCF07270"/>
    <w:lvl w:ilvl="0">
      <w:start w:val="4"/>
      <w:numFmt w:val="decimal"/>
      <w:lvlText w:val="%1"/>
      <w:lvlJc w:val="left"/>
      <w:pPr>
        <w:ind w:left="435" w:hanging="435"/>
      </w:pPr>
      <w:rPr>
        <w:rFonts w:eastAsiaTheme="majorEastAsia" w:hint="default"/>
        <w:b/>
      </w:rPr>
    </w:lvl>
    <w:lvl w:ilvl="1">
      <w:start w:val="7"/>
      <w:numFmt w:val="decimal"/>
      <w:lvlText w:val="%1.%2"/>
      <w:lvlJc w:val="left"/>
      <w:pPr>
        <w:ind w:left="435" w:hanging="435"/>
      </w:pPr>
      <w:rPr>
        <w:rFonts w:eastAsiaTheme="majorEastAsia" w:hint="default"/>
        <w:b/>
      </w:rPr>
    </w:lvl>
    <w:lvl w:ilvl="2">
      <w:start w:val="1"/>
      <w:numFmt w:val="decimal"/>
      <w:lvlText w:val="%1.%2.%3"/>
      <w:lvlJc w:val="left"/>
      <w:pPr>
        <w:ind w:left="720" w:hanging="720"/>
      </w:pPr>
      <w:rPr>
        <w:rFonts w:eastAsiaTheme="majorEastAsia" w:hint="default"/>
        <w:b/>
      </w:rPr>
    </w:lvl>
    <w:lvl w:ilvl="3">
      <w:start w:val="1"/>
      <w:numFmt w:val="decimal"/>
      <w:lvlText w:val="%1.%2.%3.%4"/>
      <w:lvlJc w:val="left"/>
      <w:pPr>
        <w:ind w:left="720" w:hanging="720"/>
      </w:pPr>
      <w:rPr>
        <w:rFonts w:eastAsiaTheme="majorEastAsia" w:hint="default"/>
        <w:b/>
      </w:rPr>
    </w:lvl>
    <w:lvl w:ilvl="4">
      <w:start w:val="1"/>
      <w:numFmt w:val="decimal"/>
      <w:lvlText w:val="%1.%2.%3.%4.%5"/>
      <w:lvlJc w:val="left"/>
      <w:pPr>
        <w:ind w:left="1080" w:hanging="1080"/>
      </w:pPr>
      <w:rPr>
        <w:rFonts w:eastAsiaTheme="majorEastAsia" w:hint="default"/>
        <w:b/>
      </w:rPr>
    </w:lvl>
    <w:lvl w:ilvl="5">
      <w:start w:val="1"/>
      <w:numFmt w:val="decimal"/>
      <w:lvlText w:val="%1.%2.%3.%4.%5.%6"/>
      <w:lvlJc w:val="left"/>
      <w:pPr>
        <w:ind w:left="1080" w:hanging="1080"/>
      </w:pPr>
      <w:rPr>
        <w:rFonts w:eastAsiaTheme="majorEastAsia" w:hint="default"/>
        <w:b/>
      </w:rPr>
    </w:lvl>
    <w:lvl w:ilvl="6">
      <w:start w:val="1"/>
      <w:numFmt w:val="decimal"/>
      <w:lvlText w:val="%1.%2.%3.%4.%5.%6.%7"/>
      <w:lvlJc w:val="left"/>
      <w:pPr>
        <w:ind w:left="1440" w:hanging="1440"/>
      </w:pPr>
      <w:rPr>
        <w:rFonts w:eastAsiaTheme="majorEastAsia" w:hint="default"/>
        <w:b/>
      </w:rPr>
    </w:lvl>
    <w:lvl w:ilvl="7">
      <w:start w:val="1"/>
      <w:numFmt w:val="decimal"/>
      <w:lvlText w:val="%1.%2.%3.%4.%5.%6.%7.%8"/>
      <w:lvlJc w:val="left"/>
      <w:pPr>
        <w:ind w:left="1440" w:hanging="1440"/>
      </w:pPr>
      <w:rPr>
        <w:rFonts w:eastAsiaTheme="majorEastAsia" w:hint="default"/>
        <w:b/>
      </w:rPr>
    </w:lvl>
    <w:lvl w:ilvl="8">
      <w:start w:val="1"/>
      <w:numFmt w:val="decimal"/>
      <w:lvlText w:val="%1.%2.%3.%4.%5.%6.%7.%8.%9"/>
      <w:lvlJc w:val="left"/>
      <w:pPr>
        <w:ind w:left="1800" w:hanging="1800"/>
      </w:pPr>
      <w:rPr>
        <w:rFonts w:eastAsiaTheme="majorEastAsia" w:hint="default"/>
        <w:b/>
      </w:rPr>
    </w:lvl>
  </w:abstractNum>
  <w:abstractNum w:abstractNumId="94" w15:restartNumberingAfterBreak="0">
    <w:nsid w:val="7403625C"/>
    <w:multiLevelType w:val="hybridMultilevel"/>
    <w:tmpl w:val="3EF6E1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74617873"/>
    <w:multiLevelType w:val="multilevel"/>
    <w:tmpl w:val="9740F22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74A37216"/>
    <w:multiLevelType w:val="multilevel"/>
    <w:tmpl w:val="909C5E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color w:val="009ABF" w:themeColor="text1"/>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15:restartNumberingAfterBreak="0">
    <w:nsid w:val="757842F6"/>
    <w:multiLevelType w:val="hybridMultilevel"/>
    <w:tmpl w:val="F230C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75970144"/>
    <w:multiLevelType w:val="hybridMultilevel"/>
    <w:tmpl w:val="99480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7B07491"/>
    <w:multiLevelType w:val="multilevel"/>
    <w:tmpl w:val="92D09FF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8A22EA9"/>
    <w:multiLevelType w:val="hybridMultilevel"/>
    <w:tmpl w:val="32EC18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7950473E"/>
    <w:multiLevelType w:val="hybridMultilevel"/>
    <w:tmpl w:val="15CEFFE6"/>
    <w:lvl w:ilvl="0" w:tplc="0409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02" w15:restartNumberingAfterBreak="0">
    <w:nsid w:val="7CB30AD5"/>
    <w:multiLevelType w:val="hybridMultilevel"/>
    <w:tmpl w:val="FFFFFFFF"/>
    <w:lvl w:ilvl="0" w:tplc="9D9E6538">
      <w:start w:val="1"/>
      <w:numFmt w:val="bullet"/>
      <w:lvlText w:val=""/>
      <w:lvlJc w:val="left"/>
      <w:pPr>
        <w:ind w:left="720" w:hanging="360"/>
      </w:pPr>
      <w:rPr>
        <w:rFonts w:ascii="Symbol" w:hAnsi="Symbol" w:hint="default"/>
      </w:rPr>
    </w:lvl>
    <w:lvl w:ilvl="1" w:tplc="8F60BC50">
      <w:start w:val="1"/>
      <w:numFmt w:val="bullet"/>
      <w:lvlText w:val="o"/>
      <w:lvlJc w:val="left"/>
      <w:pPr>
        <w:ind w:left="1440" w:hanging="360"/>
      </w:pPr>
      <w:rPr>
        <w:rFonts w:ascii="Courier New" w:hAnsi="Courier New" w:hint="default"/>
      </w:rPr>
    </w:lvl>
    <w:lvl w:ilvl="2" w:tplc="B868EE12">
      <w:start w:val="1"/>
      <w:numFmt w:val="bullet"/>
      <w:lvlText w:val=""/>
      <w:lvlJc w:val="left"/>
      <w:pPr>
        <w:ind w:left="2160" w:hanging="360"/>
      </w:pPr>
      <w:rPr>
        <w:rFonts w:ascii="Wingdings" w:hAnsi="Wingdings" w:hint="default"/>
      </w:rPr>
    </w:lvl>
    <w:lvl w:ilvl="3" w:tplc="B1348D96">
      <w:start w:val="1"/>
      <w:numFmt w:val="bullet"/>
      <w:lvlText w:val=""/>
      <w:lvlJc w:val="left"/>
      <w:pPr>
        <w:ind w:left="2880" w:hanging="360"/>
      </w:pPr>
      <w:rPr>
        <w:rFonts w:ascii="Symbol" w:hAnsi="Symbol" w:hint="default"/>
      </w:rPr>
    </w:lvl>
    <w:lvl w:ilvl="4" w:tplc="3F0E7282">
      <w:start w:val="1"/>
      <w:numFmt w:val="bullet"/>
      <w:lvlText w:val="o"/>
      <w:lvlJc w:val="left"/>
      <w:pPr>
        <w:ind w:left="3600" w:hanging="360"/>
      </w:pPr>
      <w:rPr>
        <w:rFonts w:ascii="Courier New" w:hAnsi="Courier New" w:hint="default"/>
      </w:rPr>
    </w:lvl>
    <w:lvl w:ilvl="5" w:tplc="5EB22D6E">
      <w:start w:val="1"/>
      <w:numFmt w:val="bullet"/>
      <w:lvlText w:val=""/>
      <w:lvlJc w:val="left"/>
      <w:pPr>
        <w:ind w:left="4320" w:hanging="360"/>
      </w:pPr>
      <w:rPr>
        <w:rFonts w:ascii="Wingdings" w:hAnsi="Wingdings" w:hint="default"/>
      </w:rPr>
    </w:lvl>
    <w:lvl w:ilvl="6" w:tplc="3D58BFD6">
      <w:start w:val="1"/>
      <w:numFmt w:val="bullet"/>
      <w:lvlText w:val=""/>
      <w:lvlJc w:val="left"/>
      <w:pPr>
        <w:ind w:left="5040" w:hanging="360"/>
      </w:pPr>
      <w:rPr>
        <w:rFonts w:ascii="Symbol" w:hAnsi="Symbol" w:hint="default"/>
      </w:rPr>
    </w:lvl>
    <w:lvl w:ilvl="7" w:tplc="EEBAF8D4">
      <w:start w:val="1"/>
      <w:numFmt w:val="bullet"/>
      <w:lvlText w:val="o"/>
      <w:lvlJc w:val="left"/>
      <w:pPr>
        <w:ind w:left="5760" w:hanging="360"/>
      </w:pPr>
      <w:rPr>
        <w:rFonts w:ascii="Courier New" w:hAnsi="Courier New" w:hint="default"/>
      </w:rPr>
    </w:lvl>
    <w:lvl w:ilvl="8" w:tplc="8E8C1224">
      <w:start w:val="1"/>
      <w:numFmt w:val="bullet"/>
      <w:lvlText w:val=""/>
      <w:lvlJc w:val="left"/>
      <w:pPr>
        <w:ind w:left="6480" w:hanging="360"/>
      </w:pPr>
      <w:rPr>
        <w:rFonts w:ascii="Wingdings" w:hAnsi="Wingdings" w:hint="default"/>
      </w:rPr>
    </w:lvl>
  </w:abstractNum>
  <w:abstractNum w:abstractNumId="103" w15:restartNumberingAfterBreak="0">
    <w:nsid w:val="7CFD3E1E"/>
    <w:multiLevelType w:val="multilevel"/>
    <w:tmpl w:val="DAEAE5BC"/>
    <w:lvl w:ilvl="0">
      <w:start w:val="1"/>
      <w:numFmt w:val="lowerLetter"/>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104" w15:restartNumberingAfterBreak="0">
    <w:nsid w:val="7D027F3F"/>
    <w:multiLevelType w:val="hybridMultilevel"/>
    <w:tmpl w:val="F04E8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D0D1C82"/>
    <w:multiLevelType w:val="multilevel"/>
    <w:tmpl w:val="4A34109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7EF6092C"/>
    <w:multiLevelType w:val="multilevel"/>
    <w:tmpl w:val="07CC9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7EFE3608"/>
    <w:multiLevelType w:val="hybridMultilevel"/>
    <w:tmpl w:val="675EF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390820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25200240">
    <w:abstractNumId w:val="9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14067606">
    <w:abstractNumId w:val="91"/>
  </w:num>
  <w:num w:numId="4" w16cid:durableId="649600124">
    <w:abstractNumId w:val="83"/>
  </w:num>
  <w:num w:numId="5" w16cid:durableId="1283000921">
    <w:abstractNumId w:val="35"/>
  </w:num>
  <w:num w:numId="6" w16cid:durableId="941692441">
    <w:abstractNumId w:val="100"/>
  </w:num>
  <w:num w:numId="7" w16cid:durableId="1103915364">
    <w:abstractNumId w:val="48"/>
  </w:num>
  <w:num w:numId="8" w16cid:durableId="1001396840">
    <w:abstractNumId w:val="64"/>
  </w:num>
  <w:num w:numId="9" w16cid:durableId="1299800044">
    <w:abstractNumId w:val="102"/>
  </w:num>
  <w:num w:numId="10" w16cid:durableId="921640687">
    <w:abstractNumId w:val="88"/>
  </w:num>
  <w:num w:numId="11" w16cid:durableId="495996769">
    <w:abstractNumId w:val="14"/>
  </w:num>
  <w:num w:numId="12" w16cid:durableId="13000041">
    <w:abstractNumId w:val="8"/>
  </w:num>
  <w:num w:numId="13" w16cid:durableId="902329924">
    <w:abstractNumId w:val="103"/>
  </w:num>
  <w:num w:numId="14" w16cid:durableId="1999309511">
    <w:abstractNumId w:val="85"/>
  </w:num>
  <w:num w:numId="15" w16cid:durableId="1196500532">
    <w:abstractNumId w:val="27"/>
  </w:num>
  <w:num w:numId="16" w16cid:durableId="989136538">
    <w:abstractNumId w:val="78"/>
  </w:num>
  <w:num w:numId="17" w16cid:durableId="742147469">
    <w:abstractNumId w:val="107"/>
  </w:num>
  <w:num w:numId="18" w16cid:durableId="238753271">
    <w:abstractNumId w:val="87"/>
  </w:num>
  <w:num w:numId="19" w16cid:durableId="955911542">
    <w:abstractNumId w:val="18"/>
  </w:num>
  <w:num w:numId="20" w16cid:durableId="1065301766">
    <w:abstractNumId w:val="11"/>
  </w:num>
  <w:num w:numId="21" w16cid:durableId="67773397">
    <w:abstractNumId w:val="80"/>
  </w:num>
  <w:num w:numId="22" w16cid:durableId="959343200">
    <w:abstractNumId w:val="47"/>
  </w:num>
  <w:num w:numId="23" w16cid:durableId="1617101817">
    <w:abstractNumId w:val="22"/>
  </w:num>
  <w:num w:numId="24" w16cid:durableId="336469639">
    <w:abstractNumId w:val="69"/>
  </w:num>
  <w:num w:numId="25" w16cid:durableId="152453339">
    <w:abstractNumId w:val="84"/>
  </w:num>
  <w:num w:numId="26" w16cid:durableId="1255939209">
    <w:abstractNumId w:val="39"/>
  </w:num>
  <w:num w:numId="27" w16cid:durableId="825243952">
    <w:abstractNumId w:val="52"/>
  </w:num>
  <w:num w:numId="28" w16cid:durableId="1003125054">
    <w:abstractNumId w:val="13"/>
  </w:num>
  <w:num w:numId="29" w16cid:durableId="1335495917">
    <w:abstractNumId w:val="5"/>
  </w:num>
  <w:num w:numId="30" w16cid:durableId="2118596394">
    <w:abstractNumId w:val="37"/>
  </w:num>
  <w:num w:numId="31" w16cid:durableId="1567447495">
    <w:abstractNumId w:val="75"/>
  </w:num>
  <w:num w:numId="32" w16cid:durableId="1630554130">
    <w:abstractNumId w:val="6"/>
  </w:num>
  <w:num w:numId="33" w16cid:durableId="2047901125">
    <w:abstractNumId w:val="44"/>
  </w:num>
  <w:num w:numId="34" w16cid:durableId="1249079043">
    <w:abstractNumId w:val="101"/>
  </w:num>
  <w:num w:numId="35" w16cid:durableId="1890919497">
    <w:abstractNumId w:val="36"/>
  </w:num>
  <w:num w:numId="36" w16cid:durableId="2064404452">
    <w:abstractNumId w:val="24"/>
  </w:num>
  <w:num w:numId="37" w16cid:durableId="309942691">
    <w:abstractNumId w:val="15"/>
  </w:num>
  <w:num w:numId="38" w16cid:durableId="1742481708">
    <w:abstractNumId w:val="51"/>
  </w:num>
  <w:num w:numId="39" w16cid:durableId="1364400442">
    <w:abstractNumId w:val="86"/>
  </w:num>
  <w:num w:numId="40" w16cid:durableId="1349602306">
    <w:abstractNumId w:val="42"/>
  </w:num>
  <w:num w:numId="41" w16cid:durableId="130709375">
    <w:abstractNumId w:val="10"/>
  </w:num>
  <w:num w:numId="42" w16cid:durableId="485826465">
    <w:abstractNumId w:val="30"/>
  </w:num>
  <w:num w:numId="43" w16cid:durableId="790169387">
    <w:abstractNumId w:val="54"/>
  </w:num>
  <w:num w:numId="44" w16cid:durableId="625045227">
    <w:abstractNumId w:val="90"/>
  </w:num>
  <w:num w:numId="45" w16cid:durableId="545071039">
    <w:abstractNumId w:val="77"/>
  </w:num>
  <w:num w:numId="46" w16cid:durableId="236011898">
    <w:abstractNumId w:val="106"/>
  </w:num>
  <w:num w:numId="47" w16cid:durableId="1434325655">
    <w:abstractNumId w:val="62"/>
  </w:num>
  <w:num w:numId="48" w16cid:durableId="717976677">
    <w:abstractNumId w:val="29"/>
  </w:num>
  <w:num w:numId="49" w16cid:durableId="111940098">
    <w:abstractNumId w:val="99"/>
  </w:num>
  <w:num w:numId="50" w16cid:durableId="375205754">
    <w:abstractNumId w:val="45"/>
  </w:num>
  <w:num w:numId="51" w16cid:durableId="2020154153">
    <w:abstractNumId w:val="89"/>
  </w:num>
  <w:num w:numId="52" w16cid:durableId="355888019">
    <w:abstractNumId w:val="59"/>
  </w:num>
  <w:num w:numId="53" w16cid:durableId="2107727640">
    <w:abstractNumId w:val="68"/>
  </w:num>
  <w:num w:numId="54" w16cid:durableId="343173814">
    <w:abstractNumId w:val="60"/>
  </w:num>
  <w:num w:numId="55" w16cid:durableId="994336492">
    <w:abstractNumId w:val="72"/>
  </w:num>
  <w:num w:numId="56" w16cid:durableId="43853240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900141667">
    <w:abstractNumId w:val="5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185360451">
    <w:abstractNumId w:val="3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461505514">
    <w:abstractNumId w:val="6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33495800">
    <w:abstractNumId w:val="9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480080290">
    <w:abstractNumId w:val="10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246307171">
    <w:abstractNumId w:val="58"/>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93733921">
    <w:abstractNumId w:val="38"/>
  </w:num>
  <w:num w:numId="64" w16cid:durableId="914899018">
    <w:abstractNumId w:val="12"/>
  </w:num>
  <w:num w:numId="65" w16cid:durableId="26299017">
    <w:abstractNumId w:val="50"/>
  </w:num>
  <w:num w:numId="66" w16cid:durableId="980772306">
    <w:abstractNumId w:val="97"/>
  </w:num>
  <w:num w:numId="67" w16cid:durableId="1126042728">
    <w:abstractNumId w:val="25"/>
  </w:num>
  <w:num w:numId="68" w16cid:durableId="1464467844">
    <w:abstractNumId w:val="73"/>
  </w:num>
  <w:num w:numId="69" w16cid:durableId="775180006">
    <w:abstractNumId w:val="26"/>
  </w:num>
  <w:num w:numId="70" w16cid:durableId="789058210">
    <w:abstractNumId w:val="3"/>
  </w:num>
  <w:num w:numId="71" w16cid:durableId="1935167819">
    <w:abstractNumId w:val="17"/>
  </w:num>
  <w:num w:numId="72" w16cid:durableId="1331717525">
    <w:abstractNumId w:val="76"/>
  </w:num>
  <w:num w:numId="73" w16cid:durableId="1534612886">
    <w:abstractNumId w:val="46"/>
  </w:num>
  <w:num w:numId="74" w16cid:durableId="2039429092">
    <w:abstractNumId w:val="31"/>
  </w:num>
  <w:num w:numId="75" w16cid:durableId="1263562701">
    <w:abstractNumId w:val="82"/>
  </w:num>
  <w:num w:numId="76" w16cid:durableId="1860002410">
    <w:abstractNumId w:val="67"/>
  </w:num>
  <w:num w:numId="77" w16cid:durableId="1820346167">
    <w:abstractNumId w:val="70"/>
  </w:num>
  <w:num w:numId="78" w16cid:durableId="548302528">
    <w:abstractNumId w:val="7"/>
  </w:num>
  <w:num w:numId="79" w16cid:durableId="221913188">
    <w:abstractNumId w:val="56"/>
  </w:num>
  <w:num w:numId="80" w16cid:durableId="294914597">
    <w:abstractNumId w:val="33"/>
  </w:num>
  <w:num w:numId="81" w16cid:durableId="771782622">
    <w:abstractNumId w:val="63"/>
  </w:num>
  <w:num w:numId="82" w16cid:durableId="1683582714">
    <w:abstractNumId w:val="0"/>
  </w:num>
  <w:num w:numId="83" w16cid:durableId="1211766278">
    <w:abstractNumId w:val="4"/>
  </w:num>
  <w:num w:numId="84" w16cid:durableId="680934231">
    <w:abstractNumId w:val="43"/>
  </w:num>
  <w:num w:numId="85" w16cid:durableId="204097918">
    <w:abstractNumId w:val="16"/>
  </w:num>
  <w:num w:numId="86" w16cid:durableId="1183134340">
    <w:abstractNumId w:val="28"/>
  </w:num>
  <w:num w:numId="87" w16cid:durableId="408231909">
    <w:abstractNumId w:val="61"/>
  </w:num>
  <w:num w:numId="88" w16cid:durableId="1278178650">
    <w:abstractNumId w:val="93"/>
  </w:num>
  <w:num w:numId="89" w16cid:durableId="590815507">
    <w:abstractNumId w:val="32"/>
  </w:num>
  <w:num w:numId="90" w16cid:durableId="1943344729">
    <w:abstractNumId w:val="40"/>
  </w:num>
  <w:num w:numId="91" w16cid:durableId="867990601">
    <w:abstractNumId w:val="71"/>
  </w:num>
  <w:num w:numId="92" w16cid:durableId="361983312">
    <w:abstractNumId w:val="94"/>
  </w:num>
  <w:num w:numId="93" w16cid:durableId="2142336849">
    <w:abstractNumId w:val="20"/>
  </w:num>
  <w:num w:numId="94" w16cid:durableId="918172909">
    <w:abstractNumId w:val="21"/>
  </w:num>
  <w:num w:numId="95" w16cid:durableId="413941344">
    <w:abstractNumId w:val="66"/>
  </w:num>
  <w:num w:numId="96" w16cid:durableId="956252157">
    <w:abstractNumId w:val="19"/>
  </w:num>
  <w:num w:numId="97" w16cid:durableId="1901863611">
    <w:abstractNumId w:val="9"/>
  </w:num>
  <w:num w:numId="98" w16cid:durableId="921791371">
    <w:abstractNumId w:val="104"/>
  </w:num>
  <w:num w:numId="99" w16cid:durableId="2142071002">
    <w:abstractNumId w:val="49"/>
  </w:num>
  <w:num w:numId="100" w16cid:durableId="1873565396">
    <w:abstractNumId w:val="57"/>
  </w:num>
  <w:num w:numId="101" w16cid:durableId="1796102206">
    <w:abstractNumId w:val="2"/>
  </w:num>
  <w:num w:numId="102" w16cid:durableId="1292514444">
    <w:abstractNumId w:val="92"/>
  </w:num>
  <w:num w:numId="103" w16cid:durableId="1396275086">
    <w:abstractNumId w:val="23"/>
  </w:num>
  <w:num w:numId="104" w16cid:durableId="445972931">
    <w:abstractNumId w:val="81"/>
  </w:num>
  <w:num w:numId="105" w16cid:durableId="113718605">
    <w:abstractNumId w:val="1"/>
  </w:num>
  <w:num w:numId="106" w16cid:durableId="1856186405">
    <w:abstractNumId w:val="53"/>
  </w:num>
  <w:num w:numId="107" w16cid:durableId="1286958630">
    <w:abstractNumId w:val="98"/>
  </w:num>
  <w:num w:numId="108" w16cid:durableId="1676229427">
    <w:abstractNumId w:val="79"/>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43EB"/>
    <w:rsid w:val="00000063"/>
    <w:rsid w:val="00000EF3"/>
    <w:rsid w:val="0000106D"/>
    <w:rsid w:val="00001162"/>
    <w:rsid w:val="0000168F"/>
    <w:rsid w:val="0000173B"/>
    <w:rsid w:val="00001B15"/>
    <w:rsid w:val="0000213C"/>
    <w:rsid w:val="00002409"/>
    <w:rsid w:val="0000255F"/>
    <w:rsid w:val="000026A6"/>
    <w:rsid w:val="000029DB"/>
    <w:rsid w:val="00002F71"/>
    <w:rsid w:val="00003149"/>
    <w:rsid w:val="00003225"/>
    <w:rsid w:val="000035B0"/>
    <w:rsid w:val="00003708"/>
    <w:rsid w:val="00003F15"/>
    <w:rsid w:val="00004478"/>
    <w:rsid w:val="0000459D"/>
    <w:rsid w:val="00004786"/>
    <w:rsid w:val="00004B9A"/>
    <w:rsid w:val="00005161"/>
    <w:rsid w:val="000054C1"/>
    <w:rsid w:val="0000552C"/>
    <w:rsid w:val="00005604"/>
    <w:rsid w:val="00005651"/>
    <w:rsid w:val="000056A7"/>
    <w:rsid w:val="00005E91"/>
    <w:rsid w:val="00005F2F"/>
    <w:rsid w:val="00005F76"/>
    <w:rsid w:val="00006188"/>
    <w:rsid w:val="0000638F"/>
    <w:rsid w:val="0000684E"/>
    <w:rsid w:val="00006EFD"/>
    <w:rsid w:val="000076A6"/>
    <w:rsid w:val="00007D07"/>
    <w:rsid w:val="00007D79"/>
    <w:rsid w:val="000105FE"/>
    <w:rsid w:val="000106E1"/>
    <w:rsid w:val="00010A29"/>
    <w:rsid w:val="00010E5E"/>
    <w:rsid w:val="00011132"/>
    <w:rsid w:val="00011360"/>
    <w:rsid w:val="00011365"/>
    <w:rsid w:val="00011584"/>
    <w:rsid w:val="000119A3"/>
    <w:rsid w:val="00011EEF"/>
    <w:rsid w:val="00011FB5"/>
    <w:rsid w:val="00012A7E"/>
    <w:rsid w:val="0001307D"/>
    <w:rsid w:val="00013306"/>
    <w:rsid w:val="000133A7"/>
    <w:rsid w:val="000134BB"/>
    <w:rsid w:val="00013AFB"/>
    <w:rsid w:val="00013B37"/>
    <w:rsid w:val="00013F5C"/>
    <w:rsid w:val="00013F90"/>
    <w:rsid w:val="0001405A"/>
    <w:rsid w:val="00014247"/>
    <w:rsid w:val="000145C7"/>
    <w:rsid w:val="000147AA"/>
    <w:rsid w:val="00014808"/>
    <w:rsid w:val="00014823"/>
    <w:rsid w:val="000149F3"/>
    <w:rsid w:val="00015076"/>
    <w:rsid w:val="000152E5"/>
    <w:rsid w:val="000158D4"/>
    <w:rsid w:val="00015991"/>
    <w:rsid w:val="00016058"/>
    <w:rsid w:val="000164F4"/>
    <w:rsid w:val="0001673C"/>
    <w:rsid w:val="00016B4F"/>
    <w:rsid w:val="00016B70"/>
    <w:rsid w:val="00016DE7"/>
    <w:rsid w:val="00017550"/>
    <w:rsid w:val="000175E1"/>
    <w:rsid w:val="000176DC"/>
    <w:rsid w:val="000177EE"/>
    <w:rsid w:val="00017876"/>
    <w:rsid w:val="00017EA9"/>
    <w:rsid w:val="00017EE0"/>
    <w:rsid w:val="00017EFA"/>
    <w:rsid w:val="00017FAD"/>
    <w:rsid w:val="00020719"/>
    <w:rsid w:val="00020D06"/>
    <w:rsid w:val="00020D82"/>
    <w:rsid w:val="00021898"/>
    <w:rsid w:val="00021BEC"/>
    <w:rsid w:val="00021C62"/>
    <w:rsid w:val="0002231F"/>
    <w:rsid w:val="00022764"/>
    <w:rsid w:val="000227D6"/>
    <w:rsid w:val="00022B2C"/>
    <w:rsid w:val="000235E1"/>
    <w:rsid w:val="00023F2A"/>
    <w:rsid w:val="00024283"/>
    <w:rsid w:val="0002431C"/>
    <w:rsid w:val="00024352"/>
    <w:rsid w:val="000244C4"/>
    <w:rsid w:val="00024ABB"/>
    <w:rsid w:val="00024F8D"/>
    <w:rsid w:val="000252D8"/>
    <w:rsid w:val="00025361"/>
    <w:rsid w:val="00025477"/>
    <w:rsid w:val="000257EE"/>
    <w:rsid w:val="00025E02"/>
    <w:rsid w:val="00025FC4"/>
    <w:rsid w:val="00026002"/>
    <w:rsid w:val="00026AA2"/>
    <w:rsid w:val="00026C78"/>
    <w:rsid w:val="00026D47"/>
    <w:rsid w:val="000271D6"/>
    <w:rsid w:val="00027235"/>
    <w:rsid w:val="000272B3"/>
    <w:rsid w:val="00027340"/>
    <w:rsid w:val="0002743E"/>
    <w:rsid w:val="0002747F"/>
    <w:rsid w:val="00027776"/>
    <w:rsid w:val="00027979"/>
    <w:rsid w:val="00030525"/>
    <w:rsid w:val="000308B6"/>
    <w:rsid w:val="00030A2F"/>
    <w:rsid w:val="00031222"/>
    <w:rsid w:val="0003132F"/>
    <w:rsid w:val="000315D8"/>
    <w:rsid w:val="00031602"/>
    <w:rsid w:val="0003172D"/>
    <w:rsid w:val="00031754"/>
    <w:rsid w:val="000318D2"/>
    <w:rsid w:val="00031C50"/>
    <w:rsid w:val="00031E3F"/>
    <w:rsid w:val="000321AF"/>
    <w:rsid w:val="00032581"/>
    <w:rsid w:val="000329C3"/>
    <w:rsid w:val="00032B79"/>
    <w:rsid w:val="00032D3B"/>
    <w:rsid w:val="00033184"/>
    <w:rsid w:val="00033A9D"/>
    <w:rsid w:val="00033AFA"/>
    <w:rsid w:val="0003455F"/>
    <w:rsid w:val="00034F8F"/>
    <w:rsid w:val="00034FDC"/>
    <w:rsid w:val="00035129"/>
    <w:rsid w:val="000355FA"/>
    <w:rsid w:val="000359F3"/>
    <w:rsid w:val="00035D93"/>
    <w:rsid w:val="00036229"/>
    <w:rsid w:val="0003637C"/>
    <w:rsid w:val="0003684D"/>
    <w:rsid w:val="00036A3F"/>
    <w:rsid w:val="00036C32"/>
    <w:rsid w:val="00036C4C"/>
    <w:rsid w:val="00036D5A"/>
    <w:rsid w:val="00037501"/>
    <w:rsid w:val="00037929"/>
    <w:rsid w:val="00037A2C"/>
    <w:rsid w:val="00037C04"/>
    <w:rsid w:val="00037C8C"/>
    <w:rsid w:val="00037D8A"/>
    <w:rsid w:val="00037DC1"/>
    <w:rsid w:val="0004024F"/>
    <w:rsid w:val="0004041E"/>
    <w:rsid w:val="000405E5"/>
    <w:rsid w:val="000406A7"/>
    <w:rsid w:val="000408E6"/>
    <w:rsid w:val="00041130"/>
    <w:rsid w:val="000415A5"/>
    <w:rsid w:val="00041F53"/>
    <w:rsid w:val="0004219F"/>
    <w:rsid w:val="000425F8"/>
    <w:rsid w:val="00042DFA"/>
    <w:rsid w:val="00042F66"/>
    <w:rsid w:val="00042F9E"/>
    <w:rsid w:val="00043465"/>
    <w:rsid w:val="00043540"/>
    <w:rsid w:val="000436FD"/>
    <w:rsid w:val="00044D68"/>
    <w:rsid w:val="00044F80"/>
    <w:rsid w:val="00045162"/>
    <w:rsid w:val="00045255"/>
    <w:rsid w:val="000457E6"/>
    <w:rsid w:val="00045F92"/>
    <w:rsid w:val="00046068"/>
    <w:rsid w:val="000460E0"/>
    <w:rsid w:val="000461FF"/>
    <w:rsid w:val="00046662"/>
    <w:rsid w:val="00046992"/>
    <w:rsid w:val="00046E69"/>
    <w:rsid w:val="000472D3"/>
    <w:rsid w:val="0004738D"/>
    <w:rsid w:val="000475B5"/>
    <w:rsid w:val="000475C8"/>
    <w:rsid w:val="00050019"/>
    <w:rsid w:val="00050461"/>
    <w:rsid w:val="00050572"/>
    <w:rsid w:val="0005080C"/>
    <w:rsid w:val="00050AC7"/>
    <w:rsid w:val="00051206"/>
    <w:rsid w:val="00051446"/>
    <w:rsid w:val="00051F9E"/>
    <w:rsid w:val="00052059"/>
    <w:rsid w:val="00052331"/>
    <w:rsid w:val="000524EB"/>
    <w:rsid w:val="00052BAC"/>
    <w:rsid w:val="00052D6C"/>
    <w:rsid w:val="0005335D"/>
    <w:rsid w:val="000535D4"/>
    <w:rsid w:val="00053C15"/>
    <w:rsid w:val="00053F40"/>
    <w:rsid w:val="000541D4"/>
    <w:rsid w:val="0005453B"/>
    <w:rsid w:val="000546A2"/>
    <w:rsid w:val="000546BC"/>
    <w:rsid w:val="00054719"/>
    <w:rsid w:val="00055671"/>
    <w:rsid w:val="0005569C"/>
    <w:rsid w:val="00055A7C"/>
    <w:rsid w:val="00055C0D"/>
    <w:rsid w:val="00055ECD"/>
    <w:rsid w:val="00056332"/>
    <w:rsid w:val="00056469"/>
    <w:rsid w:val="0005651A"/>
    <w:rsid w:val="00056550"/>
    <w:rsid w:val="00056A04"/>
    <w:rsid w:val="00056F7A"/>
    <w:rsid w:val="0005707C"/>
    <w:rsid w:val="0005780C"/>
    <w:rsid w:val="00057A03"/>
    <w:rsid w:val="00057B86"/>
    <w:rsid w:val="00060037"/>
    <w:rsid w:val="00060384"/>
    <w:rsid w:val="000603D1"/>
    <w:rsid w:val="0006082C"/>
    <w:rsid w:val="00060ABD"/>
    <w:rsid w:val="00060CCF"/>
    <w:rsid w:val="00061830"/>
    <w:rsid w:val="0006197A"/>
    <w:rsid w:val="00061AA9"/>
    <w:rsid w:val="00061B9C"/>
    <w:rsid w:val="00061CA3"/>
    <w:rsid w:val="00061DD7"/>
    <w:rsid w:val="00061E38"/>
    <w:rsid w:val="00061EBA"/>
    <w:rsid w:val="0006269F"/>
    <w:rsid w:val="00062728"/>
    <w:rsid w:val="0006282F"/>
    <w:rsid w:val="00062BD9"/>
    <w:rsid w:val="00062C4C"/>
    <w:rsid w:val="00062C69"/>
    <w:rsid w:val="00063B6A"/>
    <w:rsid w:val="00064122"/>
    <w:rsid w:val="000644EE"/>
    <w:rsid w:val="0006486C"/>
    <w:rsid w:val="00064E13"/>
    <w:rsid w:val="00064FF4"/>
    <w:rsid w:val="00065326"/>
    <w:rsid w:val="000653A6"/>
    <w:rsid w:val="000653E1"/>
    <w:rsid w:val="0006626F"/>
    <w:rsid w:val="000667F4"/>
    <w:rsid w:val="00066867"/>
    <w:rsid w:val="000668D8"/>
    <w:rsid w:val="00067010"/>
    <w:rsid w:val="00067872"/>
    <w:rsid w:val="00067E4A"/>
    <w:rsid w:val="00070788"/>
    <w:rsid w:val="0007104D"/>
    <w:rsid w:val="0007134A"/>
    <w:rsid w:val="000714A9"/>
    <w:rsid w:val="00071BDB"/>
    <w:rsid w:val="00071C56"/>
    <w:rsid w:val="00071D18"/>
    <w:rsid w:val="00071D8D"/>
    <w:rsid w:val="000720C4"/>
    <w:rsid w:val="0007227B"/>
    <w:rsid w:val="0007237E"/>
    <w:rsid w:val="0007248D"/>
    <w:rsid w:val="00072966"/>
    <w:rsid w:val="00072A00"/>
    <w:rsid w:val="00072B38"/>
    <w:rsid w:val="00072C0B"/>
    <w:rsid w:val="00072E6B"/>
    <w:rsid w:val="0007305C"/>
    <w:rsid w:val="00073559"/>
    <w:rsid w:val="00073870"/>
    <w:rsid w:val="00073916"/>
    <w:rsid w:val="00073B26"/>
    <w:rsid w:val="00074742"/>
    <w:rsid w:val="00074A15"/>
    <w:rsid w:val="00075302"/>
    <w:rsid w:val="000753BA"/>
    <w:rsid w:val="000753C6"/>
    <w:rsid w:val="000759A8"/>
    <w:rsid w:val="00075AE5"/>
    <w:rsid w:val="00075AF0"/>
    <w:rsid w:val="00075C9B"/>
    <w:rsid w:val="00075F93"/>
    <w:rsid w:val="00076312"/>
    <w:rsid w:val="00076670"/>
    <w:rsid w:val="00076779"/>
    <w:rsid w:val="0007681D"/>
    <w:rsid w:val="00077057"/>
    <w:rsid w:val="00077071"/>
    <w:rsid w:val="000778B5"/>
    <w:rsid w:val="00077E8B"/>
    <w:rsid w:val="000806EC"/>
    <w:rsid w:val="000807F5"/>
    <w:rsid w:val="00080854"/>
    <w:rsid w:val="00080D29"/>
    <w:rsid w:val="00080E74"/>
    <w:rsid w:val="00081346"/>
    <w:rsid w:val="000819A5"/>
    <w:rsid w:val="000820C5"/>
    <w:rsid w:val="00082475"/>
    <w:rsid w:val="0008253A"/>
    <w:rsid w:val="00082758"/>
    <w:rsid w:val="00082F82"/>
    <w:rsid w:val="000831CE"/>
    <w:rsid w:val="0008342C"/>
    <w:rsid w:val="00083608"/>
    <w:rsid w:val="00083C5C"/>
    <w:rsid w:val="000840D0"/>
    <w:rsid w:val="000840D5"/>
    <w:rsid w:val="0008455A"/>
    <w:rsid w:val="00084829"/>
    <w:rsid w:val="00084A81"/>
    <w:rsid w:val="00084AB9"/>
    <w:rsid w:val="00084B78"/>
    <w:rsid w:val="00085454"/>
    <w:rsid w:val="000855F1"/>
    <w:rsid w:val="0008591D"/>
    <w:rsid w:val="00085978"/>
    <w:rsid w:val="0008598D"/>
    <w:rsid w:val="0008607F"/>
    <w:rsid w:val="00086CCF"/>
    <w:rsid w:val="000870A1"/>
    <w:rsid w:val="00087493"/>
    <w:rsid w:val="00087840"/>
    <w:rsid w:val="00087890"/>
    <w:rsid w:val="0008795E"/>
    <w:rsid w:val="00087C64"/>
    <w:rsid w:val="00090159"/>
    <w:rsid w:val="00090B76"/>
    <w:rsid w:val="000911C1"/>
    <w:rsid w:val="00091FFB"/>
    <w:rsid w:val="00092554"/>
    <w:rsid w:val="000925FE"/>
    <w:rsid w:val="000930C1"/>
    <w:rsid w:val="000933CB"/>
    <w:rsid w:val="00093650"/>
    <w:rsid w:val="00093A27"/>
    <w:rsid w:val="00093D7B"/>
    <w:rsid w:val="00093E9F"/>
    <w:rsid w:val="00094273"/>
    <w:rsid w:val="0009435B"/>
    <w:rsid w:val="000943E8"/>
    <w:rsid w:val="00094CAF"/>
    <w:rsid w:val="00094D71"/>
    <w:rsid w:val="00094ECA"/>
    <w:rsid w:val="00095316"/>
    <w:rsid w:val="0009566F"/>
    <w:rsid w:val="00095925"/>
    <w:rsid w:val="00095AAF"/>
    <w:rsid w:val="00095EF4"/>
    <w:rsid w:val="0009600A"/>
    <w:rsid w:val="0009686C"/>
    <w:rsid w:val="00096B90"/>
    <w:rsid w:val="00097294"/>
    <w:rsid w:val="000973B5"/>
    <w:rsid w:val="000976FC"/>
    <w:rsid w:val="000977E7"/>
    <w:rsid w:val="00097C2C"/>
    <w:rsid w:val="000A0061"/>
    <w:rsid w:val="000A0146"/>
    <w:rsid w:val="000A0C39"/>
    <w:rsid w:val="000A0EA2"/>
    <w:rsid w:val="000A0F7E"/>
    <w:rsid w:val="000A141D"/>
    <w:rsid w:val="000A16C0"/>
    <w:rsid w:val="000A27F9"/>
    <w:rsid w:val="000A3156"/>
    <w:rsid w:val="000A32D1"/>
    <w:rsid w:val="000A32FE"/>
    <w:rsid w:val="000A3511"/>
    <w:rsid w:val="000A3529"/>
    <w:rsid w:val="000A3D89"/>
    <w:rsid w:val="000A45B3"/>
    <w:rsid w:val="000A4849"/>
    <w:rsid w:val="000A65F1"/>
    <w:rsid w:val="000A6A2B"/>
    <w:rsid w:val="000A6AE8"/>
    <w:rsid w:val="000A6C06"/>
    <w:rsid w:val="000A7068"/>
    <w:rsid w:val="000A7488"/>
    <w:rsid w:val="000A7757"/>
    <w:rsid w:val="000A784C"/>
    <w:rsid w:val="000A786C"/>
    <w:rsid w:val="000A7CA4"/>
    <w:rsid w:val="000A7CE9"/>
    <w:rsid w:val="000B009E"/>
    <w:rsid w:val="000B03B5"/>
    <w:rsid w:val="000B066D"/>
    <w:rsid w:val="000B0FA6"/>
    <w:rsid w:val="000B1224"/>
    <w:rsid w:val="000B16F1"/>
    <w:rsid w:val="000B1989"/>
    <w:rsid w:val="000B2416"/>
    <w:rsid w:val="000B2470"/>
    <w:rsid w:val="000B343D"/>
    <w:rsid w:val="000B486C"/>
    <w:rsid w:val="000B4897"/>
    <w:rsid w:val="000B4923"/>
    <w:rsid w:val="000B4E06"/>
    <w:rsid w:val="000B5138"/>
    <w:rsid w:val="000B57DB"/>
    <w:rsid w:val="000B5805"/>
    <w:rsid w:val="000B5D88"/>
    <w:rsid w:val="000B63AB"/>
    <w:rsid w:val="000B667E"/>
    <w:rsid w:val="000B6E55"/>
    <w:rsid w:val="000B7177"/>
    <w:rsid w:val="000B720D"/>
    <w:rsid w:val="000B7608"/>
    <w:rsid w:val="000B77E9"/>
    <w:rsid w:val="000C06CC"/>
    <w:rsid w:val="000C0ABA"/>
    <w:rsid w:val="000C118C"/>
    <w:rsid w:val="000C1238"/>
    <w:rsid w:val="000C1251"/>
    <w:rsid w:val="000C1307"/>
    <w:rsid w:val="000C13CF"/>
    <w:rsid w:val="000C1495"/>
    <w:rsid w:val="000C156B"/>
    <w:rsid w:val="000C15A9"/>
    <w:rsid w:val="000C16D3"/>
    <w:rsid w:val="000C1A09"/>
    <w:rsid w:val="000C1A76"/>
    <w:rsid w:val="000C1A7A"/>
    <w:rsid w:val="000C1A82"/>
    <w:rsid w:val="000C1B65"/>
    <w:rsid w:val="000C1E01"/>
    <w:rsid w:val="000C2122"/>
    <w:rsid w:val="000C2451"/>
    <w:rsid w:val="000C2AA4"/>
    <w:rsid w:val="000C2B66"/>
    <w:rsid w:val="000C30F9"/>
    <w:rsid w:val="000C33B2"/>
    <w:rsid w:val="000C3692"/>
    <w:rsid w:val="000C4326"/>
    <w:rsid w:val="000C43EC"/>
    <w:rsid w:val="000C5150"/>
    <w:rsid w:val="000C525C"/>
    <w:rsid w:val="000C529E"/>
    <w:rsid w:val="000C546E"/>
    <w:rsid w:val="000C58CA"/>
    <w:rsid w:val="000C5FFA"/>
    <w:rsid w:val="000C6179"/>
    <w:rsid w:val="000C6548"/>
    <w:rsid w:val="000C65C4"/>
    <w:rsid w:val="000C6614"/>
    <w:rsid w:val="000C7061"/>
    <w:rsid w:val="000C7AE2"/>
    <w:rsid w:val="000D14D8"/>
    <w:rsid w:val="000D166D"/>
    <w:rsid w:val="000D1938"/>
    <w:rsid w:val="000D1A7B"/>
    <w:rsid w:val="000D1B03"/>
    <w:rsid w:val="000D226F"/>
    <w:rsid w:val="000D2551"/>
    <w:rsid w:val="000D269D"/>
    <w:rsid w:val="000D27AA"/>
    <w:rsid w:val="000D2831"/>
    <w:rsid w:val="000D2B49"/>
    <w:rsid w:val="000D2C9E"/>
    <w:rsid w:val="000D3568"/>
    <w:rsid w:val="000D40D0"/>
    <w:rsid w:val="000D4317"/>
    <w:rsid w:val="000D43F7"/>
    <w:rsid w:val="000D45A5"/>
    <w:rsid w:val="000D45C5"/>
    <w:rsid w:val="000D4848"/>
    <w:rsid w:val="000D4A4A"/>
    <w:rsid w:val="000D4BE1"/>
    <w:rsid w:val="000D542E"/>
    <w:rsid w:val="000D54DE"/>
    <w:rsid w:val="000D5A07"/>
    <w:rsid w:val="000D5AA3"/>
    <w:rsid w:val="000D5ACB"/>
    <w:rsid w:val="000D604A"/>
    <w:rsid w:val="000D6086"/>
    <w:rsid w:val="000D614A"/>
    <w:rsid w:val="000D6C78"/>
    <w:rsid w:val="000D6C9A"/>
    <w:rsid w:val="000D6DF9"/>
    <w:rsid w:val="000D73B3"/>
    <w:rsid w:val="000D77AB"/>
    <w:rsid w:val="000D795F"/>
    <w:rsid w:val="000E00F0"/>
    <w:rsid w:val="000E0223"/>
    <w:rsid w:val="000E09A1"/>
    <w:rsid w:val="000E09B5"/>
    <w:rsid w:val="000E0E4B"/>
    <w:rsid w:val="000E0E8F"/>
    <w:rsid w:val="000E0F19"/>
    <w:rsid w:val="000E1567"/>
    <w:rsid w:val="000E1B04"/>
    <w:rsid w:val="000E1DD1"/>
    <w:rsid w:val="000E1FAD"/>
    <w:rsid w:val="000E25F4"/>
    <w:rsid w:val="000E28BE"/>
    <w:rsid w:val="000E2AC2"/>
    <w:rsid w:val="000E3C41"/>
    <w:rsid w:val="000E41C4"/>
    <w:rsid w:val="000E4360"/>
    <w:rsid w:val="000E483C"/>
    <w:rsid w:val="000E4CAE"/>
    <w:rsid w:val="000E4E3D"/>
    <w:rsid w:val="000E54C7"/>
    <w:rsid w:val="000E57D1"/>
    <w:rsid w:val="000E57F9"/>
    <w:rsid w:val="000E5A95"/>
    <w:rsid w:val="000E5C3F"/>
    <w:rsid w:val="000E5FC0"/>
    <w:rsid w:val="000E6172"/>
    <w:rsid w:val="000E61B9"/>
    <w:rsid w:val="000E676C"/>
    <w:rsid w:val="000E6CB5"/>
    <w:rsid w:val="000E7371"/>
    <w:rsid w:val="000E7750"/>
    <w:rsid w:val="000E776B"/>
    <w:rsid w:val="000E79CE"/>
    <w:rsid w:val="000E7D85"/>
    <w:rsid w:val="000E7DDF"/>
    <w:rsid w:val="000E7F7A"/>
    <w:rsid w:val="000E7F89"/>
    <w:rsid w:val="000F0103"/>
    <w:rsid w:val="000F0122"/>
    <w:rsid w:val="000F0145"/>
    <w:rsid w:val="000F0214"/>
    <w:rsid w:val="000F04AB"/>
    <w:rsid w:val="000F05EB"/>
    <w:rsid w:val="000F0DCA"/>
    <w:rsid w:val="000F1BAB"/>
    <w:rsid w:val="000F1BFA"/>
    <w:rsid w:val="000F2200"/>
    <w:rsid w:val="000F2477"/>
    <w:rsid w:val="000F257A"/>
    <w:rsid w:val="000F2850"/>
    <w:rsid w:val="000F2928"/>
    <w:rsid w:val="000F2CF0"/>
    <w:rsid w:val="000F2DCD"/>
    <w:rsid w:val="000F2F6D"/>
    <w:rsid w:val="000F39ED"/>
    <w:rsid w:val="000F3AD8"/>
    <w:rsid w:val="000F3B82"/>
    <w:rsid w:val="000F3C67"/>
    <w:rsid w:val="000F3EC9"/>
    <w:rsid w:val="000F3F81"/>
    <w:rsid w:val="000F40FE"/>
    <w:rsid w:val="000F4289"/>
    <w:rsid w:val="000F4422"/>
    <w:rsid w:val="000F4B58"/>
    <w:rsid w:val="000F4B9E"/>
    <w:rsid w:val="000F54F0"/>
    <w:rsid w:val="000F578D"/>
    <w:rsid w:val="000F5BC9"/>
    <w:rsid w:val="000F647D"/>
    <w:rsid w:val="000F6FBC"/>
    <w:rsid w:val="000F71AC"/>
    <w:rsid w:val="000F75E8"/>
    <w:rsid w:val="000F7997"/>
    <w:rsid w:val="000F7B55"/>
    <w:rsid w:val="000F7E6F"/>
    <w:rsid w:val="000F7E8C"/>
    <w:rsid w:val="000F7F4C"/>
    <w:rsid w:val="0010006C"/>
    <w:rsid w:val="00100209"/>
    <w:rsid w:val="001002EA"/>
    <w:rsid w:val="001005A4"/>
    <w:rsid w:val="001005D8"/>
    <w:rsid w:val="00101959"/>
    <w:rsid w:val="00102710"/>
    <w:rsid w:val="001027FF"/>
    <w:rsid w:val="0010284B"/>
    <w:rsid w:val="00102A02"/>
    <w:rsid w:val="00102A74"/>
    <w:rsid w:val="00102C53"/>
    <w:rsid w:val="00102DA8"/>
    <w:rsid w:val="00102EBC"/>
    <w:rsid w:val="00102F92"/>
    <w:rsid w:val="001030D7"/>
    <w:rsid w:val="00103116"/>
    <w:rsid w:val="0010326C"/>
    <w:rsid w:val="001037BE"/>
    <w:rsid w:val="00103892"/>
    <w:rsid w:val="00103B99"/>
    <w:rsid w:val="00103D54"/>
    <w:rsid w:val="00103DA3"/>
    <w:rsid w:val="00104015"/>
    <w:rsid w:val="00104559"/>
    <w:rsid w:val="001045DF"/>
    <w:rsid w:val="00104639"/>
    <w:rsid w:val="00104B66"/>
    <w:rsid w:val="0010505A"/>
    <w:rsid w:val="0010579C"/>
    <w:rsid w:val="00105C78"/>
    <w:rsid w:val="0010630D"/>
    <w:rsid w:val="00106410"/>
    <w:rsid w:val="001065D5"/>
    <w:rsid w:val="00106BC1"/>
    <w:rsid w:val="00106C52"/>
    <w:rsid w:val="00107092"/>
    <w:rsid w:val="00107119"/>
    <w:rsid w:val="001073BA"/>
    <w:rsid w:val="0010778A"/>
    <w:rsid w:val="00107972"/>
    <w:rsid w:val="00107C32"/>
    <w:rsid w:val="0011025C"/>
    <w:rsid w:val="00110C29"/>
    <w:rsid w:val="0011112B"/>
    <w:rsid w:val="0011131C"/>
    <w:rsid w:val="0011169B"/>
    <w:rsid w:val="001117E6"/>
    <w:rsid w:val="001119F8"/>
    <w:rsid w:val="00111D16"/>
    <w:rsid w:val="00112D0A"/>
    <w:rsid w:val="00112F66"/>
    <w:rsid w:val="001132B6"/>
    <w:rsid w:val="0011371D"/>
    <w:rsid w:val="001137F9"/>
    <w:rsid w:val="0011380E"/>
    <w:rsid w:val="00113B05"/>
    <w:rsid w:val="00113ED9"/>
    <w:rsid w:val="0011425A"/>
    <w:rsid w:val="001143F5"/>
    <w:rsid w:val="00114939"/>
    <w:rsid w:val="00114A6B"/>
    <w:rsid w:val="00114CD7"/>
    <w:rsid w:val="00115256"/>
    <w:rsid w:val="001155EA"/>
    <w:rsid w:val="00115CE4"/>
    <w:rsid w:val="00115DA4"/>
    <w:rsid w:val="00115DB1"/>
    <w:rsid w:val="00115FB5"/>
    <w:rsid w:val="0011633F"/>
    <w:rsid w:val="00116D04"/>
    <w:rsid w:val="001170AC"/>
    <w:rsid w:val="00117185"/>
    <w:rsid w:val="0011725F"/>
    <w:rsid w:val="00117519"/>
    <w:rsid w:val="00117637"/>
    <w:rsid w:val="001176BD"/>
    <w:rsid w:val="00117ABA"/>
    <w:rsid w:val="00117C03"/>
    <w:rsid w:val="00120462"/>
    <w:rsid w:val="001206CB"/>
    <w:rsid w:val="00120C55"/>
    <w:rsid w:val="00121764"/>
    <w:rsid w:val="001222B1"/>
    <w:rsid w:val="001228D8"/>
    <w:rsid w:val="0012329F"/>
    <w:rsid w:val="001233D8"/>
    <w:rsid w:val="00123480"/>
    <w:rsid w:val="001237FF"/>
    <w:rsid w:val="00124A6B"/>
    <w:rsid w:val="00124B2F"/>
    <w:rsid w:val="00124D78"/>
    <w:rsid w:val="001251B9"/>
    <w:rsid w:val="00125A2D"/>
    <w:rsid w:val="00125A98"/>
    <w:rsid w:val="00125E7E"/>
    <w:rsid w:val="00125FD7"/>
    <w:rsid w:val="00126154"/>
    <w:rsid w:val="0012623F"/>
    <w:rsid w:val="0012625C"/>
    <w:rsid w:val="00126606"/>
    <w:rsid w:val="0012781D"/>
    <w:rsid w:val="00127B35"/>
    <w:rsid w:val="00127C36"/>
    <w:rsid w:val="00127EE1"/>
    <w:rsid w:val="001301EB"/>
    <w:rsid w:val="001301F5"/>
    <w:rsid w:val="001302F8"/>
    <w:rsid w:val="001306F4"/>
    <w:rsid w:val="00130831"/>
    <w:rsid w:val="00130E03"/>
    <w:rsid w:val="00131130"/>
    <w:rsid w:val="00131292"/>
    <w:rsid w:val="0013154C"/>
    <w:rsid w:val="00131754"/>
    <w:rsid w:val="00131C0E"/>
    <w:rsid w:val="00131D9F"/>
    <w:rsid w:val="00131EEE"/>
    <w:rsid w:val="00131FA7"/>
    <w:rsid w:val="001324DA"/>
    <w:rsid w:val="001325E8"/>
    <w:rsid w:val="00132CC3"/>
    <w:rsid w:val="00132FB9"/>
    <w:rsid w:val="00133201"/>
    <w:rsid w:val="00133419"/>
    <w:rsid w:val="00133C4C"/>
    <w:rsid w:val="00134030"/>
    <w:rsid w:val="00134085"/>
    <w:rsid w:val="001342C2"/>
    <w:rsid w:val="00134447"/>
    <w:rsid w:val="00134B2A"/>
    <w:rsid w:val="00134F65"/>
    <w:rsid w:val="001352CC"/>
    <w:rsid w:val="00135364"/>
    <w:rsid w:val="00135985"/>
    <w:rsid w:val="00135992"/>
    <w:rsid w:val="00136A73"/>
    <w:rsid w:val="00136BBE"/>
    <w:rsid w:val="00137023"/>
    <w:rsid w:val="00137090"/>
    <w:rsid w:val="001378B0"/>
    <w:rsid w:val="00137925"/>
    <w:rsid w:val="001379D9"/>
    <w:rsid w:val="00137EC4"/>
    <w:rsid w:val="00137F8F"/>
    <w:rsid w:val="0014041B"/>
    <w:rsid w:val="001405A6"/>
    <w:rsid w:val="0014067D"/>
    <w:rsid w:val="00140CA5"/>
    <w:rsid w:val="00140CB8"/>
    <w:rsid w:val="00140D60"/>
    <w:rsid w:val="001412BC"/>
    <w:rsid w:val="001418E1"/>
    <w:rsid w:val="00141BAB"/>
    <w:rsid w:val="00141F77"/>
    <w:rsid w:val="001420DE"/>
    <w:rsid w:val="001422AE"/>
    <w:rsid w:val="001422E9"/>
    <w:rsid w:val="00142CF9"/>
    <w:rsid w:val="001434CE"/>
    <w:rsid w:val="001435DE"/>
    <w:rsid w:val="001436AD"/>
    <w:rsid w:val="00144146"/>
    <w:rsid w:val="001444F8"/>
    <w:rsid w:val="0014464D"/>
    <w:rsid w:val="00144F3E"/>
    <w:rsid w:val="00144FC2"/>
    <w:rsid w:val="001455A5"/>
    <w:rsid w:val="00145B2F"/>
    <w:rsid w:val="00145C90"/>
    <w:rsid w:val="00145FB9"/>
    <w:rsid w:val="00146497"/>
    <w:rsid w:val="001470A7"/>
    <w:rsid w:val="001472C2"/>
    <w:rsid w:val="00147763"/>
    <w:rsid w:val="0014787B"/>
    <w:rsid w:val="00147884"/>
    <w:rsid w:val="001478FE"/>
    <w:rsid w:val="001479DF"/>
    <w:rsid w:val="00147A06"/>
    <w:rsid w:val="00147AB4"/>
    <w:rsid w:val="00147B25"/>
    <w:rsid w:val="0015049F"/>
    <w:rsid w:val="001506FE"/>
    <w:rsid w:val="001508F3"/>
    <w:rsid w:val="00150A2C"/>
    <w:rsid w:val="00150C39"/>
    <w:rsid w:val="00150CDF"/>
    <w:rsid w:val="001517E7"/>
    <w:rsid w:val="0015181D"/>
    <w:rsid w:val="001518E7"/>
    <w:rsid w:val="00151CF7"/>
    <w:rsid w:val="00151E99"/>
    <w:rsid w:val="00151FF3"/>
    <w:rsid w:val="001521B8"/>
    <w:rsid w:val="0015255A"/>
    <w:rsid w:val="00152CD2"/>
    <w:rsid w:val="001535E3"/>
    <w:rsid w:val="0015365D"/>
    <w:rsid w:val="001537F2"/>
    <w:rsid w:val="001537F9"/>
    <w:rsid w:val="00153EBC"/>
    <w:rsid w:val="00153F01"/>
    <w:rsid w:val="00154139"/>
    <w:rsid w:val="00154180"/>
    <w:rsid w:val="001543C7"/>
    <w:rsid w:val="00154B68"/>
    <w:rsid w:val="00155185"/>
    <w:rsid w:val="001553D8"/>
    <w:rsid w:val="001557A4"/>
    <w:rsid w:val="001557FA"/>
    <w:rsid w:val="0015591B"/>
    <w:rsid w:val="00156BA4"/>
    <w:rsid w:val="0015704C"/>
    <w:rsid w:val="001571F8"/>
    <w:rsid w:val="00157796"/>
    <w:rsid w:val="00157B08"/>
    <w:rsid w:val="00157C4F"/>
    <w:rsid w:val="00157E00"/>
    <w:rsid w:val="00157FCD"/>
    <w:rsid w:val="001605A1"/>
    <w:rsid w:val="001606C7"/>
    <w:rsid w:val="00160CEC"/>
    <w:rsid w:val="00160D39"/>
    <w:rsid w:val="00161183"/>
    <w:rsid w:val="001612D3"/>
    <w:rsid w:val="001614B3"/>
    <w:rsid w:val="0016170A"/>
    <w:rsid w:val="00162329"/>
    <w:rsid w:val="001627F9"/>
    <w:rsid w:val="00162996"/>
    <w:rsid w:val="00162E04"/>
    <w:rsid w:val="00163480"/>
    <w:rsid w:val="001635E4"/>
    <w:rsid w:val="00163A48"/>
    <w:rsid w:val="00163A56"/>
    <w:rsid w:val="00163CA6"/>
    <w:rsid w:val="001640BF"/>
    <w:rsid w:val="00164720"/>
    <w:rsid w:val="001648A1"/>
    <w:rsid w:val="00164B76"/>
    <w:rsid w:val="00164DD4"/>
    <w:rsid w:val="0016518E"/>
    <w:rsid w:val="001652A8"/>
    <w:rsid w:val="001659E8"/>
    <w:rsid w:val="00165D45"/>
    <w:rsid w:val="00165D7C"/>
    <w:rsid w:val="00165EAA"/>
    <w:rsid w:val="001662D9"/>
    <w:rsid w:val="00166BFE"/>
    <w:rsid w:val="00167378"/>
    <w:rsid w:val="00167451"/>
    <w:rsid w:val="00167740"/>
    <w:rsid w:val="0016774F"/>
    <w:rsid w:val="00167900"/>
    <w:rsid w:val="00167C67"/>
    <w:rsid w:val="00167EBB"/>
    <w:rsid w:val="00170364"/>
    <w:rsid w:val="001703F5"/>
    <w:rsid w:val="00170907"/>
    <w:rsid w:val="00170CDF"/>
    <w:rsid w:val="00170F0B"/>
    <w:rsid w:val="00171BA4"/>
    <w:rsid w:val="00171E57"/>
    <w:rsid w:val="00171E7D"/>
    <w:rsid w:val="001726AA"/>
    <w:rsid w:val="001733F1"/>
    <w:rsid w:val="0017372F"/>
    <w:rsid w:val="00173B22"/>
    <w:rsid w:val="00173BCF"/>
    <w:rsid w:val="00173D8D"/>
    <w:rsid w:val="00174068"/>
    <w:rsid w:val="001740D4"/>
    <w:rsid w:val="00174104"/>
    <w:rsid w:val="0017456E"/>
    <w:rsid w:val="001745FC"/>
    <w:rsid w:val="00175276"/>
    <w:rsid w:val="001752E7"/>
    <w:rsid w:val="00175361"/>
    <w:rsid w:val="0017568B"/>
    <w:rsid w:val="00175989"/>
    <w:rsid w:val="00175D02"/>
    <w:rsid w:val="00175F82"/>
    <w:rsid w:val="00176187"/>
    <w:rsid w:val="00176248"/>
    <w:rsid w:val="00176277"/>
    <w:rsid w:val="00176EAA"/>
    <w:rsid w:val="00177362"/>
    <w:rsid w:val="0017746F"/>
    <w:rsid w:val="00177567"/>
    <w:rsid w:val="00177673"/>
    <w:rsid w:val="00177FDC"/>
    <w:rsid w:val="001808D1"/>
    <w:rsid w:val="0018111B"/>
    <w:rsid w:val="0018156F"/>
    <w:rsid w:val="001822CA"/>
    <w:rsid w:val="0018261B"/>
    <w:rsid w:val="0018282E"/>
    <w:rsid w:val="00182A0C"/>
    <w:rsid w:val="00182F51"/>
    <w:rsid w:val="001833D4"/>
    <w:rsid w:val="00183425"/>
    <w:rsid w:val="00183B67"/>
    <w:rsid w:val="00183DE5"/>
    <w:rsid w:val="00183F43"/>
    <w:rsid w:val="00183F58"/>
    <w:rsid w:val="00184EBC"/>
    <w:rsid w:val="00184F84"/>
    <w:rsid w:val="001850C5"/>
    <w:rsid w:val="001851FC"/>
    <w:rsid w:val="001855A5"/>
    <w:rsid w:val="00185744"/>
    <w:rsid w:val="001859FD"/>
    <w:rsid w:val="00185B79"/>
    <w:rsid w:val="00185C99"/>
    <w:rsid w:val="00185FFB"/>
    <w:rsid w:val="0018697F"/>
    <w:rsid w:val="00186AA3"/>
    <w:rsid w:val="00186CAF"/>
    <w:rsid w:val="00186E8E"/>
    <w:rsid w:val="00186F1F"/>
    <w:rsid w:val="0018718E"/>
    <w:rsid w:val="0018735B"/>
    <w:rsid w:val="001877EE"/>
    <w:rsid w:val="00187A26"/>
    <w:rsid w:val="00187A3E"/>
    <w:rsid w:val="00187EFD"/>
    <w:rsid w:val="001900FD"/>
    <w:rsid w:val="001906AD"/>
    <w:rsid w:val="00190B19"/>
    <w:rsid w:val="00190C3C"/>
    <w:rsid w:val="00191227"/>
    <w:rsid w:val="00191685"/>
    <w:rsid w:val="00191714"/>
    <w:rsid w:val="00191A3D"/>
    <w:rsid w:val="00191BDF"/>
    <w:rsid w:val="00191D10"/>
    <w:rsid w:val="00191D2A"/>
    <w:rsid w:val="00191D56"/>
    <w:rsid w:val="00192209"/>
    <w:rsid w:val="0019221E"/>
    <w:rsid w:val="0019233F"/>
    <w:rsid w:val="00192B0B"/>
    <w:rsid w:val="00192D8D"/>
    <w:rsid w:val="00192DFB"/>
    <w:rsid w:val="00192FB7"/>
    <w:rsid w:val="00193714"/>
    <w:rsid w:val="001938C6"/>
    <w:rsid w:val="001940B8"/>
    <w:rsid w:val="001947CB"/>
    <w:rsid w:val="001949B1"/>
    <w:rsid w:val="001956A2"/>
    <w:rsid w:val="001961C2"/>
    <w:rsid w:val="0019620D"/>
    <w:rsid w:val="0019686A"/>
    <w:rsid w:val="001970E8"/>
    <w:rsid w:val="00197A15"/>
    <w:rsid w:val="00197DB1"/>
    <w:rsid w:val="00197DED"/>
    <w:rsid w:val="00197E6B"/>
    <w:rsid w:val="00197EA0"/>
    <w:rsid w:val="001A00AB"/>
    <w:rsid w:val="001A0321"/>
    <w:rsid w:val="001A0D17"/>
    <w:rsid w:val="001A0DE0"/>
    <w:rsid w:val="001A15CF"/>
    <w:rsid w:val="001A16D9"/>
    <w:rsid w:val="001A1777"/>
    <w:rsid w:val="001A1868"/>
    <w:rsid w:val="001A19E8"/>
    <w:rsid w:val="001A1B82"/>
    <w:rsid w:val="001A1DCD"/>
    <w:rsid w:val="001A2207"/>
    <w:rsid w:val="001A2324"/>
    <w:rsid w:val="001A2814"/>
    <w:rsid w:val="001A289D"/>
    <w:rsid w:val="001A2A5A"/>
    <w:rsid w:val="001A3490"/>
    <w:rsid w:val="001A3BE8"/>
    <w:rsid w:val="001A4352"/>
    <w:rsid w:val="001A47AF"/>
    <w:rsid w:val="001A4E64"/>
    <w:rsid w:val="001A5736"/>
    <w:rsid w:val="001A5E6E"/>
    <w:rsid w:val="001A5EF7"/>
    <w:rsid w:val="001A5F70"/>
    <w:rsid w:val="001A60B1"/>
    <w:rsid w:val="001A60ED"/>
    <w:rsid w:val="001A61BB"/>
    <w:rsid w:val="001A6304"/>
    <w:rsid w:val="001A6449"/>
    <w:rsid w:val="001A6CB7"/>
    <w:rsid w:val="001A6F97"/>
    <w:rsid w:val="001A7680"/>
    <w:rsid w:val="001A7D68"/>
    <w:rsid w:val="001B0465"/>
    <w:rsid w:val="001B06F5"/>
    <w:rsid w:val="001B0B5D"/>
    <w:rsid w:val="001B122B"/>
    <w:rsid w:val="001B1353"/>
    <w:rsid w:val="001B13B3"/>
    <w:rsid w:val="001B146F"/>
    <w:rsid w:val="001B14D3"/>
    <w:rsid w:val="001B16F8"/>
    <w:rsid w:val="001B19DB"/>
    <w:rsid w:val="001B1CB7"/>
    <w:rsid w:val="001B2376"/>
    <w:rsid w:val="001B245A"/>
    <w:rsid w:val="001B24FA"/>
    <w:rsid w:val="001B253E"/>
    <w:rsid w:val="001B307D"/>
    <w:rsid w:val="001B3812"/>
    <w:rsid w:val="001B3C15"/>
    <w:rsid w:val="001B3D8B"/>
    <w:rsid w:val="001B3EE3"/>
    <w:rsid w:val="001B3FB3"/>
    <w:rsid w:val="001B4678"/>
    <w:rsid w:val="001B4877"/>
    <w:rsid w:val="001B4DDE"/>
    <w:rsid w:val="001B4E53"/>
    <w:rsid w:val="001B4EB5"/>
    <w:rsid w:val="001B5001"/>
    <w:rsid w:val="001B525A"/>
    <w:rsid w:val="001B5262"/>
    <w:rsid w:val="001B5BD6"/>
    <w:rsid w:val="001B5DED"/>
    <w:rsid w:val="001B64A1"/>
    <w:rsid w:val="001B6AD8"/>
    <w:rsid w:val="001B6B87"/>
    <w:rsid w:val="001B6D4A"/>
    <w:rsid w:val="001B6F09"/>
    <w:rsid w:val="001B707A"/>
    <w:rsid w:val="001B73DE"/>
    <w:rsid w:val="001B7639"/>
    <w:rsid w:val="001B795C"/>
    <w:rsid w:val="001B799B"/>
    <w:rsid w:val="001B7B23"/>
    <w:rsid w:val="001C00CE"/>
    <w:rsid w:val="001C02A6"/>
    <w:rsid w:val="001C06F1"/>
    <w:rsid w:val="001C101A"/>
    <w:rsid w:val="001C134F"/>
    <w:rsid w:val="001C1539"/>
    <w:rsid w:val="001C1742"/>
    <w:rsid w:val="001C1779"/>
    <w:rsid w:val="001C17E6"/>
    <w:rsid w:val="001C1D03"/>
    <w:rsid w:val="001C1ECF"/>
    <w:rsid w:val="001C274D"/>
    <w:rsid w:val="001C2877"/>
    <w:rsid w:val="001C2BE3"/>
    <w:rsid w:val="001C2CCA"/>
    <w:rsid w:val="001C2F9C"/>
    <w:rsid w:val="001C30E1"/>
    <w:rsid w:val="001C36DB"/>
    <w:rsid w:val="001C3A27"/>
    <w:rsid w:val="001C3A88"/>
    <w:rsid w:val="001C3C82"/>
    <w:rsid w:val="001C3D16"/>
    <w:rsid w:val="001C3D21"/>
    <w:rsid w:val="001C3D59"/>
    <w:rsid w:val="001C3E41"/>
    <w:rsid w:val="001C425E"/>
    <w:rsid w:val="001C452D"/>
    <w:rsid w:val="001C4920"/>
    <w:rsid w:val="001C4E1D"/>
    <w:rsid w:val="001C50AC"/>
    <w:rsid w:val="001C54D5"/>
    <w:rsid w:val="001C54DF"/>
    <w:rsid w:val="001C5684"/>
    <w:rsid w:val="001C5737"/>
    <w:rsid w:val="001C57AC"/>
    <w:rsid w:val="001C5A8B"/>
    <w:rsid w:val="001C5D9C"/>
    <w:rsid w:val="001C5EE8"/>
    <w:rsid w:val="001C623A"/>
    <w:rsid w:val="001C6443"/>
    <w:rsid w:val="001C6AAF"/>
    <w:rsid w:val="001C6BEE"/>
    <w:rsid w:val="001C7061"/>
    <w:rsid w:val="001C7F03"/>
    <w:rsid w:val="001D0594"/>
    <w:rsid w:val="001D0F9F"/>
    <w:rsid w:val="001D0FAB"/>
    <w:rsid w:val="001D11A5"/>
    <w:rsid w:val="001D1329"/>
    <w:rsid w:val="001D1418"/>
    <w:rsid w:val="001D1B3E"/>
    <w:rsid w:val="001D1B43"/>
    <w:rsid w:val="001D1C25"/>
    <w:rsid w:val="001D1EFD"/>
    <w:rsid w:val="001D246F"/>
    <w:rsid w:val="001D27B1"/>
    <w:rsid w:val="001D2B52"/>
    <w:rsid w:val="001D2B7D"/>
    <w:rsid w:val="001D2B85"/>
    <w:rsid w:val="001D2BD2"/>
    <w:rsid w:val="001D2C12"/>
    <w:rsid w:val="001D302E"/>
    <w:rsid w:val="001D3816"/>
    <w:rsid w:val="001D3FD7"/>
    <w:rsid w:val="001D428E"/>
    <w:rsid w:val="001D4436"/>
    <w:rsid w:val="001D45B6"/>
    <w:rsid w:val="001D4651"/>
    <w:rsid w:val="001D4EF8"/>
    <w:rsid w:val="001D51A5"/>
    <w:rsid w:val="001D5903"/>
    <w:rsid w:val="001D6120"/>
    <w:rsid w:val="001D6413"/>
    <w:rsid w:val="001D65ED"/>
    <w:rsid w:val="001D68E7"/>
    <w:rsid w:val="001D6FC7"/>
    <w:rsid w:val="001D7307"/>
    <w:rsid w:val="001D76D8"/>
    <w:rsid w:val="001D7BBD"/>
    <w:rsid w:val="001D7EA0"/>
    <w:rsid w:val="001D7FC9"/>
    <w:rsid w:val="001E01D3"/>
    <w:rsid w:val="001E02F1"/>
    <w:rsid w:val="001E0B08"/>
    <w:rsid w:val="001E0B41"/>
    <w:rsid w:val="001E0C36"/>
    <w:rsid w:val="001E0C73"/>
    <w:rsid w:val="001E0F97"/>
    <w:rsid w:val="001E18B9"/>
    <w:rsid w:val="001E19AB"/>
    <w:rsid w:val="001E1A56"/>
    <w:rsid w:val="001E1FC4"/>
    <w:rsid w:val="001E2270"/>
    <w:rsid w:val="001E26F7"/>
    <w:rsid w:val="001E2731"/>
    <w:rsid w:val="001E27F3"/>
    <w:rsid w:val="001E2C20"/>
    <w:rsid w:val="001E2F75"/>
    <w:rsid w:val="001E3750"/>
    <w:rsid w:val="001E3EB1"/>
    <w:rsid w:val="001E46C2"/>
    <w:rsid w:val="001E4F8D"/>
    <w:rsid w:val="001E4FFA"/>
    <w:rsid w:val="001E5873"/>
    <w:rsid w:val="001E5896"/>
    <w:rsid w:val="001E6796"/>
    <w:rsid w:val="001E69AE"/>
    <w:rsid w:val="001E6B3E"/>
    <w:rsid w:val="001E6C51"/>
    <w:rsid w:val="001E6CFD"/>
    <w:rsid w:val="001E70BB"/>
    <w:rsid w:val="001E7447"/>
    <w:rsid w:val="001E75D3"/>
    <w:rsid w:val="001E7784"/>
    <w:rsid w:val="001E7B5D"/>
    <w:rsid w:val="001E7CE1"/>
    <w:rsid w:val="001F1305"/>
    <w:rsid w:val="001F1A35"/>
    <w:rsid w:val="001F1CC1"/>
    <w:rsid w:val="001F2013"/>
    <w:rsid w:val="001F236D"/>
    <w:rsid w:val="001F259A"/>
    <w:rsid w:val="001F295D"/>
    <w:rsid w:val="001F2B42"/>
    <w:rsid w:val="001F2C0D"/>
    <w:rsid w:val="001F2FD6"/>
    <w:rsid w:val="001F341D"/>
    <w:rsid w:val="001F3823"/>
    <w:rsid w:val="001F3835"/>
    <w:rsid w:val="001F38AB"/>
    <w:rsid w:val="001F3C96"/>
    <w:rsid w:val="001F3D5C"/>
    <w:rsid w:val="001F4098"/>
    <w:rsid w:val="001F4843"/>
    <w:rsid w:val="001F48B5"/>
    <w:rsid w:val="001F4B5B"/>
    <w:rsid w:val="001F4C50"/>
    <w:rsid w:val="001F4D60"/>
    <w:rsid w:val="001F590A"/>
    <w:rsid w:val="001F6403"/>
    <w:rsid w:val="001F6439"/>
    <w:rsid w:val="001F646B"/>
    <w:rsid w:val="001F655E"/>
    <w:rsid w:val="001F67C7"/>
    <w:rsid w:val="001F6C08"/>
    <w:rsid w:val="001F704D"/>
    <w:rsid w:val="001F72BC"/>
    <w:rsid w:val="001F75A0"/>
    <w:rsid w:val="001F77B7"/>
    <w:rsid w:val="001F79A4"/>
    <w:rsid w:val="001F7B79"/>
    <w:rsid w:val="001F7CB0"/>
    <w:rsid w:val="001F7F03"/>
    <w:rsid w:val="002000AD"/>
    <w:rsid w:val="00200675"/>
    <w:rsid w:val="0020078F"/>
    <w:rsid w:val="00200D7D"/>
    <w:rsid w:val="00201440"/>
    <w:rsid w:val="00201A19"/>
    <w:rsid w:val="002028DD"/>
    <w:rsid w:val="00202A38"/>
    <w:rsid w:val="00202BEB"/>
    <w:rsid w:val="00202E7F"/>
    <w:rsid w:val="00202E8F"/>
    <w:rsid w:val="00202FE3"/>
    <w:rsid w:val="00203311"/>
    <w:rsid w:val="00203642"/>
    <w:rsid w:val="00203857"/>
    <w:rsid w:val="0020407C"/>
    <w:rsid w:val="00204480"/>
    <w:rsid w:val="00204508"/>
    <w:rsid w:val="00204A94"/>
    <w:rsid w:val="00204EF6"/>
    <w:rsid w:val="00205145"/>
    <w:rsid w:val="00205501"/>
    <w:rsid w:val="002056E5"/>
    <w:rsid w:val="00205D21"/>
    <w:rsid w:val="00206480"/>
    <w:rsid w:val="002072B3"/>
    <w:rsid w:val="00207301"/>
    <w:rsid w:val="00207755"/>
    <w:rsid w:val="00207910"/>
    <w:rsid w:val="0020795F"/>
    <w:rsid w:val="00207F16"/>
    <w:rsid w:val="00210100"/>
    <w:rsid w:val="00210110"/>
    <w:rsid w:val="002104A4"/>
    <w:rsid w:val="00210505"/>
    <w:rsid w:val="00210611"/>
    <w:rsid w:val="00210E3A"/>
    <w:rsid w:val="00211091"/>
    <w:rsid w:val="0021110E"/>
    <w:rsid w:val="0021114E"/>
    <w:rsid w:val="00211958"/>
    <w:rsid w:val="002120A9"/>
    <w:rsid w:val="00212216"/>
    <w:rsid w:val="0021234F"/>
    <w:rsid w:val="0021256C"/>
    <w:rsid w:val="002125A6"/>
    <w:rsid w:val="00212AA1"/>
    <w:rsid w:val="00212CAF"/>
    <w:rsid w:val="00212D9D"/>
    <w:rsid w:val="00213C05"/>
    <w:rsid w:val="00213F98"/>
    <w:rsid w:val="002142A6"/>
    <w:rsid w:val="0021445C"/>
    <w:rsid w:val="00214A24"/>
    <w:rsid w:val="00214D74"/>
    <w:rsid w:val="00215278"/>
    <w:rsid w:val="00215558"/>
    <w:rsid w:val="0021555A"/>
    <w:rsid w:val="00215586"/>
    <w:rsid w:val="00215761"/>
    <w:rsid w:val="00215AC8"/>
    <w:rsid w:val="00215F08"/>
    <w:rsid w:val="00215FAF"/>
    <w:rsid w:val="00215FF6"/>
    <w:rsid w:val="002160AA"/>
    <w:rsid w:val="002164DE"/>
    <w:rsid w:val="0021679C"/>
    <w:rsid w:val="00216E39"/>
    <w:rsid w:val="00217224"/>
    <w:rsid w:val="00217461"/>
    <w:rsid w:val="00217635"/>
    <w:rsid w:val="00220171"/>
    <w:rsid w:val="002209F5"/>
    <w:rsid w:val="00220A90"/>
    <w:rsid w:val="00220AF6"/>
    <w:rsid w:val="00220D55"/>
    <w:rsid w:val="00220E81"/>
    <w:rsid w:val="002216F1"/>
    <w:rsid w:val="002221EB"/>
    <w:rsid w:val="0022264C"/>
    <w:rsid w:val="0022272C"/>
    <w:rsid w:val="00222AFE"/>
    <w:rsid w:val="00223050"/>
    <w:rsid w:val="00223073"/>
    <w:rsid w:val="0022352B"/>
    <w:rsid w:val="002239C3"/>
    <w:rsid w:val="00223C9F"/>
    <w:rsid w:val="00223CC0"/>
    <w:rsid w:val="00224051"/>
    <w:rsid w:val="00224195"/>
    <w:rsid w:val="002242EE"/>
    <w:rsid w:val="002246F9"/>
    <w:rsid w:val="0022486C"/>
    <w:rsid w:val="00224928"/>
    <w:rsid w:val="00224C0C"/>
    <w:rsid w:val="002253DB"/>
    <w:rsid w:val="00225439"/>
    <w:rsid w:val="002255EC"/>
    <w:rsid w:val="0022561D"/>
    <w:rsid w:val="002256CB"/>
    <w:rsid w:val="00225802"/>
    <w:rsid w:val="00225C8E"/>
    <w:rsid w:val="0022697B"/>
    <w:rsid w:val="00226BC7"/>
    <w:rsid w:val="00226BCB"/>
    <w:rsid w:val="00226F47"/>
    <w:rsid w:val="002271FE"/>
    <w:rsid w:val="00227664"/>
    <w:rsid w:val="00227BDC"/>
    <w:rsid w:val="0023021E"/>
    <w:rsid w:val="0023030E"/>
    <w:rsid w:val="00231206"/>
    <w:rsid w:val="00231232"/>
    <w:rsid w:val="00231655"/>
    <w:rsid w:val="002319F7"/>
    <w:rsid w:val="00231E39"/>
    <w:rsid w:val="00231FA2"/>
    <w:rsid w:val="00232507"/>
    <w:rsid w:val="002325F2"/>
    <w:rsid w:val="00232A82"/>
    <w:rsid w:val="00232EE1"/>
    <w:rsid w:val="002335E0"/>
    <w:rsid w:val="00234ACB"/>
    <w:rsid w:val="00234CE5"/>
    <w:rsid w:val="002350BE"/>
    <w:rsid w:val="002351DA"/>
    <w:rsid w:val="00235311"/>
    <w:rsid w:val="00235365"/>
    <w:rsid w:val="002357BE"/>
    <w:rsid w:val="00235F02"/>
    <w:rsid w:val="0023646F"/>
    <w:rsid w:val="0023666D"/>
    <w:rsid w:val="00236689"/>
    <w:rsid w:val="00236BAF"/>
    <w:rsid w:val="00236D59"/>
    <w:rsid w:val="00236EA8"/>
    <w:rsid w:val="002400EF"/>
    <w:rsid w:val="00240262"/>
    <w:rsid w:val="002403E7"/>
    <w:rsid w:val="0024066D"/>
    <w:rsid w:val="002406AF"/>
    <w:rsid w:val="002410AF"/>
    <w:rsid w:val="0024119D"/>
    <w:rsid w:val="0024120E"/>
    <w:rsid w:val="002416A8"/>
    <w:rsid w:val="00241960"/>
    <w:rsid w:val="00241C00"/>
    <w:rsid w:val="00241CC6"/>
    <w:rsid w:val="00241F84"/>
    <w:rsid w:val="002420D0"/>
    <w:rsid w:val="00242355"/>
    <w:rsid w:val="00242600"/>
    <w:rsid w:val="00242E8F"/>
    <w:rsid w:val="00242EED"/>
    <w:rsid w:val="00243098"/>
    <w:rsid w:val="0024343B"/>
    <w:rsid w:val="00243BEF"/>
    <w:rsid w:val="00244476"/>
    <w:rsid w:val="0024512D"/>
    <w:rsid w:val="00245B7B"/>
    <w:rsid w:val="00246116"/>
    <w:rsid w:val="00246615"/>
    <w:rsid w:val="00246AD1"/>
    <w:rsid w:val="00247680"/>
    <w:rsid w:val="002476F4"/>
    <w:rsid w:val="002477F1"/>
    <w:rsid w:val="0024791F"/>
    <w:rsid w:val="00247ECF"/>
    <w:rsid w:val="0025003D"/>
    <w:rsid w:val="00250512"/>
    <w:rsid w:val="00250526"/>
    <w:rsid w:val="0025190E"/>
    <w:rsid w:val="00251B47"/>
    <w:rsid w:val="00251F6D"/>
    <w:rsid w:val="002521B6"/>
    <w:rsid w:val="002522AB"/>
    <w:rsid w:val="002529D1"/>
    <w:rsid w:val="002530A7"/>
    <w:rsid w:val="002531FD"/>
    <w:rsid w:val="0025322F"/>
    <w:rsid w:val="002532DF"/>
    <w:rsid w:val="0025365F"/>
    <w:rsid w:val="00253672"/>
    <w:rsid w:val="0025376B"/>
    <w:rsid w:val="00253CCA"/>
    <w:rsid w:val="002542F9"/>
    <w:rsid w:val="002544DD"/>
    <w:rsid w:val="00254EB4"/>
    <w:rsid w:val="002550C4"/>
    <w:rsid w:val="00255126"/>
    <w:rsid w:val="002554AA"/>
    <w:rsid w:val="0025594B"/>
    <w:rsid w:val="00255C43"/>
    <w:rsid w:val="00255CB0"/>
    <w:rsid w:val="00255E11"/>
    <w:rsid w:val="002564EF"/>
    <w:rsid w:val="0025650F"/>
    <w:rsid w:val="00256AD6"/>
    <w:rsid w:val="002575E0"/>
    <w:rsid w:val="00257850"/>
    <w:rsid w:val="0025794E"/>
    <w:rsid w:val="0025799C"/>
    <w:rsid w:val="0026016E"/>
    <w:rsid w:val="002606E7"/>
    <w:rsid w:val="002606F9"/>
    <w:rsid w:val="00260A50"/>
    <w:rsid w:val="00261005"/>
    <w:rsid w:val="00261029"/>
    <w:rsid w:val="002612D0"/>
    <w:rsid w:val="00261308"/>
    <w:rsid w:val="00261867"/>
    <w:rsid w:val="00261F1B"/>
    <w:rsid w:val="0026228E"/>
    <w:rsid w:val="002622AD"/>
    <w:rsid w:val="002624B6"/>
    <w:rsid w:val="00263461"/>
    <w:rsid w:val="0026379D"/>
    <w:rsid w:val="00264363"/>
    <w:rsid w:val="002646B3"/>
    <w:rsid w:val="00264B37"/>
    <w:rsid w:val="00264BBA"/>
    <w:rsid w:val="00264BE7"/>
    <w:rsid w:val="00265049"/>
    <w:rsid w:val="00265298"/>
    <w:rsid w:val="002656B3"/>
    <w:rsid w:val="00265A55"/>
    <w:rsid w:val="00265C6A"/>
    <w:rsid w:val="00265EAA"/>
    <w:rsid w:val="00266658"/>
    <w:rsid w:val="00266872"/>
    <w:rsid w:val="00266C3B"/>
    <w:rsid w:val="00267B64"/>
    <w:rsid w:val="0027021A"/>
    <w:rsid w:val="00270AB3"/>
    <w:rsid w:val="00270DA0"/>
    <w:rsid w:val="00270FDD"/>
    <w:rsid w:val="00271167"/>
    <w:rsid w:val="00271332"/>
    <w:rsid w:val="00271583"/>
    <w:rsid w:val="0027196D"/>
    <w:rsid w:val="002719C5"/>
    <w:rsid w:val="00271B64"/>
    <w:rsid w:val="00271BF9"/>
    <w:rsid w:val="00272209"/>
    <w:rsid w:val="00272223"/>
    <w:rsid w:val="002726E3"/>
    <w:rsid w:val="00272A18"/>
    <w:rsid w:val="00272ADE"/>
    <w:rsid w:val="00272DCF"/>
    <w:rsid w:val="002731E3"/>
    <w:rsid w:val="0027329A"/>
    <w:rsid w:val="00273583"/>
    <w:rsid w:val="00273DA2"/>
    <w:rsid w:val="002745CA"/>
    <w:rsid w:val="002746D9"/>
    <w:rsid w:val="00274A4C"/>
    <w:rsid w:val="00274AF2"/>
    <w:rsid w:val="00274C57"/>
    <w:rsid w:val="00275472"/>
    <w:rsid w:val="00275529"/>
    <w:rsid w:val="0027569F"/>
    <w:rsid w:val="0027570B"/>
    <w:rsid w:val="0027575F"/>
    <w:rsid w:val="00275AE4"/>
    <w:rsid w:val="002766F6"/>
    <w:rsid w:val="002768A5"/>
    <w:rsid w:val="002770AA"/>
    <w:rsid w:val="00277B4A"/>
    <w:rsid w:val="00277E2F"/>
    <w:rsid w:val="00280169"/>
    <w:rsid w:val="002801C8"/>
    <w:rsid w:val="002802E5"/>
    <w:rsid w:val="002803BD"/>
    <w:rsid w:val="00280403"/>
    <w:rsid w:val="002805BE"/>
    <w:rsid w:val="002807A4"/>
    <w:rsid w:val="00281221"/>
    <w:rsid w:val="002816CE"/>
    <w:rsid w:val="002817FC"/>
    <w:rsid w:val="00281CDD"/>
    <w:rsid w:val="00282499"/>
    <w:rsid w:val="00282704"/>
    <w:rsid w:val="002827F1"/>
    <w:rsid w:val="0028286F"/>
    <w:rsid w:val="002828E3"/>
    <w:rsid w:val="002828F7"/>
    <w:rsid w:val="00282CDF"/>
    <w:rsid w:val="00282DC9"/>
    <w:rsid w:val="00282DF1"/>
    <w:rsid w:val="002830BE"/>
    <w:rsid w:val="002831B3"/>
    <w:rsid w:val="002836D0"/>
    <w:rsid w:val="002837E7"/>
    <w:rsid w:val="00283950"/>
    <w:rsid w:val="00283E15"/>
    <w:rsid w:val="00283E46"/>
    <w:rsid w:val="0028410D"/>
    <w:rsid w:val="00284286"/>
    <w:rsid w:val="0028428F"/>
    <w:rsid w:val="0028458B"/>
    <w:rsid w:val="00284DB9"/>
    <w:rsid w:val="00284E22"/>
    <w:rsid w:val="00284E87"/>
    <w:rsid w:val="00284EE0"/>
    <w:rsid w:val="00285AF2"/>
    <w:rsid w:val="00285B04"/>
    <w:rsid w:val="00285CB5"/>
    <w:rsid w:val="0028646B"/>
    <w:rsid w:val="0028663D"/>
    <w:rsid w:val="002867AA"/>
    <w:rsid w:val="0028694D"/>
    <w:rsid w:val="00286AA0"/>
    <w:rsid w:val="00286F34"/>
    <w:rsid w:val="0028732E"/>
    <w:rsid w:val="00287B5C"/>
    <w:rsid w:val="00287EAB"/>
    <w:rsid w:val="002900B8"/>
    <w:rsid w:val="0029015D"/>
    <w:rsid w:val="002901BA"/>
    <w:rsid w:val="00290538"/>
    <w:rsid w:val="002909A9"/>
    <w:rsid w:val="00290DFA"/>
    <w:rsid w:val="00290F46"/>
    <w:rsid w:val="002915F6"/>
    <w:rsid w:val="0029178D"/>
    <w:rsid w:val="0029179A"/>
    <w:rsid w:val="00291AD8"/>
    <w:rsid w:val="00291F67"/>
    <w:rsid w:val="00292163"/>
    <w:rsid w:val="00292C53"/>
    <w:rsid w:val="00292CFD"/>
    <w:rsid w:val="00292F4B"/>
    <w:rsid w:val="00292F80"/>
    <w:rsid w:val="00293150"/>
    <w:rsid w:val="00293173"/>
    <w:rsid w:val="00293257"/>
    <w:rsid w:val="00293407"/>
    <w:rsid w:val="002938C6"/>
    <w:rsid w:val="00293BC1"/>
    <w:rsid w:val="00294500"/>
    <w:rsid w:val="00294894"/>
    <w:rsid w:val="00294BEA"/>
    <w:rsid w:val="00294E6F"/>
    <w:rsid w:val="00294F49"/>
    <w:rsid w:val="0029542B"/>
    <w:rsid w:val="00295940"/>
    <w:rsid w:val="00296131"/>
    <w:rsid w:val="00296620"/>
    <w:rsid w:val="00296923"/>
    <w:rsid w:val="00296C7F"/>
    <w:rsid w:val="00296D04"/>
    <w:rsid w:val="00296D6D"/>
    <w:rsid w:val="00297023"/>
    <w:rsid w:val="002973FD"/>
    <w:rsid w:val="002974B1"/>
    <w:rsid w:val="0029754C"/>
    <w:rsid w:val="0029773C"/>
    <w:rsid w:val="00297767"/>
    <w:rsid w:val="00297B34"/>
    <w:rsid w:val="00297F38"/>
    <w:rsid w:val="00297FEA"/>
    <w:rsid w:val="002A0137"/>
    <w:rsid w:val="002A02C1"/>
    <w:rsid w:val="002A04E4"/>
    <w:rsid w:val="002A0B79"/>
    <w:rsid w:val="002A0BBF"/>
    <w:rsid w:val="002A0F3D"/>
    <w:rsid w:val="002A10B0"/>
    <w:rsid w:val="002A11AF"/>
    <w:rsid w:val="002A1286"/>
    <w:rsid w:val="002A1A24"/>
    <w:rsid w:val="002A25DA"/>
    <w:rsid w:val="002A28AA"/>
    <w:rsid w:val="002A2AB5"/>
    <w:rsid w:val="002A2F5C"/>
    <w:rsid w:val="002A34A7"/>
    <w:rsid w:val="002A3612"/>
    <w:rsid w:val="002A3904"/>
    <w:rsid w:val="002A394F"/>
    <w:rsid w:val="002A3FBF"/>
    <w:rsid w:val="002A4389"/>
    <w:rsid w:val="002A4636"/>
    <w:rsid w:val="002A4EF5"/>
    <w:rsid w:val="002A4FC2"/>
    <w:rsid w:val="002A5352"/>
    <w:rsid w:val="002A56C7"/>
    <w:rsid w:val="002A5F14"/>
    <w:rsid w:val="002A634C"/>
    <w:rsid w:val="002A6497"/>
    <w:rsid w:val="002A6D10"/>
    <w:rsid w:val="002A6D56"/>
    <w:rsid w:val="002A6DF3"/>
    <w:rsid w:val="002A6FB6"/>
    <w:rsid w:val="002A6FCC"/>
    <w:rsid w:val="002A7348"/>
    <w:rsid w:val="002A7368"/>
    <w:rsid w:val="002A75FA"/>
    <w:rsid w:val="002A7609"/>
    <w:rsid w:val="002A7EA3"/>
    <w:rsid w:val="002A7F2E"/>
    <w:rsid w:val="002B0638"/>
    <w:rsid w:val="002B0897"/>
    <w:rsid w:val="002B0E2B"/>
    <w:rsid w:val="002B0E79"/>
    <w:rsid w:val="002B0EAA"/>
    <w:rsid w:val="002B0F19"/>
    <w:rsid w:val="002B1121"/>
    <w:rsid w:val="002B1225"/>
    <w:rsid w:val="002B127E"/>
    <w:rsid w:val="002B1380"/>
    <w:rsid w:val="002B1385"/>
    <w:rsid w:val="002B187B"/>
    <w:rsid w:val="002B1B04"/>
    <w:rsid w:val="002B2099"/>
    <w:rsid w:val="002B26A3"/>
    <w:rsid w:val="002B2902"/>
    <w:rsid w:val="002B2CA3"/>
    <w:rsid w:val="002B2E8C"/>
    <w:rsid w:val="002B3D63"/>
    <w:rsid w:val="002B3D73"/>
    <w:rsid w:val="002B416B"/>
    <w:rsid w:val="002B4510"/>
    <w:rsid w:val="002B463C"/>
    <w:rsid w:val="002B4723"/>
    <w:rsid w:val="002B50FF"/>
    <w:rsid w:val="002B520C"/>
    <w:rsid w:val="002B544E"/>
    <w:rsid w:val="002B54A7"/>
    <w:rsid w:val="002B5C84"/>
    <w:rsid w:val="002B5F13"/>
    <w:rsid w:val="002B6054"/>
    <w:rsid w:val="002B61D8"/>
    <w:rsid w:val="002B6974"/>
    <w:rsid w:val="002B6DF2"/>
    <w:rsid w:val="002B6E4D"/>
    <w:rsid w:val="002B6E98"/>
    <w:rsid w:val="002B77A1"/>
    <w:rsid w:val="002B77E7"/>
    <w:rsid w:val="002B78AC"/>
    <w:rsid w:val="002B7C1F"/>
    <w:rsid w:val="002B7DB3"/>
    <w:rsid w:val="002C0797"/>
    <w:rsid w:val="002C0D4D"/>
    <w:rsid w:val="002C0EB3"/>
    <w:rsid w:val="002C0F95"/>
    <w:rsid w:val="002C16F2"/>
    <w:rsid w:val="002C1910"/>
    <w:rsid w:val="002C1B6F"/>
    <w:rsid w:val="002C2085"/>
    <w:rsid w:val="002C211E"/>
    <w:rsid w:val="002C26C7"/>
    <w:rsid w:val="002C27EF"/>
    <w:rsid w:val="002C2AC2"/>
    <w:rsid w:val="002C2D9B"/>
    <w:rsid w:val="002C3541"/>
    <w:rsid w:val="002C37CE"/>
    <w:rsid w:val="002C382F"/>
    <w:rsid w:val="002C3F1D"/>
    <w:rsid w:val="002C4374"/>
    <w:rsid w:val="002C4730"/>
    <w:rsid w:val="002C47BB"/>
    <w:rsid w:val="002C4DD3"/>
    <w:rsid w:val="002C4F15"/>
    <w:rsid w:val="002C4F92"/>
    <w:rsid w:val="002C5212"/>
    <w:rsid w:val="002C5A6B"/>
    <w:rsid w:val="002C5D5A"/>
    <w:rsid w:val="002C5FEA"/>
    <w:rsid w:val="002C624C"/>
    <w:rsid w:val="002C6319"/>
    <w:rsid w:val="002C6386"/>
    <w:rsid w:val="002C64A5"/>
    <w:rsid w:val="002C6565"/>
    <w:rsid w:val="002C6F47"/>
    <w:rsid w:val="002C6F91"/>
    <w:rsid w:val="002C76DE"/>
    <w:rsid w:val="002C77D1"/>
    <w:rsid w:val="002C7B69"/>
    <w:rsid w:val="002D02CE"/>
    <w:rsid w:val="002D039A"/>
    <w:rsid w:val="002D0903"/>
    <w:rsid w:val="002D0D75"/>
    <w:rsid w:val="002D0F3F"/>
    <w:rsid w:val="002D164E"/>
    <w:rsid w:val="002D1700"/>
    <w:rsid w:val="002D17D9"/>
    <w:rsid w:val="002D1915"/>
    <w:rsid w:val="002D1DC6"/>
    <w:rsid w:val="002D2108"/>
    <w:rsid w:val="002D2454"/>
    <w:rsid w:val="002D278F"/>
    <w:rsid w:val="002D27AD"/>
    <w:rsid w:val="002D295E"/>
    <w:rsid w:val="002D2FA3"/>
    <w:rsid w:val="002D34E3"/>
    <w:rsid w:val="002D3660"/>
    <w:rsid w:val="002D3665"/>
    <w:rsid w:val="002D3C25"/>
    <w:rsid w:val="002D3C52"/>
    <w:rsid w:val="002D3C94"/>
    <w:rsid w:val="002D45AC"/>
    <w:rsid w:val="002D47BB"/>
    <w:rsid w:val="002D4B26"/>
    <w:rsid w:val="002D4B52"/>
    <w:rsid w:val="002D4CD8"/>
    <w:rsid w:val="002D4DCD"/>
    <w:rsid w:val="002D533C"/>
    <w:rsid w:val="002D5DD6"/>
    <w:rsid w:val="002D5F18"/>
    <w:rsid w:val="002D64BD"/>
    <w:rsid w:val="002D64D9"/>
    <w:rsid w:val="002D6B56"/>
    <w:rsid w:val="002D720E"/>
    <w:rsid w:val="002D7456"/>
    <w:rsid w:val="002D7E4F"/>
    <w:rsid w:val="002E03E9"/>
    <w:rsid w:val="002E09B2"/>
    <w:rsid w:val="002E0B14"/>
    <w:rsid w:val="002E0F55"/>
    <w:rsid w:val="002E1657"/>
    <w:rsid w:val="002E1C4B"/>
    <w:rsid w:val="002E20D1"/>
    <w:rsid w:val="002E23B6"/>
    <w:rsid w:val="002E26E6"/>
    <w:rsid w:val="002E2B86"/>
    <w:rsid w:val="002E2D77"/>
    <w:rsid w:val="002E2F5F"/>
    <w:rsid w:val="002E309B"/>
    <w:rsid w:val="002E3823"/>
    <w:rsid w:val="002E3C46"/>
    <w:rsid w:val="002E3C61"/>
    <w:rsid w:val="002E46A6"/>
    <w:rsid w:val="002E528A"/>
    <w:rsid w:val="002E53C5"/>
    <w:rsid w:val="002E6087"/>
    <w:rsid w:val="002E637B"/>
    <w:rsid w:val="002E6F4B"/>
    <w:rsid w:val="002E732A"/>
    <w:rsid w:val="002E76DD"/>
    <w:rsid w:val="002E7745"/>
    <w:rsid w:val="002E7A79"/>
    <w:rsid w:val="002E7CD8"/>
    <w:rsid w:val="002F007D"/>
    <w:rsid w:val="002F02FC"/>
    <w:rsid w:val="002F03C5"/>
    <w:rsid w:val="002F04E5"/>
    <w:rsid w:val="002F05D7"/>
    <w:rsid w:val="002F0678"/>
    <w:rsid w:val="002F0774"/>
    <w:rsid w:val="002F079F"/>
    <w:rsid w:val="002F07DD"/>
    <w:rsid w:val="002F080C"/>
    <w:rsid w:val="002F0D2D"/>
    <w:rsid w:val="002F0DE8"/>
    <w:rsid w:val="002F1133"/>
    <w:rsid w:val="002F1311"/>
    <w:rsid w:val="002F15FA"/>
    <w:rsid w:val="002F1B9C"/>
    <w:rsid w:val="002F1E6B"/>
    <w:rsid w:val="002F21CE"/>
    <w:rsid w:val="002F2A76"/>
    <w:rsid w:val="002F2B90"/>
    <w:rsid w:val="002F2C86"/>
    <w:rsid w:val="002F2CAA"/>
    <w:rsid w:val="002F2EE7"/>
    <w:rsid w:val="002F3231"/>
    <w:rsid w:val="002F3468"/>
    <w:rsid w:val="002F3CB6"/>
    <w:rsid w:val="002F3E34"/>
    <w:rsid w:val="002F40B9"/>
    <w:rsid w:val="002F475B"/>
    <w:rsid w:val="002F47A2"/>
    <w:rsid w:val="002F49B0"/>
    <w:rsid w:val="002F4DB9"/>
    <w:rsid w:val="002F51B1"/>
    <w:rsid w:val="002F52D4"/>
    <w:rsid w:val="002F559E"/>
    <w:rsid w:val="002F5B7D"/>
    <w:rsid w:val="002F6175"/>
    <w:rsid w:val="002F63AC"/>
    <w:rsid w:val="002F63CE"/>
    <w:rsid w:val="002F64C6"/>
    <w:rsid w:val="002F6DF7"/>
    <w:rsid w:val="002F72ED"/>
    <w:rsid w:val="002F785C"/>
    <w:rsid w:val="002F7BB0"/>
    <w:rsid w:val="002F7BB3"/>
    <w:rsid w:val="002F7E32"/>
    <w:rsid w:val="002F7E66"/>
    <w:rsid w:val="00300A81"/>
    <w:rsid w:val="00300B40"/>
    <w:rsid w:val="00300B78"/>
    <w:rsid w:val="00300DB1"/>
    <w:rsid w:val="00301A3D"/>
    <w:rsid w:val="00302089"/>
    <w:rsid w:val="00302434"/>
    <w:rsid w:val="00302B1E"/>
    <w:rsid w:val="00302B70"/>
    <w:rsid w:val="00302C98"/>
    <w:rsid w:val="00302D26"/>
    <w:rsid w:val="0030349E"/>
    <w:rsid w:val="00303615"/>
    <w:rsid w:val="00303964"/>
    <w:rsid w:val="00303C49"/>
    <w:rsid w:val="003041CD"/>
    <w:rsid w:val="00304C27"/>
    <w:rsid w:val="00304D46"/>
    <w:rsid w:val="00304DA2"/>
    <w:rsid w:val="00304E8D"/>
    <w:rsid w:val="00304EA1"/>
    <w:rsid w:val="00304F3B"/>
    <w:rsid w:val="00305517"/>
    <w:rsid w:val="00305683"/>
    <w:rsid w:val="00306230"/>
    <w:rsid w:val="003065A2"/>
    <w:rsid w:val="0030686A"/>
    <w:rsid w:val="00307936"/>
    <w:rsid w:val="00307C26"/>
    <w:rsid w:val="00307DBC"/>
    <w:rsid w:val="00307ED8"/>
    <w:rsid w:val="0031048E"/>
    <w:rsid w:val="003106CF"/>
    <w:rsid w:val="00310AF8"/>
    <w:rsid w:val="00310E2E"/>
    <w:rsid w:val="00311041"/>
    <w:rsid w:val="00311950"/>
    <w:rsid w:val="00311DF1"/>
    <w:rsid w:val="00311E05"/>
    <w:rsid w:val="00311F8B"/>
    <w:rsid w:val="00311FE2"/>
    <w:rsid w:val="00311FEC"/>
    <w:rsid w:val="003122C3"/>
    <w:rsid w:val="00312451"/>
    <w:rsid w:val="00312828"/>
    <w:rsid w:val="00312A44"/>
    <w:rsid w:val="00313565"/>
    <w:rsid w:val="003135E2"/>
    <w:rsid w:val="00313ABD"/>
    <w:rsid w:val="00313D18"/>
    <w:rsid w:val="003140C1"/>
    <w:rsid w:val="003147FB"/>
    <w:rsid w:val="00314B69"/>
    <w:rsid w:val="00314CD2"/>
    <w:rsid w:val="00315D10"/>
    <w:rsid w:val="00315DF4"/>
    <w:rsid w:val="00316107"/>
    <w:rsid w:val="0031652D"/>
    <w:rsid w:val="00316918"/>
    <w:rsid w:val="00317166"/>
    <w:rsid w:val="0031717B"/>
    <w:rsid w:val="003171C8"/>
    <w:rsid w:val="003175F1"/>
    <w:rsid w:val="003176EB"/>
    <w:rsid w:val="00317AA0"/>
    <w:rsid w:val="00317EE4"/>
    <w:rsid w:val="00317FDF"/>
    <w:rsid w:val="0032006B"/>
    <w:rsid w:val="0032014A"/>
    <w:rsid w:val="00320264"/>
    <w:rsid w:val="003206B9"/>
    <w:rsid w:val="00320A8B"/>
    <w:rsid w:val="00320AB8"/>
    <w:rsid w:val="00320E6C"/>
    <w:rsid w:val="00321564"/>
    <w:rsid w:val="00321718"/>
    <w:rsid w:val="00321909"/>
    <w:rsid w:val="00321936"/>
    <w:rsid w:val="00321B84"/>
    <w:rsid w:val="00321BD8"/>
    <w:rsid w:val="00321DD0"/>
    <w:rsid w:val="003225BA"/>
    <w:rsid w:val="00322663"/>
    <w:rsid w:val="0032269C"/>
    <w:rsid w:val="00322848"/>
    <w:rsid w:val="00322942"/>
    <w:rsid w:val="00322C54"/>
    <w:rsid w:val="00322F93"/>
    <w:rsid w:val="0032318B"/>
    <w:rsid w:val="00323256"/>
    <w:rsid w:val="003237BE"/>
    <w:rsid w:val="00323921"/>
    <w:rsid w:val="00323A54"/>
    <w:rsid w:val="0032438C"/>
    <w:rsid w:val="00324611"/>
    <w:rsid w:val="00324896"/>
    <w:rsid w:val="00324A43"/>
    <w:rsid w:val="00324C21"/>
    <w:rsid w:val="00324C83"/>
    <w:rsid w:val="003252E5"/>
    <w:rsid w:val="00325456"/>
    <w:rsid w:val="00325818"/>
    <w:rsid w:val="00325836"/>
    <w:rsid w:val="0032583F"/>
    <w:rsid w:val="00325B2F"/>
    <w:rsid w:val="00325C56"/>
    <w:rsid w:val="00325F09"/>
    <w:rsid w:val="00325F36"/>
    <w:rsid w:val="003260DD"/>
    <w:rsid w:val="00326247"/>
    <w:rsid w:val="0032651A"/>
    <w:rsid w:val="003265E0"/>
    <w:rsid w:val="00326768"/>
    <w:rsid w:val="0032681C"/>
    <w:rsid w:val="00326831"/>
    <w:rsid w:val="003276D4"/>
    <w:rsid w:val="00327F1B"/>
    <w:rsid w:val="003300B2"/>
    <w:rsid w:val="00330AC3"/>
    <w:rsid w:val="00330B66"/>
    <w:rsid w:val="00330CF8"/>
    <w:rsid w:val="00330D95"/>
    <w:rsid w:val="00331030"/>
    <w:rsid w:val="00331051"/>
    <w:rsid w:val="0033185A"/>
    <w:rsid w:val="00331A62"/>
    <w:rsid w:val="00332382"/>
    <w:rsid w:val="003325B9"/>
    <w:rsid w:val="00332D5E"/>
    <w:rsid w:val="00332E36"/>
    <w:rsid w:val="00332E3F"/>
    <w:rsid w:val="00332EB4"/>
    <w:rsid w:val="00333057"/>
    <w:rsid w:val="003330F7"/>
    <w:rsid w:val="003331FA"/>
    <w:rsid w:val="003339CD"/>
    <w:rsid w:val="00333AFE"/>
    <w:rsid w:val="00333D5A"/>
    <w:rsid w:val="00333DDE"/>
    <w:rsid w:val="00333F10"/>
    <w:rsid w:val="0033419B"/>
    <w:rsid w:val="00334CE6"/>
    <w:rsid w:val="00334DF4"/>
    <w:rsid w:val="00334E1C"/>
    <w:rsid w:val="00335C3B"/>
    <w:rsid w:val="00335CD4"/>
    <w:rsid w:val="00335CF9"/>
    <w:rsid w:val="00335D2E"/>
    <w:rsid w:val="00335E88"/>
    <w:rsid w:val="00336005"/>
    <w:rsid w:val="003361A3"/>
    <w:rsid w:val="00336397"/>
    <w:rsid w:val="003363A4"/>
    <w:rsid w:val="0033697D"/>
    <w:rsid w:val="00336DF1"/>
    <w:rsid w:val="00337348"/>
    <w:rsid w:val="003379B5"/>
    <w:rsid w:val="00337A1F"/>
    <w:rsid w:val="00337E91"/>
    <w:rsid w:val="00340089"/>
    <w:rsid w:val="003401C7"/>
    <w:rsid w:val="00340A75"/>
    <w:rsid w:val="00340DF0"/>
    <w:rsid w:val="0034137B"/>
    <w:rsid w:val="0034159F"/>
    <w:rsid w:val="003417C0"/>
    <w:rsid w:val="00341A9B"/>
    <w:rsid w:val="00341D10"/>
    <w:rsid w:val="00341DC3"/>
    <w:rsid w:val="0034252A"/>
    <w:rsid w:val="003427F7"/>
    <w:rsid w:val="00342912"/>
    <w:rsid w:val="00342A31"/>
    <w:rsid w:val="00342A53"/>
    <w:rsid w:val="00343880"/>
    <w:rsid w:val="00343E08"/>
    <w:rsid w:val="00344CA6"/>
    <w:rsid w:val="00344F64"/>
    <w:rsid w:val="003453C8"/>
    <w:rsid w:val="00345D94"/>
    <w:rsid w:val="00345E6E"/>
    <w:rsid w:val="00346404"/>
    <w:rsid w:val="00346927"/>
    <w:rsid w:val="003473BA"/>
    <w:rsid w:val="003474BE"/>
    <w:rsid w:val="00347601"/>
    <w:rsid w:val="0034778B"/>
    <w:rsid w:val="003478CA"/>
    <w:rsid w:val="00347A60"/>
    <w:rsid w:val="00347CBA"/>
    <w:rsid w:val="00350983"/>
    <w:rsid w:val="003510C5"/>
    <w:rsid w:val="00351A9E"/>
    <w:rsid w:val="00351F00"/>
    <w:rsid w:val="0035236F"/>
    <w:rsid w:val="003524DA"/>
    <w:rsid w:val="003525FA"/>
    <w:rsid w:val="0035265E"/>
    <w:rsid w:val="003526AD"/>
    <w:rsid w:val="00352AEB"/>
    <w:rsid w:val="00352B53"/>
    <w:rsid w:val="00352BBD"/>
    <w:rsid w:val="00352FF9"/>
    <w:rsid w:val="003530F9"/>
    <w:rsid w:val="00353251"/>
    <w:rsid w:val="00353351"/>
    <w:rsid w:val="00353366"/>
    <w:rsid w:val="00353375"/>
    <w:rsid w:val="003536C0"/>
    <w:rsid w:val="003539E3"/>
    <w:rsid w:val="00353A36"/>
    <w:rsid w:val="00353A3A"/>
    <w:rsid w:val="00354751"/>
    <w:rsid w:val="00354C01"/>
    <w:rsid w:val="0035513C"/>
    <w:rsid w:val="003555F2"/>
    <w:rsid w:val="00356064"/>
    <w:rsid w:val="003560F7"/>
    <w:rsid w:val="00356219"/>
    <w:rsid w:val="00356394"/>
    <w:rsid w:val="003568CF"/>
    <w:rsid w:val="0035693F"/>
    <w:rsid w:val="0035695E"/>
    <w:rsid w:val="00356FC3"/>
    <w:rsid w:val="003570A9"/>
    <w:rsid w:val="0035730E"/>
    <w:rsid w:val="003579D2"/>
    <w:rsid w:val="00357F28"/>
    <w:rsid w:val="00357FD8"/>
    <w:rsid w:val="003602E8"/>
    <w:rsid w:val="0036073C"/>
    <w:rsid w:val="00360B15"/>
    <w:rsid w:val="00360C92"/>
    <w:rsid w:val="003613C0"/>
    <w:rsid w:val="003614FD"/>
    <w:rsid w:val="003621DD"/>
    <w:rsid w:val="00362734"/>
    <w:rsid w:val="00362754"/>
    <w:rsid w:val="003627AE"/>
    <w:rsid w:val="003627E3"/>
    <w:rsid w:val="003628D4"/>
    <w:rsid w:val="0036297C"/>
    <w:rsid w:val="00362AD6"/>
    <w:rsid w:val="0036332D"/>
    <w:rsid w:val="003636C3"/>
    <w:rsid w:val="00363D15"/>
    <w:rsid w:val="00364754"/>
    <w:rsid w:val="0036499E"/>
    <w:rsid w:val="00364A22"/>
    <w:rsid w:val="00364A5C"/>
    <w:rsid w:val="00364A7E"/>
    <w:rsid w:val="00365236"/>
    <w:rsid w:val="0036540A"/>
    <w:rsid w:val="003654B4"/>
    <w:rsid w:val="0036594D"/>
    <w:rsid w:val="00365B5F"/>
    <w:rsid w:val="00365EC5"/>
    <w:rsid w:val="00366153"/>
    <w:rsid w:val="0036669D"/>
    <w:rsid w:val="003669E2"/>
    <w:rsid w:val="003674D1"/>
    <w:rsid w:val="003674F7"/>
    <w:rsid w:val="003678C6"/>
    <w:rsid w:val="00367AB0"/>
    <w:rsid w:val="00367D88"/>
    <w:rsid w:val="00367ED7"/>
    <w:rsid w:val="00367EF1"/>
    <w:rsid w:val="003702EE"/>
    <w:rsid w:val="00370751"/>
    <w:rsid w:val="00370B46"/>
    <w:rsid w:val="00370C1E"/>
    <w:rsid w:val="00370DF6"/>
    <w:rsid w:val="00370F42"/>
    <w:rsid w:val="00371139"/>
    <w:rsid w:val="00371C76"/>
    <w:rsid w:val="00371C98"/>
    <w:rsid w:val="00371DBA"/>
    <w:rsid w:val="003720F3"/>
    <w:rsid w:val="003721B9"/>
    <w:rsid w:val="003723A1"/>
    <w:rsid w:val="0037257F"/>
    <w:rsid w:val="0037301B"/>
    <w:rsid w:val="0037320C"/>
    <w:rsid w:val="00373DCC"/>
    <w:rsid w:val="00373F69"/>
    <w:rsid w:val="003745B6"/>
    <w:rsid w:val="00374B1A"/>
    <w:rsid w:val="00374BD5"/>
    <w:rsid w:val="00374BEA"/>
    <w:rsid w:val="0037500C"/>
    <w:rsid w:val="0037561E"/>
    <w:rsid w:val="00375970"/>
    <w:rsid w:val="00375AD6"/>
    <w:rsid w:val="00375D9C"/>
    <w:rsid w:val="00376263"/>
    <w:rsid w:val="003763E1"/>
    <w:rsid w:val="0037669D"/>
    <w:rsid w:val="00376B2A"/>
    <w:rsid w:val="00376B4C"/>
    <w:rsid w:val="00376C1A"/>
    <w:rsid w:val="00376EA5"/>
    <w:rsid w:val="00376FC4"/>
    <w:rsid w:val="00377139"/>
    <w:rsid w:val="00377A89"/>
    <w:rsid w:val="00377ABB"/>
    <w:rsid w:val="003801B0"/>
    <w:rsid w:val="003809EC"/>
    <w:rsid w:val="003810AC"/>
    <w:rsid w:val="0038139F"/>
    <w:rsid w:val="003814B7"/>
    <w:rsid w:val="00381B98"/>
    <w:rsid w:val="00381C8D"/>
    <w:rsid w:val="00381CF2"/>
    <w:rsid w:val="00381D26"/>
    <w:rsid w:val="003822EB"/>
    <w:rsid w:val="003824EC"/>
    <w:rsid w:val="0038267B"/>
    <w:rsid w:val="0038275F"/>
    <w:rsid w:val="00382FCC"/>
    <w:rsid w:val="00383168"/>
    <w:rsid w:val="003833FF"/>
    <w:rsid w:val="00383814"/>
    <w:rsid w:val="003838AF"/>
    <w:rsid w:val="00383A68"/>
    <w:rsid w:val="00384114"/>
    <w:rsid w:val="003847ED"/>
    <w:rsid w:val="00384A37"/>
    <w:rsid w:val="00384ABD"/>
    <w:rsid w:val="00384AD1"/>
    <w:rsid w:val="00384F98"/>
    <w:rsid w:val="003851F2"/>
    <w:rsid w:val="00385743"/>
    <w:rsid w:val="00385C71"/>
    <w:rsid w:val="00386385"/>
    <w:rsid w:val="00386515"/>
    <w:rsid w:val="003867C7"/>
    <w:rsid w:val="00386FE6"/>
    <w:rsid w:val="003873C5"/>
    <w:rsid w:val="003875B0"/>
    <w:rsid w:val="00387A0F"/>
    <w:rsid w:val="00387B21"/>
    <w:rsid w:val="00387CC1"/>
    <w:rsid w:val="00387E2B"/>
    <w:rsid w:val="0039158C"/>
    <w:rsid w:val="00391A3C"/>
    <w:rsid w:val="00391BEC"/>
    <w:rsid w:val="00391C86"/>
    <w:rsid w:val="00391C89"/>
    <w:rsid w:val="00391D18"/>
    <w:rsid w:val="00391E34"/>
    <w:rsid w:val="00391F9F"/>
    <w:rsid w:val="00392555"/>
    <w:rsid w:val="003925F9"/>
    <w:rsid w:val="003927C9"/>
    <w:rsid w:val="00392A47"/>
    <w:rsid w:val="00392DC9"/>
    <w:rsid w:val="003938B6"/>
    <w:rsid w:val="0039393F"/>
    <w:rsid w:val="00393F6D"/>
    <w:rsid w:val="00394552"/>
    <w:rsid w:val="003949D5"/>
    <w:rsid w:val="00394C2D"/>
    <w:rsid w:val="003950E9"/>
    <w:rsid w:val="0039545E"/>
    <w:rsid w:val="003955FD"/>
    <w:rsid w:val="00395795"/>
    <w:rsid w:val="00395BC4"/>
    <w:rsid w:val="00395CE1"/>
    <w:rsid w:val="00395E8E"/>
    <w:rsid w:val="0039670B"/>
    <w:rsid w:val="00396868"/>
    <w:rsid w:val="003968B4"/>
    <w:rsid w:val="00396906"/>
    <w:rsid w:val="00396B45"/>
    <w:rsid w:val="00396D41"/>
    <w:rsid w:val="00396DCF"/>
    <w:rsid w:val="003977BA"/>
    <w:rsid w:val="00397C64"/>
    <w:rsid w:val="00397D75"/>
    <w:rsid w:val="00397D84"/>
    <w:rsid w:val="003A084B"/>
    <w:rsid w:val="003A0C68"/>
    <w:rsid w:val="003A0D39"/>
    <w:rsid w:val="003A101C"/>
    <w:rsid w:val="003A1D08"/>
    <w:rsid w:val="003A28BD"/>
    <w:rsid w:val="003A2912"/>
    <w:rsid w:val="003A2A2E"/>
    <w:rsid w:val="003A2E3D"/>
    <w:rsid w:val="003A30D2"/>
    <w:rsid w:val="003A3133"/>
    <w:rsid w:val="003A3564"/>
    <w:rsid w:val="003A3736"/>
    <w:rsid w:val="003A37B5"/>
    <w:rsid w:val="003A37FD"/>
    <w:rsid w:val="003A3C31"/>
    <w:rsid w:val="003A3C5C"/>
    <w:rsid w:val="003A3D12"/>
    <w:rsid w:val="003A3F48"/>
    <w:rsid w:val="003A4510"/>
    <w:rsid w:val="003A48F4"/>
    <w:rsid w:val="003A4EFB"/>
    <w:rsid w:val="003A5009"/>
    <w:rsid w:val="003A538D"/>
    <w:rsid w:val="003A54BD"/>
    <w:rsid w:val="003A55E0"/>
    <w:rsid w:val="003A5643"/>
    <w:rsid w:val="003A5A78"/>
    <w:rsid w:val="003A5D60"/>
    <w:rsid w:val="003A634B"/>
    <w:rsid w:val="003A6643"/>
    <w:rsid w:val="003A6924"/>
    <w:rsid w:val="003A6DE4"/>
    <w:rsid w:val="003A77EB"/>
    <w:rsid w:val="003A7854"/>
    <w:rsid w:val="003A78A0"/>
    <w:rsid w:val="003A7F7D"/>
    <w:rsid w:val="003B01DE"/>
    <w:rsid w:val="003B02D2"/>
    <w:rsid w:val="003B02DE"/>
    <w:rsid w:val="003B0499"/>
    <w:rsid w:val="003B04A3"/>
    <w:rsid w:val="003B07C2"/>
    <w:rsid w:val="003B0C3C"/>
    <w:rsid w:val="003B0E6C"/>
    <w:rsid w:val="003B0EBA"/>
    <w:rsid w:val="003B0EFA"/>
    <w:rsid w:val="003B123B"/>
    <w:rsid w:val="003B23C2"/>
    <w:rsid w:val="003B29E7"/>
    <w:rsid w:val="003B343C"/>
    <w:rsid w:val="003B3741"/>
    <w:rsid w:val="003B3AC2"/>
    <w:rsid w:val="003B3D60"/>
    <w:rsid w:val="003B424A"/>
    <w:rsid w:val="003B4490"/>
    <w:rsid w:val="003B496F"/>
    <w:rsid w:val="003B54B1"/>
    <w:rsid w:val="003B5701"/>
    <w:rsid w:val="003B576A"/>
    <w:rsid w:val="003B6848"/>
    <w:rsid w:val="003B7200"/>
    <w:rsid w:val="003B7289"/>
    <w:rsid w:val="003B7B84"/>
    <w:rsid w:val="003C035C"/>
    <w:rsid w:val="003C0467"/>
    <w:rsid w:val="003C0470"/>
    <w:rsid w:val="003C0587"/>
    <w:rsid w:val="003C060B"/>
    <w:rsid w:val="003C0657"/>
    <w:rsid w:val="003C0F70"/>
    <w:rsid w:val="003C1923"/>
    <w:rsid w:val="003C1B4D"/>
    <w:rsid w:val="003C21B5"/>
    <w:rsid w:val="003C27B8"/>
    <w:rsid w:val="003C29A1"/>
    <w:rsid w:val="003C2F86"/>
    <w:rsid w:val="003C3325"/>
    <w:rsid w:val="003C3336"/>
    <w:rsid w:val="003C34D1"/>
    <w:rsid w:val="003C34F1"/>
    <w:rsid w:val="003C3E62"/>
    <w:rsid w:val="003C3FC9"/>
    <w:rsid w:val="003C3FD6"/>
    <w:rsid w:val="003C42FB"/>
    <w:rsid w:val="003C481E"/>
    <w:rsid w:val="003C500B"/>
    <w:rsid w:val="003C577F"/>
    <w:rsid w:val="003C63B8"/>
    <w:rsid w:val="003C6475"/>
    <w:rsid w:val="003C6837"/>
    <w:rsid w:val="003C6D08"/>
    <w:rsid w:val="003C764D"/>
    <w:rsid w:val="003D04F3"/>
    <w:rsid w:val="003D07B2"/>
    <w:rsid w:val="003D18DA"/>
    <w:rsid w:val="003D1BCA"/>
    <w:rsid w:val="003D1EC9"/>
    <w:rsid w:val="003D3230"/>
    <w:rsid w:val="003D3602"/>
    <w:rsid w:val="003D39E4"/>
    <w:rsid w:val="003D3C4C"/>
    <w:rsid w:val="003D3D00"/>
    <w:rsid w:val="003D442C"/>
    <w:rsid w:val="003D463D"/>
    <w:rsid w:val="003D475B"/>
    <w:rsid w:val="003D5101"/>
    <w:rsid w:val="003D5B91"/>
    <w:rsid w:val="003D5C21"/>
    <w:rsid w:val="003D5CC0"/>
    <w:rsid w:val="003D5E53"/>
    <w:rsid w:val="003D5F59"/>
    <w:rsid w:val="003D62B7"/>
    <w:rsid w:val="003D62E0"/>
    <w:rsid w:val="003D63D2"/>
    <w:rsid w:val="003D6754"/>
    <w:rsid w:val="003D6CCE"/>
    <w:rsid w:val="003D6FA1"/>
    <w:rsid w:val="003D6FD3"/>
    <w:rsid w:val="003D71C0"/>
    <w:rsid w:val="003D71EA"/>
    <w:rsid w:val="003D73E3"/>
    <w:rsid w:val="003D76BA"/>
    <w:rsid w:val="003D7BD5"/>
    <w:rsid w:val="003D7C71"/>
    <w:rsid w:val="003E04FC"/>
    <w:rsid w:val="003E0F64"/>
    <w:rsid w:val="003E168B"/>
    <w:rsid w:val="003E16F0"/>
    <w:rsid w:val="003E1E2F"/>
    <w:rsid w:val="003E1F05"/>
    <w:rsid w:val="003E22E3"/>
    <w:rsid w:val="003E2A15"/>
    <w:rsid w:val="003E365E"/>
    <w:rsid w:val="003E36DF"/>
    <w:rsid w:val="003E3ADF"/>
    <w:rsid w:val="003E4312"/>
    <w:rsid w:val="003E48AF"/>
    <w:rsid w:val="003E5239"/>
    <w:rsid w:val="003E532F"/>
    <w:rsid w:val="003E5391"/>
    <w:rsid w:val="003E54CD"/>
    <w:rsid w:val="003E609E"/>
    <w:rsid w:val="003E60EA"/>
    <w:rsid w:val="003E618C"/>
    <w:rsid w:val="003E6438"/>
    <w:rsid w:val="003E67E9"/>
    <w:rsid w:val="003E694C"/>
    <w:rsid w:val="003E6ABF"/>
    <w:rsid w:val="003E6BD7"/>
    <w:rsid w:val="003E6C26"/>
    <w:rsid w:val="003E6C65"/>
    <w:rsid w:val="003E6EC3"/>
    <w:rsid w:val="003E7638"/>
    <w:rsid w:val="003E7682"/>
    <w:rsid w:val="003E77D0"/>
    <w:rsid w:val="003E784F"/>
    <w:rsid w:val="003E79AF"/>
    <w:rsid w:val="003E7C3F"/>
    <w:rsid w:val="003E7F65"/>
    <w:rsid w:val="003F03BA"/>
    <w:rsid w:val="003F06C2"/>
    <w:rsid w:val="003F0867"/>
    <w:rsid w:val="003F09AC"/>
    <w:rsid w:val="003F0D44"/>
    <w:rsid w:val="003F0DFC"/>
    <w:rsid w:val="003F1622"/>
    <w:rsid w:val="003F1D6B"/>
    <w:rsid w:val="003F205B"/>
    <w:rsid w:val="003F2D0E"/>
    <w:rsid w:val="003F2DA4"/>
    <w:rsid w:val="003F2F71"/>
    <w:rsid w:val="003F339A"/>
    <w:rsid w:val="003F35E6"/>
    <w:rsid w:val="003F3D9A"/>
    <w:rsid w:val="003F4303"/>
    <w:rsid w:val="003F44EA"/>
    <w:rsid w:val="003F46F7"/>
    <w:rsid w:val="003F483D"/>
    <w:rsid w:val="003F4BDC"/>
    <w:rsid w:val="003F5754"/>
    <w:rsid w:val="003F578A"/>
    <w:rsid w:val="003F5FEE"/>
    <w:rsid w:val="003F6003"/>
    <w:rsid w:val="003F60F2"/>
    <w:rsid w:val="003F65B9"/>
    <w:rsid w:val="003F6A01"/>
    <w:rsid w:val="003F6E86"/>
    <w:rsid w:val="003F7263"/>
    <w:rsid w:val="003F7326"/>
    <w:rsid w:val="003F774C"/>
    <w:rsid w:val="003F7839"/>
    <w:rsid w:val="003F7A82"/>
    <w:rsid w:val="003F7D53"/>
    <w:rsid w:val="00400B58"/>
    <w:rsid w:val="004012E1"/>
    <w:rsid w:val="004019F9"/>
    <w:rsid w:val="00401B45"/>
    <w:rsid w:val="00401B6D"/>
    <w:rsid w:val="00401E71"/>
    <w:rsid w:val="00401F96"/>
    <w:rsid w:val="00402208"/>
    <w:rsid w:val="00402209"/>
    <w:rsid w:val="004022D4"/>
    <w:rsid w:val="0040298B"/>
    <w:rsid w:val="00402ABA"/>
    <w:rsid w:val="00402C9A"/>
    <w:rsid w:val="00402EBD"/>
    <w:rsid w:val="00403310"/>
    <w:rsid w:val="00403A1B"/>
    <w:rsid w:val="00403B0D"/>
    <w:rsid w:val="00403BDB"/>
    <w:rsid w:val="00403D09"/>
    <w:rsid w:val="00403F14"/>
    <w:rsid w:val="004043EB"/>
    <w:rsid w:val="004043FC"/>
    <w:rsid w:val="004053AB"/>
    <w:rsid w:val="004054D0"/>
    <w:rsid w:val="00405921"/>
    <w:rsid w:val="00405D97"/>
    <w:rsid w:val="00405E19"/>
    <w:rsid w:val="00406499"/>
    <w:rsid w:val="00406633"/>
    <w:rsid w:val="004066E2"/>
    <w:rsid w:val="00406818"/>
    <w:rsid w:val="00406E9C"/>
    <w:rsid w:val="00406ECF"/>
    <w:rsid w:val="00407B89"/>
    <w:rsid w:val="00407C4F"/>
    <w:rsid w:val="00407F24"/>
    <w:rsid w:val="00407F62"/>
    <w:rsid w:val="0041050A"/>
    <w:rsid w:val="0041089B"/>
    <w:rsid w:val="004109A6"/>
    <w:rsid w:val="00410D41"/>
    <w:rsid w:val="00410DF3"/>
    <w:rsid w:val="004112F6"/>
    <w:rsid w:val="004113C4"/>
    <w:rsid w:val="0041156A"/>
    <w:rsid w:val="00411629"/>
    <w:rsid w:val="00411B85"/>
    <w:rsid w:val="00411CD2"/>
    <w:rsid w:val="00412D9B"/>
    <w:rsid w:val="00412FC4"/>
    <w:rsid w:val="00413AE2"/>
    <w:rsid w:val="00413B89"/>
    <w:rsid w:val="00413BAB"/>
    <w:rsid w:val="00414C4A"/>
    <w:rsid w:val="00414F2B"/>
    <w:rsid w:val="00414FF3"/>
    <w:rsid w:val="00415415"/>
    <w:rsid w:val="00415A03"/>
    <w:rsid w:val="00415B73"/>
    <w:rsid w:val="00415C15"/>
    <w:rsid w:val="00415F90"/>
    <w:rsid w:val="0041694C"/>
    <w:rsid w:val="00416A77"/>
    <w:rsid w:val="00416B8E"/>
    <w:rsid w:val="00416CB0"/>
    <w:rsid w:val="00416E9A"/>
    <w:rsid w:val="00420272"/>
    <w:rsid w:val="00420A2D"/>
    <w:rsid w:val="00420DB1"/>
    <w:rsid w:val="00420F7C"/>
    <w:rsid w:val="00421225"/>
    <w:rsid w:val="00421624"/>
    <w:rsid w:val="00421D14"/>
    <w:rsid w:val="004223C8"/>
    <w:rsid w:val="0042252F"/>
    <w:rsid w:val="0042268F"/>
    <w:rsid w:val="0042269E"/>
    <w:rsid w:val="00422CAC"/>
    <w:rsid w:val="00422F36"/>
    <w:rsid w:val="00423392"/>
    <w:rsid w:val="00423DCF"/>
    <w:rsid w:val="00423E99"/>
    <w:rsid w:val="0042421B"/>
    <w:rsid w:val="0042421C"/>
    <w:rsid w:val="0042431C"/>
    <w:rsid w:val="00424485"/>
    <w:rsid w:val="004246B8"/>
    <w:rsid w:val="0042537C"/>
    <w:rsid w:val="00425516"/>
    <w:rsid w:val="00425C7E"/>
    <w:rsid w:val="00425FC8"/>
    <w:rsid w:val="00425FCD"/>
    <w:rsid w:val="004261D4"/>
    <w:rsid w:val="0042656D"/>
    <w:rsid w:val="004267E2"/>
    <w:rsid w:val="00426B04"/>
    <w:rsid w:val="00426F84"/>
    <w:rsid w:val="0042720A"/>
    <w:rsid w:val="0042756C"/>
    <w:rsid w:val="004276D0"/>
    <w:rsid w:val="00427715"/>
    <w:rsid w:val="00427894"/>
    <w:rsid w:val="00427939"/>
    <w:rsid w:val="00427ADB"/>
    <w:rsid w:val="00427D25"/>
    <w:rsid w:val="00427D54"/>
    <w:rsid w:val="00427E68"/>
    <w:rsid w:val="00427ED4"/>
    <w:rsid w:val="0043016E"/>
    <w:rsid w:val="0043019D"/>
    <w:rsid w:val="0043027C"/>
    <w:rsid w:val="0043045A"/>
    <w:rsid w:val="00430529"/>
    <w:rsid w:val="00430594"/>
    <w:rsid w:val="004307A2"/>
    <w:rsid w:val="00430806"/>
    <w:rsid w:val="00430AF5"/>
    <w:rsid w:val="004311E5"/>
    <w:rsid w:val="004318DA"/>
    <w:rsid w:val="0043197C"/>
    <w:rsid w:val="00431BE8"/>
    <w:rsid w:val="00431C7F"/>
    <w:rsid w:val="00431CAA"/>
    <w:rsid w:val="00431D28"/>
    <w:rsid w:val="004325D1"/>
    <w:rsid w:val="00433069"/>
    <w:rsid w:val="004330BF"/>
    <w:rsid w:val="00433619"/>
    <w:rsid w:val="00433D28"/>
    <w:rsid w:val="00433F36"/>
    <w:rsid w:val="0043405E"/>
    <w:rsid w:val="004342CF"/>
    <w:rsid w:val="00434457"/>
    <w:rsid w:val="00434B7B"/>
    <w:rsid w:val="004353F2"/>
    <w:rsid w:val="004354E0"/>
    <w:rsid w:val="00435806"/>
    <w:rsid w:val="004360D7"/>
    <w:rsid w:val="0043624C"/>
    <w:rsid w:val="004366C4"/>
    <w:rsid w:val="00436907"/>
    <w:rsid w:val="00436A03"/>
    <w:rsid w:val="00436A6B"/>
    <w:rsid w:val="00436BC2"/>
    <w:rsid w:val="00436F27"/>
    <w:rsid w:val="0043727A"/>
    <w:rsid w:val="0043748A"/>
    <w:rsid w:val="00437E31"/>
    <w:rsid w:val="00437EA6"/>
    <w:rsid w:val="00437FE4"/>
    <w:rsid w:val="00440319"/>
    <w:rsid w:val="0044041C"/>
    <w:rsid w:val="00441094"/>
    <w:rsid w:val="00441663"/>
    <w:rsid w:val="0044182F"/>
    <w:rsid w:val="0044221C"/>
    <w:rsid w:val="0044225F"/>
    <w:rsid w:val="0044242A"/>
    <w:rsid w:val="00442533"/>
    <w:rsid w:val="0044265E"/>
    <w:rsid w:val="0044359E"/>
    <w:rsid w:val="0044366E"/>
    <w:rsid w:val="004436AF"/>
    <w:rsid w:val="004436E3"/>
    <w:rsid w:val="00443B8B"/>
    <w:rsid w:val="00443CD2"/>
    <w:rsid w:val="0044480C"/>
    <w:rsid w:val="004449CE"/>
    <w:rsid w:val="00445071"/>
    <w:rsid w:val="00445162"/>
    <w:rsid w:val="0044534D"/>
    <w:rsid w:val="00445A4A"/>
    <w:rsid w:val="00445CA1"/>
    <w:rsid w:val="0044602D"/>
    <w:rsid w:val="00446453"/>
    <w:rsid w:val="0044661C"/>
    <w:rsid w:val="004466B5"/>
    <w:rsid w:val="004468A5"/>
    <w:rsid w:val="00446BE7"/>
    <w:rsid w:val="00446C2D"/>
    <w:rsid w:val="00446E2D"/>
    <w:rsid w:val="00446E93"/>
    <w:rsid w:val="00446F9A"/>
    <w:rsid w:val="00447173"/>
    <w:rsid w:val="004475C7"/>
    <w:rsid w:val="004479C1"/>
    <w:rsid w:val="00447B61"/>
    <w:rsid w:val="00450436"/>
    <w:rsid w:val="004504E4"/>
    <w:rsid w:val="004505E6"/>
    <w:rsid w:val="004505ED"/>
    <w:rsid w:val="004509A8"/>
    <w:rsid w:val="00450DE0"/>
    <w:rsid w:val="00450E8D"/>
    <w:rsid w:val="0045102C"/>
    <w:rsid w:val="004511D9"/>
    <w:rsid w:val="00451E6E"/>
    <w:rsid w:val="00451F3C"/>
    <w:rsid w:val="00452301"/>
    <w:rsid w:val="00453221"/>
    <w:rsid w:val="0045375D"/>
    <w:rsid w:val="00453947"/>
    <w:rsid w:val="004540B9"/>
    <w:rsid w:val="004543BB"/>
    <w:rsid w:val="0045479F"/>
    <w:rsid w:val="0045503C"/>
    <w:rsid w:val="0045526F"/>
    <w:rsid w:val="004558D8"/>
    <w:rsid w:val="0045598C"/>
    <w:rsid w:val="00455CC8"/>
    <w:rsid w:val="00456204"/>
    <w:rsid w:val="004565BB"/>
    <w:rsid w:val="004567E3"/>
    <w:rsid w:val="004567EB"/>
    <w:rsid w:val="0045684A"/>
    <w:rsid w:val="004568FE"/>
    <w:rsid w:val="00456BFD"/>
    <w:rsid w:val="00456CB1"/>
    <w:rsid w:val="00456D43"/>
    <w:rsid w:val="00456E75"/>
    <w:rsid w:val="004577C6"/>
    <w:rsid w:val="00457A92"/>
    <w:rsid w:val="00457ED3"/>
    <w:rsid w:val="004600ED"/>
    <w:rsid w:val="0046018A"/>
    <w:rsid w:val="00460578"/>
    <w:rsid w:val="00460C28"/>
    <w:rsid w:val="00460D3E"/>
    <w:rsid w:val="00461118"/>
    <w:rsid w:val="00461750"/>
    <w:rsid w:val="00461E0C"/>
    <w:rsid w:val="00461EB2"/>
    <w:rsid w:val="004624C8"/>
    <w:rsid w:val="00462847"/>
    <w:rsid w:val="00462B4B"/>
    <w:rsid w:val="00462CCC"/>
    <w:rsid w:val="00462D0B"/>
    <w:rsid w:val="00462F59"/>
    <w:rsid w:val="00463172"/>
    <w:rsid w:val="0046399C"/>
    <w:rsid w:val="004639A8"/>
    <w:rsid w:val="00463B14"/>
    <w:rsid w:val="00463B6D"/>
    <w:rsid w:val="00463C44"/>
    <w:rsid w:val="00463D1B"/>
    <w:rsid w:val="00463FF9"/>
    <w:rsid w:val="004643FD"/>
    <w:rsid w:val="0046455C"/>
    <w:rsid w:val="00464A38"/>
    <w:rsid w:val="004655A3"/>
    <w:rsid w:val="00465E62"/>
    <w:rsid w:val="00465F53"/>
    <w:rsid w:val="004660A4"/>
    <w:rsid w:val="004664B0"/>
    <w:rsid w:val="00466795"/>
    <w:rsid w:val="00466A77"/>
    <w:rsid w:val="00466C54"/>
    <w:rsid w:val="00466E33"/>
    <w:rsid w:val="00466F2A"/>
    <w:rsid w:val="00467054"/>
    <w:rsid w:val="004673C6"/>
    <w:rsid w:val="00470138"/>
    <w:rsid w:val="0047034A"/>
    <w:rsid w:val="00470DBC"/>
    <w:rsid w:val="00470EB4"/>
    <w:rsid w:val="004711FD"/>
    <w:rsid w:val="004713BD"/>
    <w:rsid w:val="00471C19"/>
    <w:rsid w:val="004721E2"/>
    <w:rsid w:val="00472AFA"/>
    <w:rsid w:val="00472ECB"/>
    <w:rsid w:val="0047311E"/>
    <w:rsid w:val="00473198"/>
    <w:rsid w:val="0047371E"/>
    <w:rsid w:val="004737BA"/>
    <w:rsid w:val="00473CC2"/>
    <w:rsid w:val="0047408D"/>
    <w:rsid w:val="0047435F"/>
    <w:rsid w:val="00475262"/>
    <w:rsid w:val="004754AD"/>
    <w:rsid w:val="00475BC3"/>
    <w:rsid w:val="00475C6B"/>
    <w:rsid w:val="00476361"/>
    <w:rsid w:val="004765C9"/>
    <w:rsid w:val="004767B4"/>
    <w:rsid w:val="00476892"/>
    <w:rsid w:val="00476D19"/>
    <w:rsid w:val="00476DAE"/>
    <w:rsid w:val="004771DC"/>
    <w:rsid w:val="00477213"/>
    <w:rsid w:val="00477481"/>
    <w:rsid w:val="0047780E"/>
    <w:rsid w:val="00477B09"/>
    <w:rsid w:val="00477B34"/>
    <w:rsid w:val="00477B67"/>
    <w:rsid w:val="00477B85"/>
    <w:rsid w:val="00480254"/>
    <w:rsid w:val="0048048C"/>
    <w:rsid w:val="00480743"/>
    <w:rsid w:val="00480957"/>
    <w:rsid w:val="00480CB0"/>
    <w:rsid w:val="00480D55"/>
    <w:rsid w:val="00480F46"/>
    <w:rsid w:val="00481E1C"/>
    <w:rsid w:val="00482526"/>
    <w:rsid w:val="004832FA"/>
    <w:rsid w:val="004836DD"/>
    <w:rsid w:val="004838F1"/>
    <w:rsid w:val="00484E50"/>
    <w:rsid w:val="00485169"/>
    <w:rsid w:val="004857AD"/>
    <w:rsid w:val="0048588E"/>
    <w:rsid w:val="004859DF"/>
    <w:rsid w:val="00485A30"/>
    <w:rsid w:val="00485C9A"/>
    <w:rsid w:val="004862CC"/>
    <w:rsid w:val="0048641B"/>
    <w:rsid w:val="004865F3"/>
    <w:rsid w:val="00486923"/>
    <w:rsid w:val="00486AE0"/>
    <w:rsid w:val="00486B46"/>
    <w:rsid w:val="00486CB8"/>
    <w:rsid w:val="004875E0"/>
    <w:rsid w:val="00487D18"/>
    <w:rsid w:val="00490232"/>
    <w:rsid w:val="00490A50"/>
    <w:rsid w:val="00490A66"/>
    <w:rsid w:val="00490D8C"/>
    <w:rsid w:val="0049110B"/>
    <w:rsid w:val="004911CA"/>
    <w:rsid w:val="004912D8"/>
    <w:rsid w:val="00491B4F"/>
    <w:rsid w:val="00491C26"/>
    <w:rsid w:val="00492E0E"/>
    <w:rsid w:val="00493041"/>
    <w:rsid w:val="004930E3"/>
    <w:rsid w:val="00493B63"/>
    <w:rsid w:val="00493DF5"/>
    <w:rsid w:val="00493F30"/>
    <w:rsid w:val="00494086"/>
    <w:rsid w:val="0049442A"/>
    <w:rsid w:val="0049452C"/>
    <w:rsid w:val="00494758"/>
    <w:rsid w:val="00494A0A"/>
    <w:rsid w:val="00494B47"/>
    <w:rsid w:val="00494BBB"/>
    <w:rsid w:val="00494CB4"/>
    <w:rsid w:val="004950B5"/>
    <w:rsid w:val="00495673"/>
    <w:rsid w:val="00495680"/>
    <w:rsid w:val="00495A16"/>
    <w:rsid w:val="00495ABB"/>
    <w:rsid w:val="00495E7E"/>
    <w:rsid w:val="00495FF0"/>
    <w:rsid w:val="00496318"/>
    <w:rsid w:val="00496C68"/>
    <w:rsid w:val="00496F89"/>
    <w:rsid w:val="004979D7"/>
    <w:rsid w:val="00497FFC"/>
    <w:rsid w:val="004A0384"/>
    <w:rsid w:val="004A0A77"/>
    <w:rsid w:val="004A0CFF"/>
    <w:rsid w:val="004A149E"/>
    <w:rsid w:val="004A15A5"/>
    <w:rsid w:val="004A1837"/>
    <w:rsid w:val="004A1BAC"/>
    <w:rsid w:val="004A1E86"/>
    <w:rsid w:val="004A20A2"/>
    <w:rsid w:val="004A237A"/>
    <w:rsid w:val="004A24F2"/>
    <w:rsid w:val="004A293A"/>
    <w:rsid w:val="004A2C46"/>
    <w:rsid w:val="004A3199"/>
    <w:rsid w:val="004A3359"/>
    <w:rsid w:val="004A3385"/>
    <w:rsid w:val="004A3B11"/>
    <w:rsid w:val="004A3D13"/>
    <w:rsid w:val="004A44F8"/>
    <w:rsid w:val="004A4542"/>
    <w:rsid w:val="004A4891"/>
    <w:rsid w:val="004A56AD"/>
    <w:rsid w:val="004A5756"/>
    <w:rsid w:val="004A5B07"/>
    <w:rsid w:val="004A62C2"/>
    <w:rsid w:val="004A6B78"/>
    <w:rsid w:val="004A6BEA"/>
    <w:rsid w:val="004A6E88"/>
    <w:rsid w:val="004A74A9"/>
    <w:rsid w:val="004A77CD"/>
    <w:rsid w:val="004A781D"/>
    <w:rsid w:val="004A7C13"/>
    <w:rsid w:val="004A7C2E"/>
    <w:rsid w:val="004A7F27"/>
    <w:rsid w:val="004A7FD8"/>
    <w:rsid w:val="004B06A4"/>
    <w:rsid w:val="004B0B6B"/>
    <w:rsid w:val="004B0D07"/>
    <w:rsid w:val="004B141D"/>
    <w:rsid w:val="004B1701"/>
    <w:rsid w:val="004B1791"/>
    <w:rsid w:val="004B1F29"/>
    <w:rsid w:val="004B20DE"/>
    <w:rsid w:val="004B21A6"/>
    <w:rsid w:val="004B2549"/>
    <w:rsid w:val="004B2A7D"/>
    <w:rsid w:val="004B2BC5"/>
    <w:rsid w:val="004B2FCA"/>
    <w:rsid w:val="004B37D2"/>
    <w:rsid w:val="004B3B4C"/>
    <w:rsid w:val="004B3D4D"/>
    <w:rsid w:val="004B3D53"/>
    <w:rsid w:val="004B3DF6"/>
    <w:rsid w:val="004B44E8"/>
    <w:rsid w:val="004B47D0"/>
    <w:rsid w:val="004B499B"/>
    <w:rsid w:val="004B49AB"/>
    <w:rsid w:val="004B49C0"/>
    <w:rsid w:val="004B4D7F"/>
    <w:rsid w:val="004B5112"/>
    <w:rsid w:val="004B5128"/>
    <w:rsid w:val="004B5615"/>
    <w:rsid w:val="004B5C31"/>
    <w:rsid w:val="004B6124"/>
    <w:rsid w:val="004B6195"/>
    <w:rsid w:val="004B659F"/>
    <w:rsid w:val="004B65D1"/>
    <w:rsid w:val="004B65FF"/>
    <w:rsid w:val="004B7600"/>
    <w:rsid w:val="004B78BF"/>
    <w:rsid w:val="004B7C25"/>
    <w:rsid w:val="004B7C51"/>
    <w:rsid w:val="004C02DC"/>
    <w:rsid w:val="004C03CD"/>
    <w:rsid w:val="004C0483"/>
    <w:rsid w:val="004C0915"/>
    <w:rsid w:val="004C0B9B"/>
    <w:rsid w:val="004C0FFA"/>
    <w:rsid w:val="004C1A86"/>
    <w:rsid w:val="004C1CD3"/>
    <w:rsid w:val="004C1DFF"/>
    <w:rsid w:val="004C208F"/>
    <w:rsid w:val="004C2698"/>
    <w:rsid w:val="004C2DAB"/>
    <w:rsid w:val="004C312A"/>
    <w:rsid w:val="004C324D"/>
    <w:rsid w:val="004C3856"/>
    <w:rsid w:val="004C3A7E"/>
    <w:rsid w:val="004C3DD2"/>
    <w:rsid w:val="004C4523"/>
    <w:rsid w:val="004C47B5"/>
    <w:rsid w:val="004C4C6B"/>
    <w:rsid w:val="004C4D1D"/>
    <w:rsid w:val="004C4F85"/>
    <w:rsid w:val="004C5242"/>
    <w:rsid w:val="004C54A8"/>
    <w:rsid w:val="004C5531"/>
    <w:rsid w:val="004C5ADE"/>
    <w:rsid w:val="004C5AEA"/>
    <w:rsid w:val="004C5F2C"/>
    <w:rsid w:val="004C61C0"/>
    <w:rsid w:val="004C643E"/>
    <w:rsid w:val="004C6B1B"/>
    <w:rsid w:val="004C6DF3"/>
    <w:rsid w:val="004C7068"/>
    <w:rsid w:val="004C7097"/>
    <w:rsid w:val="004C7370"/>
    <w:rsid w:val="004C7385"/>
    <w:rsid w:val="004C7B0D"/>
    <w:rsid w:val="004C7FB6"/>
    <w:rsid w:val="004D03FB"/>
    <w:rsid w:val="004D05C6"/>
    <w:rsid w:val="004D068A"/>
    <w:rsid w:val="004D0A0C"/>
    <w:rsid w:val="004D0B22"/>
    <w:rsid w:val="004D0B3A"/>
    <w:rsid w:val="004D0C5B"/>
    <w:rsid w:val="004D1A7C"/>
    <w:rsid w:val="004D2069"/>
    <w:rsid w:val="004D261C"/>
    <w:rsid w:val="004D2833"/>
    <w:rsid w:val="004D2B31"/>
    <w:rsid w:val="004D2E0B"/>
    <w:rsid w:val="004D3122"/>
    <w:rsid w:val="004D3228"/>
    <w:rsid w:val="004D32AF"/>
    <w:rsid w:val="004D373C"/>
    <w:rsid w:val="004D3A0C"/>
    <w:rsid w:val="004D4438"/>
    <w:rsid w:val="004D47BB"/>
    <w:rsid w:val="004D48B2"/>
    <w:rsid w:val="004D4DFB"/>
    <w:rsid w:val="004D502E"/>
    <w:rsid w:val="004D5037"/>
    <w:rsid w:val="004D548B"/>
    <w:rsid w:val="004D569E"/>
    <w:rsid w:val="004D5875"/>
    <w:rsid w:val="004D5913"/>
    <w:rsid w:val="004D59E4"/>
    <w:rsid w:val="004D62EB"/>
    <w:rsid w:val="004D6353"/>
    <w:rsid w:val="004D6548"/>
    <w:rsid w:val="004D6A0F"/>
    <w:rsid w:val="004D6AE4"/>
    <w:rsid w:val="004D6BA0"/>
    <w:rsid w:val="004D6CC2"/>
    <w:rsid w:val="004D6F2A"/>
    <w:rsid w:val="004D7499"/>
    <w:rsid w:val="004D7A2B"/>
    <w:rsid w:val="004E0385"/>
    <w:rsid w:val="004E052B"/>
    <w:rsid w:val="004E1443"/>
    <w:rsid w:val="004E1ED1"/>
    <w:rsid w:val="004E271F"/>
    <w:rsid w:val="004E28FF"/>
    <w:rsid w:val="004E2A30"/>
    <w:rsid w:val="004E2A6B"/>
    <w:rsid w:val="004E2C79"/>
    <w:rsid w:val="004E2C7F"/>
    <w:rsid w:val="004E3260"/>
    <w:rsid w:val="004E329B"/>
    <w:rsid w:val="004E356A"/>
    <w:rsid w:val="004E3661"/>
    <w:rsid w:val="004E379A"/>
    <w:rsid w:val="004E3AC8"/>
    <w:rsid w:val="004E3BC1"/>
    <w:rsid w:val="004E4DD8"/>
    <w:rsid w:val="004E567D"/>
    <w:rsid w:val="004E56C2"/>
    <w:rsid w:val="004E588B"/>
    <w:rsid w:val="004E5EF0"/>
    <w:rsid w:val="004E61A9"/>
    <w:rsid w:val="004E6309"/>
    <w:rsid w:val="004E6449"/>
    <w:rsid w:val="004E6B96"/>
    <w:rsid w:val="004E7386"/>
    <w:rsid w:val="004E73E8"/>
    <w:rsid w:val="004E748F"/>
    <w:rsid w:val="004E75BB"/>
    <w:rsid w:val="004E76E6"/>
    <w:rsid w:val="004E7799"/>
    <w:rsid w:val="004E78F3"/>
    <w:rsid w:val="004F000D"/>
    <w:rsid w:val="004F00E4"/>
    <w:rsid w:val="004F00F8"/>
    <w:rsid w:val="004F0168"/>
    <w:rsid w:val="004F06DB"/>
    <w:rsid w:val="004F09F4"/>
    <w:rsid w:val="004F0B7E"/>
    <w:rsid w:val="004F0C5A"/>
    <w:rsid w:val="004F10F2"/>
    <w:rsid w:val="004F18E6"/>
    <w:rsid w:val="004F1A9F"/>
    <w:rsid w:val="004F1AF9"/>
    <w:rsid w:val="004F1CCF"/>
    <w:rsid w:val="004F1DA4"/>
    <w:rsid w:val="004F1FC8"/>
    <w:rsid w:val="004F337A"/>
    <w:rsid w:val="004F33C7"/>
    <w:rsid w:val="004F3995"/>
    <w:rsid w:val="004F40B5"/>
    <w:rsid w:val="004F437B"/>
    <w:rsid w:val="004F46A5"/>
    <w:rsid w:val="004F48E5"/>
    <w:rsid w:val="004F4A44"/>
    <w:rsid w:val="004F4BD2"/>
    <w:rsid w:val="004F4CAC"/>
    <w:rsid w:val="004F4EBC"/>
    <w:rsid w:val="004F5089"/>
    <w:rsid w:val="004F5356"/>
    <w:rsid w:val="004F5645"/>
    <w:rsid w:val="004F655B"/>
    <w:rsid w:val="004F66D1"/>
    <w:rsid w:val="004F66E2"/>
    <w:rsid w:val="004F6E2A"/>
    <w:rsid w:val="004F6E69"/>
    <w:rsid w:val="004F7911"/>
    <w:rsid w:val="0050058B"/>
    <w:rsid w:val="00500868"/>
    <w:rsid w:val="005008DE"/>
    <w:rsid w:val="00500AA0"/>
    <w:rsid w:val="00500D6D"/>
    <w:rsid w:val="00500D9A"/>
    <w:rsid w:val="00501C65"/>
    <w:rsid w:val="00501D89"/>
    <w:rsid w:val="00501FFF"/>
    <w:rsid w:val="00502862"/>
    <w:rsid w:val="00502871"/>
    <w:rsid w:val="00502F78"/>
    <w:rsid w:val="0050381A"/>
    <w:rsid w:val="00503D25"/>
    <w:rsid w:val="00503FFE"/>
    <w:rsid w:val="00504756"/>
    <w:rsid w:val="00504972"/>
    <w:rsid w:val="00504CBA"/>
    <w:rsid w:val="00505456"/>
    <w:rsid w:val="0050587A"/>
    <w:rsid w:val="0050599D"/>
    <w:rsid w:val="00505DF3"/>
    <w:rsid w:val="00505DF4"/>
    <w:rsid w:val="00506294"/>
    <w:rsid w:val="00506581"/>
    <w:rsid w:val="00507057"/>
    <w:rsid w:val="0050730D"/>
    <w:rsid w:val="00507999"/>
    <w:rsid w:val="00507BE1"/>
    <w:rsid w:val="00507CE1"/>
    <w:rsid w:val="00507FCE"/>
    <w:rsid w:val="00510410"/>
    <w:rsid w:val="005105EA"/>
    <w:rsid w:val="005109CD"/>
    <w:rsid w:val="005109E8"/>
    <w:rsid w:val="00510C77"/>
    <w:rsid w:val="00510E14"/>
    <w:rsid w:val="005110FB"/>
    <w:rsid w:val="005110FD"/>
    <w:rsid w:val="00511169"/>
    <w:rsid w:val="005112D6"/>
    <w:rsid w:val="005117D6"/>
    <w:rsid w:val="005117DF"/>
    <w:rsid w:val="00511B6A"/>
    <w:rsid w:val="00511BD8"/>
    <w:rsid w:val="00511D65"/>
    <w:rsid w:val="00511DCD"/>
    <w:rsid w:val="00511FEE"/>
    <w:rsid w:val="00512220"/>
    <w:rsid w:val="005127ED"/>
    <w:rsid w:val="00512E98"/>
    <w:rsid w:val="005133E4"/>
    <w:rsid w:val="005136B2"/>
    <w:rsid w:val="00513EA9"/>
    <w:rsid w:val="00513F7E"/>
    <w:rsid w:val="0051452B"/>
    <w:rsid w:val="00514652"/>
    <w:rsid w:val="00514BAD"/>
    <w:rsid w:val="00514F13"/>
    <w:rsid w:val="0051511B"/>
    <w:rsid w:val="005151FA"/>
    <w:rsid w:val="005159DF"/>
    <w:rsid w:val="00515B68"/>
    <w:rsid w:val="00515CE8"/>
    <w:rsid w:val="00515F4E"/>
    <w:rsid w:val="00516831"/>
    <w:rsid w:val="00516882"/>
    <w:rsid w:val="005169BF"/>
    <w:rsid w:val="005170AE"/>
    <w:rsid w:val="00517831"/>
    <w:rsid w:val="00520498"/>
    <w:rsid w:val="0052054A"/>
    <w:rsid w:val="00520827"/>
    <w:rsid w:val="0052094E"/>
    <w:rsid w:val="00520FA9"/>
    <w:rsid w:val="005210A6"/>
    <w:rsid w:val="005210C9"/>
    <w:rsid w:val="00521823"/>
    <w:rsid w:val="00521BA0"/>
    <w:rsid w:val="00521BE3"/>
    <w:rsid w:val="00521F13"/>
    <w:rsid w:val="005222AA"/>
    <w:rsid w:val="005223FE"/>
    <w:rsid w:val="00522E1F"/>
    <w:rsid w:val="00522F38"/>
    <w:rsid w:val="005232DA"/>
    <w:rsid w:val="0052347B"/>
    <w:rsid w:val="005235C6"/>
    <w:rsid w:val="00523ECE"/>
    <w:rsid w:val="00523F1A"/>
    <w:rsid w:val="00523F96"/>
    <w:rsid w:val="0052459F"/>
    <w:rsid w:val="00524631"/>
    <w:rsid w:val="005246FB"/>
    <w:rsid w:val="00524A65"/>
    <w:rsid w:val="00524DC1"/>
    <w:rsid w:val="005250E4"/>
    <w:rsid w:val="005252B2"/>
    <w:rsid w:val="005252BF"/>
    <w:rsid w:val="005252E8"/>
    <w:rsid w:val="0052533B"/>
    <w:rsid w:val="00525B53"/>
    <w:rsid w:val="00525B63"/>
    <w:rsid w:val="00525C9E"/>
    <w:rsid w:val="00525E23"/>
    <w:rsid w:val="00526BF7"/>
    <w:rsid w:val="00526E55"/>
    <w:rsid w:val="0052700E"/>
    <w:rsid w:val="005270A6"/>
    <w:rsid w:val="005270AE"/>
    <w:rsid w:val="005279C5"/>
    <w:rsid w:val="00527E9E"/>
    <w:rsid w:val="00527F4D"/>
    <w:rsid w:val="00527FB7"/>
    <w:rsid w:val="0053011C"/>
    <w:rsid w:val="005304CD"/>
    <w:rsid w:val="00530617"/>
    <w:rsid w:val="005307AF"/>
    <w:rsid w:val="005308F5"/>
    <w:rsid w:val="00530A94"/>
    <w:rsid w:val="00530B49"/>
    <w:rsid w:val="00530D23"/>
    <w:rsid w:val="00531CF6"/>
    <w:rsid w:val="00532222"/>
    <w:rsid w:val="0053261B"/>
    <w:rsid w:val="00532638"/>
    <w:rsid w:val="00532686"/>
    <w:rsid w:val="00532789"/>
    <w:rsid w:val="0053286A"/>
    <w:rsid w:val="00532A2C"/>
    <w:rsid w:val="005332D7"/>
    <w:rsid w:val="0053345E"/>
    <w:rsid w:val="0053363F"/>
    <w:rsid w:val="00533B63"/>
    <w:rsid w:val="00533C2F"/>
    <w:rsid w:val="00533C76"/>
    <w:rsid w:val="00533CE4"/>
    <w:rsid w:val="00533E84"/>
    <w:rsid w:val="005346CF"/>
    <w:rsid w:val="005348AF"/>
    <w:rsid w:val="00534A84"/>
    <w:rsid w:val="00534B00"/>
    <w:rsid w:val="00534B19"/>
    <w:rsid w:val="005351E1"/>
    <w:rsid w:val="00535AED"/>
    <w:rsid w:val="00535C4C"/>
    <w:rsid w:val="00535E29"/>
    <w:rsid w:val="00535F8A"/>
    <w:rsid w:val="0053600B"/>
    <w:rsid w:val="0053621C"/>
    <w:rsid w:val="005364F1"/>
    <w:rsid w:val="0053680F"/>
    <w:rsid w:val="0053689C"/>
    <w:rsid w:val="0053692D"/>
    <w:rsid w:val="00536C8A"/>
    <w:rsid w:val="00537B13"/>
    <w:rsid w:val="00537BEE"/>
    <w:rsid w:val="00537BF8"/>
    <w:rsid w:val="00537C19"/>
    <w:rsid w:val="00537E99"/>
    <w:rsid w:val="005400AC"/>
    <w:rsid w:val="005404D2"/>
    <w:rsid w:val="00540B2F"/>
    <w:rsid w:val="00540FB1"/>
    <w:rsid w:val="00541134"/>
    <w:rsid w:val="005414EA"/>
    <w:rsid w:val="00541956"/>
    <w:rsid w:val="00541ADD"/>
    <w:rsid w:val="005422EA"/>
    <w:rsid w:val="00542798"/>
    <w:rsid w:val="00542A9B"/>
    <w:rsid w:val="00542FC5"/>
    <w:rsid w:val="00543228"/>
    <w:rsid w:val="00543450"/>
    <w:rsid w:val="00543AAD"/>
    <w:rsid w:val="00543B4F"/>
    <w:rsid w:val="00543FA9"/>
    <w:rsid w:val="00544778"/>
    <w:rsid w:val="00544957"/>
    <w:rsid w:val="00545139"/>
    <w:rsid w:val="005451C5"/>
    <w:rsid w:val="00545A86"/>
    <w:rsid w:val="00545E18"/>
    <w:rsid w:val="00545F08"/>
    <w:rsid w:val="00545FA8"/>
    <w:rsid w:val="00546064"/>
    <w:rsid w:val="005461E4"/>
    <w:rsid w:val="00546376"/>
    <w:rsid w:val="0054646E"/>
    <w:rsid w:val="00546956"/>
    <w:rsid w:val="00546F1D"/>
    <w:rsid w:val="00547145"/>
    <w:rsid w:val="00547BBC"/>
    <w:rsid w:val="00547EF1"/>
    <w:rsid w:val="00550004"/>
    <w:rsid w:val="005500C1"/>
    <w:rsid w:val="005502C5"/>
    <w:rsid w:val="0055079D"/>
    <w:rsid w:val="00550F50"/>
    <w:rsid w:val="005518EF"/>
    <w:rsid w:val="00551C58"/>
    <w:rsid w:val="00551CAE"/>
    <w:rsid w:val="00551D93"/>
    <w:rsid w:val="00551E16"/>
    <w:rsid w:val="00551EF1"/>
    <w:rsid w:val="005522C1"/>
    <w:rsid w:val="005526DF"/>
    <w:rsid w:val="00552CB8"/>
    <w:rsid w:val="00552E15"/>
    <w:rsid w:val="00553203"/>
    <w:rsid w:val="00553384"/>
    <w:rsid w:val="00553753"/>
    <w:rsid w:val="005537D0"/>
    <w:rsid w:val="00553CD0"/>
    <w:rsid w:val="00553D32"/>
    <w:rsid w:val="005540A8"/>
    <w:rsid w:val="005544C1"/>
    <w:rsid w:val="00554B62"/>
    <w:rsid w:val="00554BAE"/>
    <w:rsid w:val="005552FA"/>
    <w:rsid w:val="005555CF"/>
    <w:rsid w:val="00555AC5"/>
    <w:rsid w:val="00555FDA"/>
    <w:rsid w:val="0055622E"/>
    <w:rsid w:val="00556699"/>
    <w:rsid w:val="00556F80"/>
    <w:rsid w:val="0055719E"/>
    <w:rsid w:val="005571A0"/>
    <w:rsid w:val="00557511"/>
    <w:rsid w:val="005579E3"/>
    <w:rsid w:val="00557B52"/>
    <w:rsid w:val="00557F9E"/>
    <w:rsid w:val="00560C7E"/>
    <w:rsid w:val="005615B3"/>
    <w:rsid w:val="005617EA"/>
    <w:rsid w:val="00561B49"/>
    <w:rsid w:val="00561DDE"/>
    <w:rsid w:val="005620C1"/>
    <w:rsid w:val="00562253"/>
    <w:rsid w:val="005624C8"/>
    <w:rsid w:val="00562A48"/>
    <w:rsid w:val="00562BE0"/>
    <w:rsid w:val="00562D23"/>
    <w:rsid w:val="00562FA4"/>
    <w:rsid w:val="005632DB"/>
    <w:rsid w:val="0056369C"/>
    <w:rsid w:val="00563D26"/>
    <w:rsid w:val="00563DF0"/>
    <w:rsid w:val="00563E17"/>
    <w:rsid w:val="005646DF"/>
    <w:rsid w:val="0056472E"/>
    <w:rsid w:val="00565409"/>
    <w:rsid w:val="00565B17"/>
    <w:rsid w:val="005660D2"/>
    <w:rsid w:val="005666BB"/>
    <w:rsid w:val="00566A0A"/>
    <w:rsid w:val="00566ADA"/>
    <w:rsid w:val="00566D27"/>
    <w:rsid w:val="0056704D"/>
    <w:rsid w:val="0056722E"/>
    <w:rsid w:val="0056728B"/>
    <w:rsid w:val="00567535"/>
    <w:rsid w:val="0056765A"/>
    <w:rsid w:val="00567C48"/>
    <w:rsid w:val="00567DB2"/>
    <w:rsid w:val="00570006"/>
    <w:rsid w:val="00570074"/>
    <w:rsid w:val="00570239"/>
    <w:rsid w:val="005706BF"/>
    <w:rsid w:val="00570D68"/>
    <w:rsid w:val="0057139A"/>
    <w:rsid w:val="005714B5"/>
    <w:rsid w:val="00571527"/>
    <w:rsid w:val="005715C2"/>
    <w:rsid w:val="00571977"/>
    <w:rsid w:val="00571B9A"/>
    <w:rsid w:val="00571F75"/>
    <w:rsid w:val="00572692"/>
    <w:rsid w:val="005727E4"/>
    <w:rsid w:val="0057333F"/>
    <w:rsid w:val="00573575"/>
    <w:rsid w:val="0057390E"/>
    <w:rsid w:val="005739A1"/>
    <w:rsid w:val="005739A7"/>
    <w:rsid w:val="00574181"/>
    <w:rsid w:val="005745AA"/>
    <w:rsid w:val="00574689"/>
    <w:rsid w:val="005746A3"/>
    <w:rsid w:val="00574AE6"/>
    <w:rsid w:val="00574F1B"/>
    <w:rsid w:val="00575483"/>
    <w:rsid w:val="0057568D"/>
    <w:rsid w:val="00575A35"/>
    <w:rsid w:val="00576852"/>
    <w:rsid w:val="00576962"/>
    <w:rsid w:val="00576A55"/>
    <w:rsid w:val="00576DC8"/>
    <w:rsid w:val="00576DF8"/>
    <w:rsid w:val="005770FF"/>
    <w:rsid w:val="00577DE4"/>
    <w:rsid w:val="00577E0D"/>
    <w:rsid w:val="00577EAD"/>
    <w:rsid w:val="0058018C"/>
    <w:rsid w:val="00580266"/>
    <w:rsid w:val="00580943"/>
    <w:rsid w:val="00580D35"/>
    <w:rsid w:val="00581774"/>
    <w:rsid w:val="0058182C"/>
    <w:rsid w:val="00581D5E"/>
    <w:rsid w:val="005820CD"/>
    <w:rsid w:val="005823B8"/>
    <w:rsid w:val="005825A2"/>
    <w:rsid w:val="0058261D"/>
    <w:rsid w:val="00582EB5"/>
    <w:rsid w:val="005833D4"/>
    <w:rsid w:val="005837EE"/>
    <w:rsid w:val="00584192"/>
    <w:rsid w:val="00584891"/>
    <w:rsid w:val="005849A5"/>
    <w:rsid w:val="005849F0"/>
    <w:rsid w:val="00584A74"/>
    <w:rsid w:val="00584F83"/>
    <w:rsid w:val="0058553D"/>
    <w:rsid w:val="00585667"/>
    <w:rsid w:val="00585668"/>
    <w:rsid w:val="005859B5"/>
    <w:rsid w:val="00586324"/>
    <w:rsid w:val="00586A21"/>
    <w:rsid w:val="00586C4D"/>
    <w:rsid w:val="0058709F"/>
    <w:rsid w:val="00587242"/>
    <w:rsid w:val="005876CD"/>
    <w:rsid w:val="00587B02"/>
    <w:rsid w:val="00587CC9"/>
    <w:rsid w:val="005901FB"/>
    <w:rsid w:val="005909C5"/>
    <w:rsid w:val="00590F81"/>
    <w:rsid w:val="005915A1"/>
    <w:rsid w:val="005918D7"/>
    <w:rsid w:val="00591CCB"/>
    <w:rsid w:val="00591D08"/>
    <w:rsid w:val="005928DE"/>
    <w:rsid w:val="00592AA9"/>
    <w:rsid w:val="00592E94"/>
    <w:rsid w:val="005930CC"/>
    <w:rsid w:val="0059314A"/>
    <w:rsid w:val="00593AE6"/>
    <w:rsid w:val="00594108"/>
    <w:rsid w:val="00594703"/>
    <w:rsid w:val="00594741"/>
    <w:rsid w:val="005947A3"/>
    <w:rsid w:val="005948CA"/>
    <w:rsid w:val="005949EE"/>
    <w:rsid w:val="00594A25"/>
    <w:rsid w:val="00594CCA"/>
    <w:rsid w:val="00594D2E"/>
    <w:rsid w:val="005950E3"/>
    <w:rsid w:val="00595831"/>
    <w:rsid w:val="00595833"/>
    <w:rsid w:val="005958FF"/>
    <w:rsid w:val="0059590A"/>
    <w:rsid w:val="0059662A"/>
    <w:rsid w:val="005967BE"/>
    <w:rsid w:val="00596AC7"/>
    <w:rsid w:val="00596BE3"/>
    <w:rsid w:val="00596E6C"/>
    <w:rsid w:val="00596E83"/>
    <w:rsid w:val="005974BC"/>
    <w:rsid w:val="00597B58"/>
    <w:rsid w:val="005A0655"/>
    <w:rsid w:val="005A09E1"/>
    <w:rsid w:val="005A0D14"/>
    <w:rsid w:val="005A0E15"/>
    <w:rsid w:val="005A1295"/>
    <w:rsid w:val="005A1430"/>
    <w:rsid w:val="005A148B"/>
    <w:rsid w:val="005A168A"/>
    <w:rsid w:val="005A1D0C"/>
    <w:rsid w:val="005A1F87"/>
    <w:rsid w:val="005A1FC8"/>
    <w:rsid w:val="005A2088"/>
    <w:rsid w:val="005A22B4"/>
    <w:rsid w:val="005A24A1"/>
    <w:rsid w:val="005A252D"/>
    <w:rsid w:val="005A2555"/>
    <w:rsid w:val="005A25FA"/>
    <w:rsid w:val="005A2605"/>
    <w:rsid w:val="005A26E3"/>
    <w:rsid w:val="005A2BCD"/>
    <w:rsid w:val="005A2E90"/>
    <w:rsid w:val="005A2EE2"/>
    <w:rsid w:val="005A2F74"/>
    <w:rsid w:val="005A2FC5"/>
    <w:rsid w:val="005A3945"/>
    <w:rsid w:val="005A3A3F"/>
    <w:rsid w:val="005A3DC2"/>
    <w:rsid w:val="005A4069"/>
    <w:rsid w:val="005A45B8"/>
    <w:rsid w:val="005A48ED"/>
    <w:rsid w:val="005A525E"/>
    <w:rsid w:val="005A58BC"/>
    <w:rsid w:val="005A64A4"/>
    <w:rsid w:val="005A68D7"/>
    <w:rsid w:val="005A6A6B"/>
    <w:rsid w:val="005A6CD9"/>
    <w:rsid w:val="005A6EF7"/>
    <w:rsid w:val="005A75DD"/>
    <w:rsid w:val="005A781E"/>
    <w:rsid w:val="005A7D73"/>
    <w:rsid w:val="005A7DE6"/>
    <w:rsid w:val="005A7FA3"/>
    <w:rsid w:val="005B058A"/>
    <w:rsid w:val="005B0B66"/>
    <w:rsid w:val="005B0C2B"/>
    <w:rsid w:val="005B1367"/>
    <w:rsid w:val="005B13CA"/>
    <w:rsid w:val="005B142B"/>
    <w:rsid w:val="005B15BF"/>
    <w:rsid w:val="005B1CAF"/>
    <w:rsid w:val="005B23BD"/>
    <w:rsid w:val="005B23EC"/>
    <w:rsid w:val="005B245B"/>
    <w:rsid w:val="005B26C0"/>
    <w:rsid w:val="005B2B5F"/>
    <w:rsid w:val="005B2D30"/>
    <w:rsid w:val="005B326A"/>
    <w:rsid w:val="005B398E"/>
    <w:rsid w:val="005B3B53"/>
    <w:rsid w:val="005B4199"/>
    <w:rsid w:val="005B4985"/>
    <w:rsid w:val="005B4CD7"/>
    <w:rsid w:val="005B4D48"/>
    <w:rsid w:val="005B5126"/>
    <w:rsid w:val="005B5305"/>
    <w:rsid w:val="005B535E"/>
    <w:rsid w:val="005B543C"/>
    <w:rsid w:val="005B5764"/>
    <w:rsid w:val="005B5BF8"/>
    <w:rsid w:val="005B5D9C"/>
    <w:rsid w:val="005B646C"/>
    <w:rsid w:val="005B6932"/>
    <w:rsid w:val="005B6D45"/>
    <w:rsid w:val="005B6E36"/>
    <w:rsid w:val="005B724C"/>
    <w:rsid w:val="005B768E"/>
    <w:rsid w:val="005B76D7"/>
    <w:rsid w:val="005B7708"/>
    <w:rsid w:val="005B7721"/>
    <w:rsid w:val="005B793A"/>
    <w:rsid w:val="005B7A1B"/>
    <w:rsid w:val="005B7B27"/>
    <w:rsid w:val="005C0802"/>
    <w:rsid w:val="005C0E5D"/>
    <w:rsid w:val="005C110A"/>
    <w:rsid w:val="005C2421"/>
    <w:rsid w:val="005C261F"/>
    <w:rsid w:val="005C2CC5"/>
    <w:rsid w:val="005C2EC1"/>
    <w:rsid w:val="005C3476"/>
    <w:rsid w:val="005C36D2"/>
    <w:rsid w:val="005C3B46"/>
    <w:rsid w:val="005C4994"/>
    <w:rsid w:val="005C4A9D"/>
    <w:rsid w:val="005C4E72"/>
    <w:rsid w:val="005C5223"/>
    <w:rsid w:val="005C545E"/>
    <w:rsid w:val="005C553B"/>
    <w:rsid w:val="005C58A9"/>
    <w:rsid w:val="005C59FF"/>
    <w:rsid w:val="005C5D10"/>
    <w:rsid w:val="005C65A4"/>
    <w:rsid w:val="005C6D17"/>
    <w:rsid w:val="005C6DB2"/>
    <w:rsid w:val="005C6E81"/>
    <w:rsid w:val="005C70CA"/>
    <w:rsid w:val="005C72F0"/>
    <w:rsid w:val="005C77B6"/>
    <w:rsid w:val="005C7B97"/>
    <w:rsid w:val="005C7BE9"/>
    <w:rsid w:val="005D0041"/>
    <w:rsid w:val="005D0187"/>
    <w:rsid w:val="005D0668"/>
    <w:rsid w:val="005D099A"/>
    <w:rsid w:val="005D0BBB"/>
    <w:rsid w:val="005D13D1"/>
    <w:rsid w:val="005D16EB"/>
    <w:rsid w:val="005D1AD3"/>
    <w:rsid w:val="005D223A"/>
    <w:rsid w:val="005D23A0"/>
    <w:rsid w:val="005D2DCF"/>
    <w:rsid w:val="005D3585"/>
    <w:rsid w:val="005D3588"/>
    <w:rsid w:val="005D39C6"/>
    <w:rsid w:val="005D3AB3"/>
    <w:rsid w:val="005D3B91"/>
    <w:rsid w:val="005D3C23"/>
    <w:rsid w:val="005D3C2D"/>
    <w:rsid w:val="005D3D26"/>
    <w:rsid w:val="005D4320"/>
    <w:rsid w:val="005D486D"/>
    <w:rsid w:val="005D4B52"/>
    <w:rsid w:val="005D4E25"/>
    <w:rsid w:val="005D504C"/>
    <w:rsid w:val="005D5590"/>
    <w:rsid w:val="005D5857"/>
    <w:rsid w:val="005D59E9"/>
    <w:rsid w:val="005D59F0"/>
    <w:rsid w:val="005D5D97"/>
    <w:rsid w:val="005D5E87"/>
    <w:rsid w:val="005D5FBB"/>
    <w:rsid w:val="005D614D"/>
    <w:rsid w:val="005D636A"/>
    <w:rsid w:val="005D663D"/>
    <w:rsid w:val="005D6749"/>
    <w:rsid w:val="005D69F9"/>
    <w:rsid w:val="005D6BC3"/>
    <w:rsid w:val="005D6C15"/>
    <w:rsid w:val="005D70BC"/>
    <w:rsid w:val="005D7596"/>
    <w:rsid w:val="005E01A3"/>
    <w:rsid w:val="005E04E8"/>
    <w:rsid w:val="005E07D3"/>
    <w:rsid w:val="005E08CF"/>
    <w:rsid w:val="005E09D0"/>
    <w:rsid w:val="005E09F1"/>
    <w:rsid w:val="005E0A8A"/>
    <w:rsid w:val="005E0BBB"/>
    <w:rsid w:val="005E0C87"/>
    <w:rsid w:val="005E0DC7"/>
    <w:rsid w:val="005E0F4D"/>
    <w:rsid w:val="005E10F5"/>
    <w:rsid w:val="005E11EE"/>
    <w:rsid w:val="005E1236"/>
    <w:rsid w:val="005E1C63"/>
    <w:rsid w:val="005E1E4D"/>
    <w:rsid w:val="005E1F87"/>
    <w:rsid w:val="005E2161"/>
    <w:rsid w:val="005E23B7"/>
    <w:rsid w:val="005E2C49"/>
    <w:rsid w:val="005E2CC7"/>
    <w:rsid w:val="005E2D69"/>
    <w:rsid w:val="005E390E"/>
    <w:rsid w:val="005E3C4E"/>
    <w:rsid w:val="005E3D80"/>
    <w:rsid w:val="005E42FD"/>
    <w:rsid w:val="005E475C"/>
    <w:rsid w:val="005E4C2D"/>
    <w:rsid w:val="005E5B70"/>
    <w:rsid w:val="005E5C17"/>
    <w:rsid w:val="005E5CDF"/>
    <w:rsid w:val="005E6C27"/>
    <w:rsid w:val="005E6F00"/>
    <w:rsid w:val="005E76C7"/>
    <w:rsid w:val="005E78E4"/>
    <w:rsid w:val="005E79EC"/>
    <w:rsid w:val="005E7A9F"/>
    <w:rsid w:val="005F000C"/>
    <w:rsid w:val="005F0039"/>
    <w:rsid w:val="005F0067"/>
    <w:rsid w:val="005F0275"/>
    <w:rsid w:val="005F02AE"/>
    <w:rsid w:val="005F0339"/>
    <w:rsid w:val="005F0595"/>
    <w:rsid w:val="005F0627"/>
    <w:rsid w:val="005F090B"/>
    <w:rsid w:val="005F0E16"/>
    <w:rsid w:val="005F0E3B"/>
    <w:rsid w:val="005F0EF1"/>
    <w:rsid w:val="005F0FFA"/>
    <w:rsid w:val="005F1202"/>
    <w:rsid w:val="005F1663"/>
    <w:rsid w:val="005F16D7"/>
    <w:rsid w:val="005F1747"/>
    <w:rsid w:val="005F1D64"/>
    <w:rsid w:val="005F1EA4"/>
    <w:rsid w:val="005F1F51"/>
    <w:rsid w:val="005F2289"/>
    <w:rsid w:val="005F2339"/>
    <w:rsid w:val="005F2681"/>
    <w:rsid w:val="005F274C"/>
    <w:rsid w:val="005F2954"/>
    <w:rsid w:val="005F2E1B"/>
    <w:rsid w:val="005F347B"/>
    <w:rsid w:val="005F379C"/>
    <w:rsid w:val="005F3AA1"/>
    <w:rsid w:val="005F3B0E"/>
    <w:rsid w:val="005F3D19"/>
    <w:rsid w:val="005F3FA9"/>
    <w:rsid w:val="005F47BE"/>
    <w:rsid w:val="005F4816"/>
    <w:rsid w:val="005F4844"/>
    <w:rsid w:val="005F4854"/>
    <w:rsid w:val="005F4882"/>
    <w:rsid w:val="005F4ECC"/>
    <w:rsid w:val="005F4F26"/>
    <w:rsid w:val="005F55AA"/>
    <w:rsid w:val="005F589A"/>
    <w:rsid w:val="005F58BB"/>
    <w:rsid w:val="005F5A8D"/>
    <w:rsid w:val="005F613B"/>
    <w:rsid w:val="005F6444"/>
    <w:rsid w:val="005F660B"/>
    <w:rsid w:val="005F6BAF"/>
    <w:rsid w:val="005F6E27"/>
    <w:rsid w:val="005F7442"/>
    <w:rsid w:val="005F77B1"/>
    <w:rsid w:val="005F7814"/>
    <w:rsid w:val="005F7B7F"/>
    <w:rsid w:val="005F7BC5"/>
    <w:rsid w:val="005F7DB2"/>
    <w:rsid w:val="005F7E96"/>
    <w:rsid w:val="005F7FF5"/>
    <w:rsid w:val="006001CE"/>
    <w:rsid w:val="00600578"/>
    <w:rsid w:val="00600706"/>
    <w:rsid w:val="00600777"/>
    <w:rsid w:val="00600889"/>
    <w:rsid w:val="00600B68"/>
    <w:rsid w:val="00600EB4"/>
    <w:rsid w:val="00600F5F"/>
    <w:rsid w:val="00600FDC"/>
    <w:rsid w:val="00601195"/>
    <w:rsid w:val="00601796"/>
    <w:rsid w:val="006019D4"/>
    <w:rsid w:val="00602470"/>
    <w:rsid w:val="006026A8"/>
    <w:rsid w:val="00602997"/>
    <w:rsid w:val="00602CF8"/>
    <w:rsid w:val="00602D8C"/>
    <w:rsid w:val="00602F5B"/>
    <w:rsid w:val="006039AF"/>
    <w:rsid w:val="006039B7"/>
    <w:rsid w:val="0060430F"/>
    <w:rsid w:val="0060485A"/>
    <w:rsid w:val="00604D5C"/>
    <w:rsid w:val="00604E7C"/>
    <w:rsid w:val="00605A4C"/>
    <w:rsid w:val="00605C1C"/>
    <w:rsid w:val="00605F1D"/>
    <w:rsid w:val="00606E84"/>
    <w:rsid w:val="00607026"/>
    <w:rsid w:val="0060702E"/>
    <w:rsid w:val="00607159"/>
    <w:rsid w:val="00607522"/>
    <w:rsid w:val="00607A09"/>
    <w:rsid w:val="00607BD4"/>
    <w:rsid w:val="006100FE"/>
    <w:rsid w:val="0061102A"/>
    <w:rsid w:val="0061108C"/>
    <w:rsid w:val="006113E0"/>
    <w:rsid w:val="00611557"/>
    <w:rsid w:val="00611781"/>
    <w:rsid w:val="00611861"/>
    <w:rsid w:val="00611AD0"/>
    <w:rsid w:val="00611E87"/>
    <w:rsid w:val="0061273B"/>
    <w:rsid w:val="006128DC"/>
    <w:rsid w:val="00612A33"/>
    <w:rsid w:val="00612CA3"/>
    <w:rsid w:val="006131B3"/>
    <w:rsid w:val="0061382C"/>
    <w:rsid w:val="00614632"/>
    <w:rsid w:val="00614CE0"/>
    <w:rsid w:val="00615702"/>
    <w:rsid w:val="006159C5"/>
    <w:rsid w:val="00615BED"/>
    <w:rsid w:val="00615E11"/>
    <w:rsid w:val="00616085"/>
    <w:rsid w:val="00616399"/>
    <w:rsid w:val="006166D4"/>
    <w:rsid w:val="006172EB"/>
    <w:rsid w:val="006175FD"/>
    <w:rsid w:val="00617783"/>
    <w:rsid w:val="006179AD"/>
    <w:rsid w:val="006179D2"/>
    <w:rsid w:val="00617A2C"/>
    <w:rsid w:val="00617C54"/>
    <w:rsid w:val="00617E78"/>
    <w:rsid w:val="00617F2A"/>
    <w:rsid w:val="00617F79"/>
    <w:rsid w:val="006203BC"/>
    <w:rsid w:val="00620873"/>
    <w:rsid w:val="00620D86"/>
    <w:rsid w:val="00620DA4"/>
    <w:rsid w:val="00620E36"/>
    <w:rsid w:val="0062113A"/>
    <w:rsid w:val="006215D9"/>
    <w:rsid w:val="0062166D"/>
    <w:rsid w:val="00621D5F"/>
    <w:rsid w:val="006227A0"/>
    <w:rsid w:val="006227A6"/>
    <w:rsid w:val="00622BAB"/>
    <w:rsid w:val="00622D61"/>
    <w:rsid w:val="00622F1B"/>
    <w:rsid w:val="00623019"/>
    <w:rsid w:val="00623480"/>
    <w:rsid w:val="006234F7"/>
    <w:rsid w:val="0062354F"/>
    <w:rsid w:val="00623698"/>
    <w:rsid w:val="00623753"/>
    <w:rsid w:val="006238E9"/>
    <w:rsid w:val="00623CDF"/>
    <w:rsid w:val="00624259"/>
    <w:rsid w:val="00624C74"/>
    <w:rsid w:val="00624F48"/>
    <w:rsid w:val="0062500E"/>
    <w:rsid w:val="006252F7"/>
    <w:rsid w:val="00625407"/>
    <w:rsid w:val="00625759"/>
    <w:rsid w:val="00625DAB"/>
    <w:rsid w:val="006268F8"/>
    <w:rsid w:val="00626AA2"/>
    <w:rsid w:val="00626C29"/>
    <w:rsid w:val="006277AB"/>
    <w:rsid w:val="00627B36"/>
    <w:rsid w:val="00627BF4"/>
    <w:rsid w:val="00627DDD"/>
    <w:rsid w:val="00627FC3"/>
    <w:rsid w:val="006300BA"/>
    <w:rsid w:val="006303B5"/>
    <w:rsid w:val="006307BD"/>
    <w:rsid w:val="00631006"/>
    <w:rsid w:val="006310BF"/>
    <w:rsid w:val="00631B01"/>
    <w:rsid w:val="00631CB7"/>
    <w:rsid w:val="00632568"/>
    <w:rsid w:val="00632643"/>
    <w:rsid w:val="006333FB"/>
    <w:rsid w:val="00633625"/>
    <w:rsid w:val="00633777"/>
    <w:rsid w:val="0063398F"/>
    <w:rsid w:val="00633A85"/>
    <w:rsid w:val="00633E0B"/>
    <w:rsid w:val="00633FBA"/>
    <w:rsid w:val="0063403C"/>
    <w:rsid w:val="00634049"/>
    <w:rsid w:val="00634371"/>
    <w:rsid w:val="00634413"/>
    <w:rsid w:val="0063441B"/>
    <w:rsid w:val="006345E9"/>
    <w:rsid w:val="0063467E"/>
    <w:rsid w:val="00634802"/>
    <w:rsid w:val="00634974"/>
    <w:rsid w:val="00634D93"/>
    <w:rsid w:val="00635771"/>
    <w:rsid w:val="006357D2"/>
    <w:rsid w:val="00635D7C"/>
    <w:rsid w:val="00635E42"/>
    <w:rsid w:val="00635F6C"/>
    <w:rsid w:val="0063617F"/>
    <w:rsid w:val="0063633B"/>
    <w:rsid w:val="00636925"/>
    <w:rsid w:val="006369E0"/>
    <w:rsid w:val="00636C7D"/>
    <w:rsid w:val="00636EE9"/>
    <w:rsid w:val="00637756"/>
    <w:rsid w:val="00637AA3"/>
    <w:rsid w:val="00637CE7"/>
    <w:rsid w:val="00640024"/>
    <w:rsid w:val="00640025"/>
    <w:rsid w:val="00640343"/>
    <w:rsid w:val="0064051A"/>
    <w:rsid w:val="006407AD"/>
    <w:rsid w:val="0064099B"/>
    <w:rsid w:val="006409C6"/>
    <w:rsid w:val="00640B9E"/>
    <w:rsid w:val="00640BD8"/>
    <w:rsid w:val="00641022"/>
    <w:rsid w:val="0064123F"/>
    <w:rsid w:val="00641493"/>
    <w:rsid w:val="0064166B"/>
    <w:rsid w:val="006416D6"/>
    <w:rsid w:val="0064176F"/>
    <w:rsid w:val="00641E10"/>
    <w:rsid w:val="00642DC9"/>
    <w:rsid w:val="00643058"/>
    <w:rsid w:val="006431E4"/>
    <w:rsid w:val="00643338"/>
    <w:rsid w:val="00643365"/>
    <w:rsid w:val="00643C28"/>
    <w:rsid w:val="00643C9F"/>
    <w:rsid w:val="00644358"/>
    <w:rsid w:val="006446D4"/>
    <w:rsid w:val="00644F2B"/>
    <w:rsid w:val="00645315"/>
    <w:rsid w:val="00645900"/>
    <w:rsid w:val="00645BCF"/>
    <w:rsid w:val="00645EF4"/>
    <w:rsid w:val="006462C5"/>
    <w:rsid w:val="00646987"/>
    <w:rsid w:val="00646A14"/>
    <w:rsid w:val="00646A35"/>
    <w:rsid w:val="00646BA8"/>
    <w:rsid w:val="00646DA4"/>
    <w:rsid w:val="00647246"/>
    <w:rsid w:val="00647C25"/>
    <w:rsid w:val="00647DB1"/>
    <w:rsid w:val="0065033A"/>
    <w:rsid w:val="00650637"/>
    <w:rsid w:val="0065134C"/>
    <w:rsid w:val="00651751"/>
    <w:rsid w:val="006517E5"/>
    <w:rsid w:val="006518D1"/>
    <w:rsid w:val="00651DA4"/>
    <w:rsid w:val="0065259B"/>
    <w:rsid w:val="006527D5"/>
    <w:rsid w:val="00652CC0"/>
    <w:rsid w:val="0065318F"/>
    <w:rsid w:val="00653409"/>
    <w:rsid w:val="0065356E"/>
    <w:rsid w:val="00653603"/>
    <w:rsid w:val="006537AC"/>
    <w:rsid w:val="00653BA9"/>
    <w:rsid w:val="00653BB8"/>
    <w:rsid w:val="00653FAD"/>
    <w:rsid w:val="006540BE"/>
    <w:rsid w:val="0065420C"/>
    <w:rsid w:val="00654529"/>
    <w:rsid w:val="00654892"/>
    <w:rsid w:val="00654898"/>
    <w:rsid w:val="0065492C"/>
    <w:rsid w:val="006549E6"/>
    <w:rsid w:val="00654C6E"/>
    <w:rsid w:val="00654EF4"/>
    <w:rsid w:val="0065503F"/>
    <w:rsid w:val="0065519F"/>
    <w:rsid w:val="00655667"/>
    <w:rsid w:val="0065591A"/>
    <w:rsid w:val="00655F75"/>
    <w:rsid w:val="0065612F"/>
    <w:rsid w:val="006561B6"/>
    <w:rsid w:val="006562E7"/>
    <w:rsid w:val="006564DA"/>
    <w:rsid w:val="006565E7"/>
    <w:rsid w:val="0065670C"/>
    <w:rsid w:val="00656887"/>
    <w:rsid w:val="006569BA"/>
    <w:rsid w:val="00656A1B"/>
    <w:rsid w:val="00656AAE"/>
    <w:rsid w:val="00656BED"/>
    <w:rsid w:val="00657176"/>
    <w:rsid w:val="00657560"/>
    <w:rsid w:val="00660AC4"/>
    <w:rsid w:val="00660B45"/>
    <w:rsid w:val="00660D85"/>
    <w:rsid w:val="00660FC5"/>
    <w:rsid w:val="006615FB"/>
    <w:rsid w:val="00661E1B"/>
    <w:rsid w:val="0066203E"/>
    <w:rsid w:val="00662080"/>
    <w:rsid w:val="00662430"/>
    <w:rsid w:val="006626A5"/>
    <w:rsid w:val="006626D2"/>
    <w:rsid w:val="00662989"/>
    <w:rsid w:val="00662E12"/>
    <w:rsid w:val="00662FB0"/>
    <w:rsid w:val="00663341"/>
    <w:rsid w:val="00663351"/>
    <w:rsid w:val="006634AD"/>
    <w:rsid w:val="0066391A"/>
    <w:rsid w:val="00663C2B"/>
    <w:rsid w:val="00663CFE"/>
    <w:rsid w:val="00663FB3"/>
    <w:rsid w:val="00664063"/>
    <w:rsid w:val="006640A8"/>
    <w:rsid w:val="00664458"/>
    <w:rsid w:val="00664730"/>
    <w:rsid w:val="00664B52"/>
    <w:rsid w:val="00664BFC"/>
    <w:rsid w:val="00664CEF"/>
    <w:rsid w:val="00664E91"/>
    <w:rsid w:val="006656EF"/>
    <w:rsid w:val="00665825"/>
    <w:rsid w:val="00665985"/>
    <w:rsid w:val="00665DB9"/>
    <w:rsid w:val="00665DEA"/>
    <w:rsid w:val="00665E37"/>
    <w:rsid w:val="00665F83"/>
    <w:rsid w:val="00666115"/>
    <w:rsid w:val="0066616D"/>
    <w:rsid w:val="00666764"/>
    <w:rsid w:val="00666B36"/>
    <w:rsid w:val="00666C18"/>
    <w:rsid w:val="00666D44"/>
    <w:rsid w:val="00667156"/>
    <w:rsid w:val="00667420"/>
    <w:rsid w:val="006676CD"/>
    <w:rsid w:val="006679C6"/>
    <w:rsid w:val="00667BA1"/>
    <w:rsid w:val="00667CE7"/>
    <w:rsid w:val="00667FF1"/>
    <w:rsid w:val="00670016"/>
    <w:rsid w:val="006700FE"/>
    <w:rsid w:val="0067033A"/>
    <w:rsid w:val="006709CC"/>
    <w:rsid w:val="00670A8E"/>
    <w:rsid w:val="00670BCF"/>
    <w:rsid w:val="00671150"/>
    <w:rsid w:val="00671532"/>
    <w:rsid w:val="00671B23"/>
    <w:rsid w:val="00671B31"/>
    <w:rsid w:val="00671B3C"/>
    <w:rsid w:val="00672263"/>
    <w:rsid w:val="006723A1"/>
    <w:rsid w:val="00672B04"/>
    <w:rsid w:val="006731BC"/>
    <w:rsid w:val="00673326"/>
    <w:rsid w:val="006734B3"/>
    <w:rsid w:val="00674796"/>
    <w:rsid w:val="00674FA6"/>
    <w:rsid w:val="0067574F"/>
    <w:rsid w:val="00675902"/>
    <w:rsid w:val="00675BB2"/>
    <w:rsid w:val="00675C50"/>
    <w:rsid w:val="006761EC"/>
    <w:rsid w:val="00676339"/>
    <w:rsid w:val="0067652A"/>
    <w:rsid w:val="006767E6"/>
    <w:rsid w:val="00676878"/>
    <w:rsid w:val="00676A44"/>
    <w:rsid w:val="00676CEA"/>
    <w:rsid w:val="00676F4C"/>
    <w:rsid w:val="0067795A"/>
    <w:rsid w:val="00677FC4"/>
    <w:rsid w:val="00680582"/>
    <w:rsid w:val="00680802"/>
    <w:rsid w:val="006808F3"/>
    <w:rsid w:val="006809FC"/>
    <w:rsid w:val="00680FC9"/>
    <w:rsid w:val="00681236"/>
    <w:rsid w:val="006812D3"/>
    <w:rsid w:val="006813EC"/>
    <w:rsid w:val="006816B7"/>
    <w:rsid w:val="00681DA9"/>
    <w:rsid w:val="00681E33"/>
    <w:rsid w:val="00681FD7"/>
    <w:rsid w:val="006820CE"/>
    <w:rsid w:val="00682107"/>
    <w:rsid w:val="00682230"/>
    <w:rsid w:val="006823F6"/>
    <w:rsid w:val="00682825"/>
    <w:rsid w:val="006828F6"/>
    <w:rsid w:val="00682B39"/>
    <w:rsid w:val="00682C9E"/>
    <w:rsid w:val="00682D6D"/>
    <w:rsid w:val="00682E8F"/>
    <w:rsid w:val="006833B5"/>
    <w:rsid w:val="006833BB"/>
    <w:rsid w:val="00684183"/>
    <w:rsid w:val="0068475D"/>
    <w:rsid w:val="00684A38"/>
    <w:rsid w:val="00684CD1"/>
    <w:rsid w:val="00684FCF"/>
    <w:rsid w:val="0068500D"/>
    <w:rsid w:val="00685337"/>
    <w:rsid w:val="00685855"/>
    <w:rsid w:val="00685945"/>
    <w:rsid w:val="00685EA3"/>
    <w:rsid w:val="00685F24"/>
    <w:rsid w:val="00686266"/>
    <w:rsid w:val="006865B0"/>
    <w:rsid w:val="006865B2"/>
    <w:rsid w:val="00686754"/>
    <w:rsid w:val="00686EF1"/>
    <w:rsid w:val="00687149"/>
    <w:rsid w:val="006874B0"/>
    <w:rsid w:val="006877F5"/>
    <w:rsid w:val="00687A08"/>
    <w:rsid w:val="00687AAF"/>
    <w:rsid w:val="006915F4"/>
    <w:rsid w:val="006917AF"/>
    <w:rsid w:val="006920D3"/>
    <w:rsid w:val="0069235E"/>
    <w:rsid w:val="00692A2D"/>
    <w:rsid w:val="00692A93"/>
    <w:rsid w:val="00692CC1"/>
    <w:rsid w:val="00693B2D"/>
    <w:rsid w:val="00693DC5"/>
    <w:rsid w:val="00693FC3"/>
    <w:rsid w:val="0069443E"/>
    <w:rsid w:val="00694682"/>
    <w:rsid w:val="0069499E"/>
    <w:rsid w:val="00694CEE"/>
    <w:rsid w:val="006958CA"/>
    <w:rsid w:val="00695AD4"/>
    <w:rsid w:val="006964D5"/>
    <w:rsid w:val="006964EB"/>
    <w:rsid w:val="00696CAB"/>
    <w:rsid w:val="00696CFA"/>
    <w:rsid w:val="00696E54"/>
    <w:rsid w:val="00696EB0"/>
    <w:rsid w:val="006972B2"/>
    <w:rsid w:val="0069742C"/>
    <w:rsid w:val="006974B4"/>
    <w:rsid w:val="0069759D"/>
    <w:rsid w:val="006975A9"/>
    <w:rsid w:val="006975C8"/>
    <w:rsid w:val="006A0258"/>
    <w:rsid w:val="006A0353"/>
    <w:rsid w:val="006A0573"/>
    <w:rsid w:val="006A0B34"/>
    <w:rsid w:val="006A0F94"/>
    <w:rsid w:val="006A11DB"/>
    <w:rsid w:val="006A1240"/>
    <w:rsid w:val="006A13F3"/>
    <w:rsid w:val="006A14F4"/>
    <w:rsid w:val="006A1B7E"/>
    <w:rsid w:val="006A20A5"/>
    <w:rsid w:val="006A251D"/>
    <w:rsid w:val="006A2598"/>
    <w:rsid w:val="006A2D4F"/>
    <w:rsid w:val="006A3018"/>
    <w:rsid w:val="006A3633"/>
    <w:rsid w:val="006A3A24"/>
    <w:rsid w:val="006A3C2D"/>
    <w:rsid w:val="006A3EDB"/>
    <w:rsid w:val="006A40D5"/>
    <w:rsid w:val="006A4205"/>
    <w:rsid w:val="006A44CF"/>
    <w:rsid w:val="006A476E"/>
    <w:rsid w:val="006A4BC0"/>
    <w:rsid w:val="006A4E4B"/>
    <w:rsid w:val="006A5638"/>
    <w:rsid w:val="006A5F12"/>
    <w:rsid w:val="006A5FA2"/>
    <w:rsid w:val="006A6142"/>
    <w:rsid w:val="006A61B7"/>
    <w:rsid w:val="006A643C"/>
    <w:rsid w:val="006A65A7"/>
    <w:rsid w:val="006A727B"/>
    <w:rsid w:val="006A79E5"/>
    <w:rsid w:val="006A7F2A"/>
    <w:rsid w:val="006A7F81"/>
    <w:rsid w:val="006B00DC"/>
    <w:rsid w:val="006B04EA"/>
    <w:rsid w:val="006B09B7"/>
    <w:rsid w:val="006B0BD7"/>
    <w:rsid w:val="006B0CC3"/>
    <w:rsid w:val="006B0D5E"/>
    <w:rsid w:val="006B1101"/>
    <w:rsid w:val="006B11D8"/>
    <w:rsid w:val="006B2165"/>
    <w:rsid w:val="006B21C2"/>
    <w:rsid w:val="006B2228"/>
    <w:rsid w:val="006B23A7"/>
    <w:rsid w:val="006B2FCB"/>
    <w:rsid w:val="006B3658"/>
    <w:rsid w:val="006B3782"/>
    <w:rsid w:val="006B39A9"/>
    <w:rsid w:val="006B4882"/>
    <w:rsid w:val="006B49C1"/>
    <w:rsid w:val="006B4CAA"/>
    <w:rsid w:val="006B4D05"/>
    <w:rsid w:val="006B4EB3"/>
    <w:rsid w:val="006B5304"/>
    <w:rsid w:val="006B5505"/>
    <w:rsid w:val="006B5558"/>
    <w:rsid w:val="006B5FE5"/>
    <w:rsid w:val="006B60AA"/>
    <w:rsid w:val="006B6174"/>
    <w:rsid w:val="006B646F"/>
    <w:rsid w:val="006B6A1F"/>
    <w:rsid w:val="006B73FE"/>
    <w:rsid w:val="006B78C6"/>
    <w:rsid w:val="006B7943"/>
    <w:rsid w:val="006B7A24"/>
    <w:rsid w:val="006B7AE1"/>
    <w:rsid w:val="006B7B4E"/>
    <w:rsid w:val="006B7BBC"/>
    <w:rsid w:val="006B7D20"/>
    <w:rsid w:val="006C0136"/>
    <w:rsid w:val="006C02F0"/>
    <w:rsid w:val="006C0504"/>
    <w:rsid w:val="006C0647"/>
    <w:rsid w:val="006C076C"/>
    <w:rsid w:val="006C0975"/>
    <w:rsid w:val="006C0B35"/>
    <w:rsid w:val="006C0C4F"/>
    <w:rsid w:val="006C0C68"/>
    <w:rsid w:val="006C0D0F"/>
    <w:rsid w:val="006C0DF4"/>
    <w:rsid w:val="006C1B59"/>
    <w:rsid w:val="006C1C3A"/>
    <w:rsid w:val="006C1E14"/>
    <w:rsid w:val="006C1F8B"/>
    <w:rsid w:val="006C213D"/>
    <w:rsid w:val="006C2385"/>
    <w:rsid w:val="006C26E4"/>
    <w:rsid w:val="006C2965"/>
    <w:rsid w:val="006C2DDC"/>
    <w:rsid w:val="006C31A8"/>
    <w:rsid w:val="006C33A3"/>
    <w:rsid w:val="006C3408"/>
    <w:rsid w:val="006C3900"/>
    <w:rsid w:val="006C3998"/>
    <w:rsid w:val="006C3D6B"/>
    <w:rsid w:val="006C3E40"/>
    <w:rsid w:val="006C3F55"/>
    <w:rsid w:val="006C4383"/>
    <w:rsid w:val="006C4515"/>
    <w:rsid w:val="006C4759"/>
    <w:rsid w:val="006C4E60"/>
    <w:rsid w:val="006C53C7"/>
    <w:rsid w:val="006C547C"/>
    <w:rsid w:val="006C5777"/>
    <w:rsid w:val="006C5780"/>
    <w:rsid w:val="006C6018"/>
    <w:rsid w:val="006C6322"/>
    <w:rsid w:val="006C63E0"/>
    <w:rsid w:val="006C67CA"/>
    <w:rsid w:val="006C680F"/>
    <w:rsid w:val="006C7099"/>
    <w:rsid w:val="006C7415"/>
    <w:rsid w:val="006C7C62"/>
    <w:rsid w:val="006C7FBE"/>
    <w:rsid w:val="006D00DE"/>
    <w:rsid w:val="006D0834"/>
    <w:rsid w:val="006D0BEE"/>
    <w:rsid w:val="006D0E14"/>
    <w:rsid w:val="006D1319"/>
    <w:rsid w:val="006D15AC"/>
    <w:rsid w:val="006D209C"/>
    <w:rsid w:val="006D217E"/>
    <w:rsid w:val="006D2529"/>
    <w:rsid w:val="006D2A86"/>
    <w:rsid w:val="006D2A9B"/>
    <w:rsid w:val="006D2BD0"/>
    <w:rsid w:val="006D2CAC"/>
    <w:rsid w:val="006D2CD1"/>
    <w:rsid w:val="006D2F6C"/>
    <w:rsid w:val="006D2FCF"/>
    <w:rsid w:val="006D33A5"/>
    <w:rsid w:val="006D3E35"/>
    <w:rsid w:val="006D422D"/>
    <w:rsid w:val="006D49CC"/>
    <w:rsid w:val="006D4A73"/>
    <w:rsid w:val="006D4A9F"/>
    <w:rsid w:val="006D4BF4"/>
    <w:rsid w:val="006D4FA7"/>
    <w:rsid w:val="006D4FE0"/>
    <w:rsid w:val="006D5E7A"/>
    <w:rsid w:val="006D632A"/>
    <w:rsid w:val="006D6460"/>
    <w:rsid w:val="006D6766"/>
    <w:rsid w:val="006D69A0"/>
    <w:rsid w:val="006D6CDB"/>
    <w:rsid w:val="006D6D22"/>
    <w:rsid w:val="006D7210"/>
    <w:rsid w:val="006D789D"/>
    <w:rsid w:val="006D7E59"/>
    <w:rsid w:val="006E0830"/>
    <w:rsid w:val="006E0D83"/>
    <w:rsid w:val="006E0D95"/>
    <w:rsid w:val="006E1045"/>
    <w:rsid w:val="006E1239"/>
    <w:rsid w:val="006E13B0"/>
    <w:rsid w:val="006E1694"/>
    <w:rsid w:val="006E1808"/>
    <w:rsid w:val="006E1A15"/>
    <w:rsid w:val="006E21EF"/>
    <w:rsid w:val="006E2378"/>
    <w:rsid w:val="006E262A"/>
    <w:rsid w:val="006E2817"/>
    <w:rsid w:val="006E2B54"/>
    <w:rsid w:val="006E2E7D"/>
    <w:rsid w:val="006E320E"/>
    <w:rsid w:val="006E3338"/>
    <w:rsid w:val="006E3523"/>
    <w:rsid w:val="006E3AFA"/>
    <w:rsid w:val="006E3BC9"/>
    <w:rsid w:val="006E3E35"/>
    <w:rsid w:val="006E4189"/>
    <w:rsid w:val="006E4AEE"/>
    <w:rsid w:val="006E4D89"/>
    <w:rsid w:val="006E5A02"/>
    <w:rsid w:val="006E5A26"/>
    <w:rsid w:val="006E5C20"/>
    <w:rsid w:val="006E5CB8"/>
    <w:rsid w:val="006E5D1B"/>
    <w:rsid w:val="006E6179"/>
    <w:rsid w:val="006E661C"/>
    <w:rsid w:val="006E6BD7"/>
    <w:rsid w:val="006E6D5D"/>
    <w:rsid w:val="006E6D6B"/>
    <w:rsid w:val="006E6E12"/>
    <w:rsid w:val="006E7375"/>
    <w:rsid w:val="006E73FA"/>
    <w:rsid w:val="006E7623"/>
    <w:rsid w:val="006E77F1"/>
    <w:rsid w:val="006E79C7"/>
    <w:rsid w:val="006E7B2D"/>
    <w:rsid w:val="006E7C85"/>
    <w:rsid w:val="006E7EA5"/>
    <w:rsid w:val="006F05CB"/>
    <w:rsid w:val="006F0763"/>
    <w:rsid w:val="006F10E3"/>
    <w:rsid w:val="006F1561"/>
    <w:rsid w:val="006F1A71"/>
    <w:rsid w:val="006F1A81"/>
    <w:rsid w:val="006F1B9A"/>
    <w:rsid w:val="006F1DF6"/>
    <w:rsid w:val="006F283B"/>
    <w:rsid w:val="006F2AB6"/>
    <w:rsid w:val="006F2F12"/>
    <w:rsid w:val="006F3200"/>
    <w:rsid w:val="006F37AD"/>
    <w:rsid w:val="006F39AD"/>
    <w:rsid w:val="006F4224"/>
    <w:rsid w:val="006F425A"/>
    <w:rsid w:val="006F4441"/>
    <w:rsid w:val="006F44B5"/>
    <w:rsid w:val="006F4535"/>
    <w:rsid w:val="006F45CD"/>
    <w:rsid w:val="006F4866"/>
    <w:rsid w:val="006F48C2"/>
    <w:rsid w:val="006F4A61"/>
    <w:rsid w:val="006F537C"/>
    <w:rsid w:val="006F542D"/>
    <w:rsid w:val="006F5516"/>
    <w:rsid w:val="006F5856"/>
    <w:rsid w:val="006F6454"/>
    <w:rsid w:val="006F6656"/>
    <w:rsid w:val="006F69B0"/>
    <w:rsid w:val="006F6DAD"/>
    <w:rsid w:val="006F74BD"/>
    <w:rsid w:val="006F762D"/>
    <w:rsid w:val="006F76E6"/>
    <w:rsid w:val="006F77B0"/>
    <w:rsid w:val="006F792B"/>
    <w:rsid w:val="006F7A38"/>
    <w:rsid w:val="007005A9"/>
    <w:rsid w:val="007005BB"/>
    <w:rsid w:val="007008A0"/>
    <w:rsid w:val="00700A28"/>
    <w:rsid w:val="00700A7A"/>
    <w:rsid w:val="00700AAA"/>
    <w:rsid w:val="00700BD5"/>
    <w:rsid w:val="00700E23"/>
    <w:rsid w:val="00701121"/>
    <w:rsid w:val="00701225"/>
    <w:rsid w:val="0070227A"/>
    <w:rsid w:val="0070276F"/>
    <w:rsid w:val="0070281C"/>
    <w:rsid w:val="00702ABA"/>
    <w:rsid w:val="00702ADC"/>
    <w:rsid w:val="00702D72"/>
    <w:rsid w:val="00703136"/>
    <w:rsid w:val="0070321F"/>
    <w:rsid w:val="007032AB"/>
    <w:rsid w:val="00703357"/>
    <w:rsid w:val="00703E09"/>
    <w:rsid w:val="0070424E"/>
    <w:rsid w:val="00704296"/>
    <w:rsid w:val="00704752"/>
    <w:rsid w:val="007047C1"/>
    <w:rsid w:val="00704DF4"/>
    <w:rsid w:val="00704F96"/>
    <w:rsid w:val="00705587"/>
    <w:rsid w:val="00705969"/>
    <w:rsid w:val="00706006"/>
    <w:rsid w:val="00706054"/>
    <w:rsid w:val="007061C8"/>
    <w:rsid w:val="007064A5"/>
    <w:rsid w:val="007065EF"/>
    <w:rsid w:val="0070664C"/>
    <w:rsid w:val="00706ABC"/>
    <w:rsid w:val="00707207"/>
    <w:rsid w:val="0070736F"/>
    <w:rsid w:val="00707CD5"/>
    <w:rsid w:val="00707DEF"/>
    <w:rsid w:val="00707F21"/>
    <w:rsid w:val="00707F60"/>
    <w:rsid w:val="007100DF"/>
    <w:rsid w:val="007101CD"/>
    <w:rsid w:val="007102F1"/>
    <w:rsid w:val="0071067C"/>
    <w:rsid w:val="00710B73"/>
    <w:rsid w:val="00710D29"/>
    <w:rsid w:val="00711435"/>
    <w:rsid w:val="00711642"/>
    <w:rsid w:val="0071184E"/>
    <w:rsid w:val="00711F5F"/>
    <w:rsid w:val="00712308"/>
    <w:rsid w:val="00713061"/>
    <w:rsid w:val="00713152"/>
    <w:rsid w:val="00713609"/>
    <w:rsid w:val="00713B86"/>
    <w:rsid w:val="00713C95"/>
    <w:rsid w:val="00713DAC"/>
    <w:rsid w:val="00714388"/>
    <w:rsid w:val="00714659"/>
    <w:rsid w:val="00714BCC"/>
    <w:rsid w:val="00715417"/>
    <w:rsid w:val="00715454"/>
    <w:rsid w:val="00715A8F"/>
    <w:rsid w:val="00715BB7"/>
    <w:rsid w:val="00716017"/>
    <w:rsid w:val="0071643E"/>
    <w:rsid w:val="00716476"/>
    <w:rsid w:val="00717618"/>
    <w:rsid w:val="00717C44"/>
    <w:rsid w:val="00717F4B"/>
    <w:rsid w:val="0072025B"/>
    <w:rsid w:val="00720D63"/>
    <w:rsid w:val="00720FBE"/>
    <w:rsid w:val="0072103D"/>
    <w:rsid w:val="00721841"/>
    <w:rsid w:val="00721AA1"/>
    <w:rsid w:val="00721FE1"/>
    <w:rsid w:val="007226D9"/>
    <w:rsid w:val="00722857"/>
    <w:rsid w:val="007229F5"/>
    <w:rsid w:val="00722CCA"/>
    <w:rsid w:val="00722FE0"/>
    <w:rsid w:val="007234F7"/>
    <w:rsid w:val="0072382C"/>
    <w:rsid w:val="00723C9D"/>
    <w:rsid w:val="00723D8C"/>
    <w:rsid w:val="00723F17"/>
    <w:rsid w:val="007243DA"/>
    <w:rsid w:val="00724702"/>
    <w:rsid w:val="00724828"/>
    <w:rsid w:val="007249F2"/>
    <w:rsid w:val="00724A7C"/>
    <w:rsid w:val="00724DAA"/>
    <w:rsid w:val="00724DD5"/>
    <w:rsid w:val="00724E40"/>
    <w:rsid w:val="00724F48"/>
    <w:rsid w:val="00724F58"/>
    <w:rsid w:val="007252A5"/>
    <w:rsid w:val="00725437"/>
    <w:rsid w:val="00725A3F"/>
    <w:rsid w:val="00725B11"/>
    <w:rsid w:val="00726013"/>
    <w:rsid w:val="00726501"/>
    <w:rsid w:val="00726637"/>
    <w:rsid w:val="00727289"/>
    <w:rsid w:val="007272F1"/>
    <w:rsid w:val="0072754E"/>
    <w:rsid w:val="00727799"/>
    <w:rsid w:val="00727DC8"/>
    <w:rsid w:val="00730270"/>
    <w:rsid w:val="0073036A"/>
    <w:rsid w:val="00730651"/>
    <w:rsid w:val="00731413"/>
    <w:rsid w:val="00731505"/>
    <w:rsid w:val="00731564"/>
    <w:rsid w:val="007317D4"/>
    <w:rsid w:val="00731C53"/>
    <w:rsid w:val="00731D87"/>
    <w:rsid w:val="00731FC7"/>
    <w:rsid w:val="00732207"/>
    <w:rsid w:val="0073293F"/>
    <w:rsid w:val="00732E32"/>
    <w:rsid w:val="0073317A"/>
    <w:rsid w:val="0073319A"/>
    <w:rsid w:val="007332A9"/>
    <w:rsid w:val="0073338B"/>
    <w:rsid w:val="0073342C"/>
    <w:rsid w:val="007335A6"/>
    <w:rsid w:val="00733747"/>
    <w:rsid w:val="0073377E"/>
    <w:rsid w:val="007340E9"/>
    <w:rsid w:val="00734320"/>
    <w:rsid w:val="00734562"/>
    <w:rsid w:val="00734CA2"/>
    <w:rsid w:val="00734E1B"/>
    <w:rsid w:val="00735821"/>
    <w:rsid w:val="00735AC2"/>
    <w:rsid w:val="00735CA6"/>
    <w:rsid w:val="007362E5"/>
    <w:rsid w:val="007363B7"/>
    <w:rsid w:val="00736400"/>
    <w:rsid w:val="00736D94"/>
    <w:rsid w:val="007371AE"/>
    <w:rsid w:val="007371F0"/>
    <w:rsid w:val="007372F1"/>
    <w:rsid w:val="00737456"/>
    <w:rsid w:val="00737609"/>
    <w:rsid w:val="0073781C"/>
    <w:rsid w:val="00737AC6"/>
    <w:rsid w:val="00737EF7"/>
    <w:rsid w:val="0074017D"/>
    <w:rsid w:val="00740282"/>
    <w:rsid w:val="00740766"/>
    <w:rsid w:val="00740CFA"/>
    <w:rsid w:val="00740F00"/>
    <w:rsid w:val="007418F8"/>
    <w:rsid w:val="00741A8F"/>
    <w:rsid w:val="00741E2B"/>
    <w:rsid w:val="00741F92"/>
    <w:rsid w:val="00742649"/>
    <w:rsid w:val="00742AD8"/>
    <w:rsid w:val="00742C5B"/>
    <w:rsid w:val="007430D5"/>
    <w:rsid w:val="00743AC5"/>
    <w:rsid w:val="007443C7"/>
    <w:rsid w:val="007444EC"/>
    <w:rsid w:val="00744713"/>
    <w:rsid w:val="00744DF0"/>
    <w:rsid w:val="007450A1"/>
    <w:rsid w:val="007455C3"/>
    <w:rsid w:val="007457C4"/>
    <w:rsid w:val="007459A0"/>
    <w:rsid w:val="00745A31"/>
    <w:rsid w:val="00745A33"/>
    <w:rsid w:val="00745C96"/>
    <w:rsid w:val="00745D82"/>
    <w:rsid w:val="00745EB7"/>
    <w:rsid w:val="00746663"/>
    <w:rsid w:val="007466CE"/>
    <w:rsid w:val="007466E2"/>
    <w:rsid w:val="0074670E"/>
    <w:rsid w:val="007467D7"/>
    <w:rsid w:val="00746936"/>
    <w:rsid w:val="00747098"/>
    <w:rsid w:val="0074723E"/>
    <w:rsid w:val="0074740E"/>
    <w:rsid w:val="00747B27"/>
    <w:rsid w:val="00747C40"/>
    <w:rsid w:val="0075053F"/>
    <w:rsid w:val="007505DE"/>
    <w:rsid w:val="0075069F"/>
    <w:rsid w:val="00750CA9"/>
    <w:rsid w:val="00750F37"/>
    <w:rsid w:val="00751068"/>
    <w:rsid w:val="00751364"/>
    <w:rsid w:val="00752048"/>
    <w:rsid w:val="00752AB6"/>
    <w:rsid w:val="00752CE8"/>
    <w:rsid w:val="00753308"/>
    <w:rsid w:val="007535DA"/>
    <w:rsid w:val="00753613"/>
    <w:rsid w:val="00753656"/>
    <w:rsid w:val="00753718"/>
    <w:rsid w:val="007539C1"/>
    <w:rsid w:val="007544DF"/>
    <w:rsid w:val="00754AAC"/>
    <w:rsid w:val="00754F8F"/>
    <w:rsid w:val="0075539E"/>
    <w:rsid w:val="00755BA8"/>
    <w:rsid w:val="00756117"/>
    <w:rsid w:val="00756810"/>
    <w:rsid w:val="007574FD"/>
    <w:rsid w:val="0075754F"/>
    <w:rsid w:val="007579E5"/>
    <w:rsid w:val="00757E71"/>
    <w:rsid w:val="007602A3"/>
    <w:rsid w:val="0076039B"/>
    <w:rsid w:val="00761006"/>
    <w:rsid w:val="0076145D"/>
    <w:rsid w:val="00761460"/>
    <w:rsid w:val="0076154B"/>
    <w:rsid w:val="00761819"/>
    <w:rsid w:val="00761855"/>
    <w:rsid w:val="00761B1E"/>
    <w:rsid w:val="00761E13"/>
    <w:rsid w:val="007626E1"/>
    <w:rsid w:val="0076289C"/>
    <w:rsid w:val="0076376C"/>
    <w:rsid w:val="007637F0"/>
    <w:rsid w:val="00763ABA"/>
    <w:rsid w:val="00763AD6"/>
    <w:rsid w:val="00764066"/>
    <w:rsid w:val="00764527"/>
    <w:rsid w:val="00764539"/>
    <w:rsid w:val="0076546F"/>
    <w:rsid w:val="007657D3"/>
    <w:rsid w:val="00765FCE"/>
    <w:rsid w:val="00766558"/>
    <w:rsid w:val="00766A3B"/>
    <w:rsid w:val="00766ECD"/>
    <w:rsid w:val="00767175"/>
    <w:rsid w:val="00767496"/>
    <w:rsid w:val="007678DE"/>
    <w:rsid w:val="0077076F"/>
    <w:rsid w:val="00770A28"/>
    <w:rsid w:val="00770D12"/>
    <w:rsid w:val="00771007"/>
    <w:rsid w:val="00771397"/>
    <w:rsid w:val="007714B3"/>
    <w:rsid w:val="0077177A"/>
    <w:rsid w:val="00772171"/>
    <w:rsid w:val="0077249F"/>
    <w:rsid w:val="007725C3"/>
    <w:rsid w:val="00772638"/>
    <w:rsid w:val="00772693"/>
    <w:rsid w:val="00772863"/>
    <w:rsid w:val="00772F97"/>
    <w:rsid w:val="007732BB"/>
    <w:rsid w:val="0077361D"/>
    <w:rsid w:val="00773B2B"/>
    <w:rsid w:val="007743D8"/>
    <w:rsid w:val="00774700"/>
    <w:rsid w:val="00774B94"/>
    <w:rsid w:val="00774CA5"/>
    <w:rsid w:val="00774DA3"/>
    <w:rsid w:val="00774DFB"/>
    <w:rsid w:val="00774E78"/>
    <w:rsid w:val="007754CE"/>
    <w:rsid w:val="00775889"/>
    <w:rsid w:val="00775BDA"/>
    <w:rsid w:val="007762FE"/>
    <w:rsid w:val="00776E2D"/>
    <w:rsid w:val="0077763F"/>
    <w:rsid w:val="00777670"/>
    <w:rsid w:val="007777D7"/>
    <w:rsid w:val="00777BAB"/>
    <w:rsid w:val="007800AB"/>
    <w:rsid w:val="0078017C"/>
    <w:rsid w:val="007802B6"/>
    <w:rsid w:val="007803BD"/>
    <w:rsid w:val="00780E62"/>
    <w:rsid w:val="00780EDE"/>
    <w:rsid w:val="007811ED"/>
    <w:rsid w:val="007817EE"/>
    <w:rsid w:val="00781917"/>
    <w:rsid w:val="00781C95"/>
    <w:rsid w:val="0078289D"/>
    <w:rsid w:val="00782A43"/>
    <w:rsid w:val="00782A7C"/>
    <w:rsid w:val="00782BC8"/>
    <w:rsid w:val="0078339D"/>
    <w:rsid w:val="00783557"/>
    <w:rsid w:val="00783629"/>
    <w:rsid w:val="007839A6"/>
    <w:rsid w:val="00783A0E"/>
    <w:rsid w:val="007842D5"/>
    <w:rsid w:val="007845F8"/>
    <w:rsid w:val="0078487C"/>
    <w:rsid w:val="007849E7"/>
    <w:rsid w:val="007853A1"/>
    <w:rsid w:val="007857B1"/>
    <w:rsid w:val="007859A2"/>
    <w:rsid w:val="00785AC6"/>
    <w:rsid w:val="00785BB6"/>
    <w:rsid w:val="00785D4A"/>
    <w:rsid w:val="007861B5"/>
    <w:rsid w:val="00786694"/>
    <w:rsid w:val="00786795"/>
    <w:rsid w:val="0078685D"/>
    <w:rsid w:val="007869E0"/>
    <w:rsid w:val="00786FBF"/>
    <w:rsid w:val="00786FCF"/>
    <w:rsid w:val="0078740A"/>
    <w:rsid w:val="00787486"/>
    <w:rsid w:val="00790249"/>
    <w:rsid w:val="0079029C"/>
    <w:rsid w:val="0079033F"/>
    <w:rsid w:val="0079038E"/>
    <w:rsid w:val="00790ABA"/>
    <w:rsid w:val="00791072"/>
    <w:rsid w:val="007911F8"/>
    <w:rsid w:val="00791247"/>
    <w:rsid w:val="00791858"/>
    <w:rsid w:val="00791B7E"/>
    <w:rsid w:val="00791CC7"/>
    <w:rsid w:val="00791DA9"/>
    <w:rsid w:val="007922C9"/>
    <w:rsid w:val="00792615"/>
    <w:rsid w:val="0079274B"/>
    <w:rsid w:val="007928F7"/>
    <w:rsid w:val="00792B40"/>
    <w:rsid w:val="007930A0"/>
    <w:rsid w:val="007930D9"/>
    <w:rsid w:val="00793153"/>
    <w:rsid w:val="007933CF"/>
    <w:rsid w:val="0079355D"/>
    <w:rsid w:val="0079375D"/>
    <w:rsid w:val="00793AB9"/>
    <w:rsid w:val="00793ABC"/>
    <w:rsid w:val="00793C0D"/>
    <w:rsid w:val="00793E3D"/>
    <w:rsid w:val="007941BF"/>
    <w:rsid w:val="007941D4"/>
    <w:rsid w:val="0079420F"/>
    <w:rsid w:val="007947C4"/>
    <w:rsid w:val="00794E33"/>
    <w:rsid w:val="007952A4"/>
    <w:rsid w:val="00795E17"/>
    <w:rsid w:val="00796910"/>
    <w:rsid w:val="00796BAD"/>
    <w:rsid w:val="00797226"/>
    <w:rsid w:val="00797301"/>
    <w:rsid w:val="0079752C"/>
    <w:rsid w:val="007976AA"/>
    <w:rsid w:val="007976DB"/>
    <w:rsid w:val="00797740"/>
    <w:rsid w:val="007977AE"/>
    <w:rsid w:val="00797881"/>
    <w:rsid w:val="007979E1"/>
    <w:rsid w:val="00797BE0"/>
    <w:rsid w:val="00797D80"/>
    <w:rsid w:val="007A0066"/>
    <w:rsid w:val="007A0135"/>
    <w:rsid w:val="007A02D2"/>
    <w:rsid w:val="007A08ED"/>
    <w:rsid w:val="007A10D0"/>
    <w:rsid w:val="007A127D"/>
    <w:rsid w:val="007A129E"/>
    <w:rsid w:val="007A160B"/>
    <w:rsid w:val="007A19A7"/>
    <w:rsid w:val="007A2580"/>
    <w:rsid w:val="007A2618"/>
    <w:rsid w:val="007A3110"/>
    <w:rsid w:val="007A3983"/>
    <w:rsid w:val="007A3B77"/>
    <w:rsid w:val="007A40F2"/>
    <w:rsid w:val="007A411E"/>
    <w:rsid w:val="007A450E"/>
    <w:rsid w:val="007A4996"/>
    <w:rsid w:val="007A4CA4"/>
    <w:rsid w:val="007A4DBA"/>
    <w:rsid w:val="007A4EC9"/>
    <w:rsid w:val="007A5208"/>
    <w:rsid w:val="007A5697"/>
    <w:rsid w:val="007A5946"/>
    <w:rsid w:val="007A599A"/>
    <w:rsid w:val="007A59C0"/>
    <w:rsid w:val="007A5AA9"/>
    <w:rsid w:val="007A5EEB"/>
    <w:rsid w:val="007A65FB"/>
    <w:rsid w:val="007A6907"/>
    <w:rsid w:val="007A6FBD"/>
    <w:rsid w:val="007A7176"/>
    <w:rsid w:val="007A7600"/>
    <w:rsid w:val="007A7A2C"/>
    <w:rsid w:val="007A7AEF"/>
    <w:rsid w:val="007A7C29"/>
    <w:rsid w:val="007A7E18"/>
    <w:rsid w:val="007B0092"/>
    <w:rsid w:val="007B074E"/>
    <w:rsid w:val="007B0786"/>
    <w:rsid w:val="007B0874"/>
    <w:rsid w:val="007B10E7"/>
    <w:rsid w:val="007B11C3"/>
    <w:rsid w:val="007B11C7"/>
    <w:rsid w:val="007B16D0"/>
    <w:rsid w:val="007B177B"/>
    <w:rsid w:val="007B1CCE"/>
    <w:rsid w:val="007B1ECD"/>
    <w:rsid w:val="007B1F91"/>
    <w:rsid w:val="007B2C54"/>
    <w:rsid w:val="007B2CBC"/>
    <w:rsid w:val="007B2CCA"/>
    <w:rsid w:val="007B3000"/>
    <w:rsid w:val="007B305C"/>
    <w:rsid w:val="007B367A"/>
    <w:rsid w:val="007B391F"/>
    <w:rsid w:val="007B39B1"/>
    <w:rsid w:val="007B3B4D"/>
    <w:rsid w:val="007B3CEF"/>
    <w:rsid w:val="007B3E80"/>
    <w:rsid w:val="007B421D"/>
    <w:rsid w:val="007B43BF"/>
    <w:rsid w:val="007B44E3"/>
    <w:rsid w:val="007B4DA3"/>
    <w:rsid w:val="007B564F"/>
    <w:rsid w:val="007B5709"/>
    <w:rsid w:val="007B5C4B"/>
    <w:rsid w:val="007B5DE0"/>
    <w:rsid w:val="007B6172"/>
    <w:rsid w:val="007B6195"/>
    <w:rsid w:val="007B6309"/>
    <w:rsid w:val="007B638D"/>
    <w:rsid w:val="007B65AC"/>
    <w:rsid w:val="007B688F"/>
    <w:rsid w:val="007B6EA2"/>
    <w:rsid w:val="007B72DE"/>
    <w:rsid w:val="007B7535"/>
    <w:rsid w:val="007B792A"/>
    <w:rsid w:val="007B7964"/>
    <w:rsid w:val="007B7C96"/>
    <w:rsid w:val="007B7E47"/>
    <w:rsid w:val="007B7E90"/>
    <w:rsid w:val="007B7F2A"/>
    <w:rsid w:val="007C012A"/>
    <w:rsid w:val="007C09F0"/>
    <w:rsid w:val="007C0E4D"/>
    <w:rsid w:val="007C0F28"/>
    <w:rsid w:val="007C10EC"/>
    <w:rsid w:val="007C1317"/>
    <w:rsid w:val="007C1542"/>
    <w:rsid w:val="007C1663"/>
    <w:rsid w:val="007C1708"/>
    <w:rsid w:val="007C1855"/>
    <w:rsid w:val="007C1CC6"/>
    <w:rsid w:val="007C1EC9"/>
    <w:rsid w:val="007C206E"/>
    <w:rsid w:val="007C297C"/>
    <w:rsid w:val="007C2FB9"/>
    <w:rsid w:val="007C3166"/>
    <w:rsid w:val="007C3463"/>
    <w:rsid w:val="007C36B6"/>
    <w:rsid w:val="007C36CE"/>
    <w:rsid w:val="007C36FA"/>
    <w:rsid w:val="007C3761"/>
    <w:rsid w:val="007C389D"/>
    <w:rsid w:val="007C3BAF"/>
    <w:rsid w:val="007C3D05"/>
    <w:rsid w:val="007C3E2F"/>
    <w:rsid w:val="007C3F25"/>
    <w:rsid w:val="007C41D9"/>
    <w:rsid w:val="007C4330"/>
    <w:rsid w:val="007C440F"/>
    <w:rsid w:val="007C4A46"/>
    <w:rsid w:val="007C4AD2"/>
    <w:rsid w:val="007C54E1"/>
    <w:rsid w:val="007C55AF"/>
    <w:rsid w:val="007C5B19"/>
    <w:rsid w:val="007C5C16"/>
    <w:rsid w:val="007C605D"/>
    <w:rsid w:val="007C6198"/>
    <w:rsid w:val="007C6343"/>
    <w:rsid w:val="007C63EB"/>
    <w:rsid w:val="007C679A"/>
    <w:rsid w:val="007C768E"/>
    <w:rsid w:val="007C769C"/>
    <w:rsid w:val="007C7CF5"/>
    <w:rsid w:val="007D005F"/>
    <w:rsid w:val="007D00E7"/>
    <w:rsid w:val="007D01D1"/>
    <w:rsid w:val="007D02B6"/>
    <w:rsid w:val="007D0557"/>
    <w:rsid w:val="007D079F"/>
    <w:rsid w:val="007D0866"/>
    <w:rsid w:val="007D0A41"/>
    <w:rsid w:val="007D0BBB"/>
    <w:rsid w:val="007D0C1C"/>
    <w:rsid w:val="007D0FDC"/>
    <w:rsid w:val="007D1020"/>
    <w:rsid w:val="007D132D"/>
    <w:rsid w:val="007D1771"/>
    <w:rsid w:val="007D20AA"/>
    <w:rsid w:val="007D23BC"/>
    <w:rsid w:val="007D25AB"/>
    <w:rsid w:val="007D27F3"/>
    <w:rsid w:val="007D2CEE"/>
    <w:rsid w:val="007D2FB3"/>
    <w:rsid w:val="007D3055"/>
    <w:rsid w:val="007D325F"/>
    <w:rsid w:val="007D354D"/>
    <w:rsid w:val="007D3A44"/>
    <w:rsid w:val="007D3E1A"/>
    <w:rsid w:val="007D3E74"/>
    <w:rsid w:val="007D4492"/>
    <w:rsid w:val="007D4556"/>
    <w:rsid w:val="007D45DD"/>
    <w:rsid w:val="007D4BCB"/>
    <w:rsid w:val="007D4E24"/>
    <w:rsid w:val="007D5067"/>
    <w:rsid w:val="007D5400"/>
    <w:rsid w:val="007D55C4"/>
    <w:rsid w:val="007D5814"/>
    <w:rsid w:val="007D5909"/>
    <w:rsid w:val="007D6331"/>
    <w:rsid w:val="007D6508"/>
    <w:rsid w:val="007D6C12"/>
    <w:rsid w:val="007D702B"/>
    <w:rsid w:val="007D7138"/>
    <w:rsid w:val="007D79FC"/>
    <w:rsid w:val="007D7BA0"/>
    <w:rsid w:val="007E0287"/>
    <w:rsid w:val="007E04C3"/>
    <w:rsid w:val="007E05BE"/>
    <w:rsid w:val="007E08F6"/>
    <w:rsid w:val="007E098C"/>
    <w:rsid w:val="007E0A6A"/>
    <w:rsid w:val="007E1001"/>
    <w:rsid w:val="007E1353"/>
    <w:rsid w:val="007E1569"/>
    <w:rsid w:val="007E18F9"/>
    <w:rsid w:val="007E1F5E"/>
    <w:rsid w:val="007E20D3"/>
    <w:rsid w:val="007E2124"/>
    <w:rsid w:val="007E224A"/>
    <w:rsid w:val="007E291B"/>
    <w:rsid w:val="007E294D"/>
    <w:rsid w:val="007E2C54"/>
    <w:rsid w:val="007E3015"/>
    <w:rsid w:val="007E31EE"/>
    <w:rsid w:val="007E33AD"/>
    <w:rsid w:val="007E38ED"/>
    <w:rsid w:val="007E3AFF"/>
    <w:rsid w:val="007E3E46"/>
    <w:rsid w:val="007E405B"/>
    <w:rsid w:val="007E40A1"/>
    <w:rsid w:val="007E4248"/>
    <w:rsid w:val="007E46E4"/>
    <w:rsid w:val="007E4A09"/>
    <w:rsid w:val="007E4C68"/>
    <w:rsid w:val="007E5578"/>
    <w:rsid w:val="007E5FC5"/>
    <w:rsid w:val="007E6281"/>
    <w:rsid w:val="007E736C"/>
    <w:rsid w:val="007E77ED"/>
    <w:rsid w:val="007E7BDD"/>
    <w:rsid w:val="007E7E4E"/>
    <w:rsid w:val="007E7EA9"/>
    <w:rsid w:val="007E7FD0"/>
    <w:rsid w:val="007F01FE"/>
    <w:rsid w:val="007F03B0"/>
    <w:rsid w:val="007F0699"/>
    <w:rsid w:val="007F06F9"/>
    <w:rsid w:val="007F0876"/>
    <w:rsid w:val="007F1157"/>
    <w:rsid w:val="007F12F9"/>
    <w:rsid w:val="007F18C7"/>
    <w:rsid w:val="007F1E03"/>
    <w:rsid w:val="007F2019"/>
    <w:rsid w:val="007F25B9"/>
    <w:rsid w:val="007F26A0"/>
    <w:rsid w:val="007F2AFD"/>
    <w:rsid w:val="007F3193"/>
    <w:rsid w:val="007F35FF"/>
    <w:rsid w:val="007F3B28"/>
    <w:rsid w:val="007F3E60"/>
    <w:rsid w:val="007F4480"/>
    <w:rsid w:val="007F461D"/>
    <w:rsid w:val="007F4A86"/>
    <w:rsid w:val="007F4AA3"/>
    <w:rsid w:val="007F4DCB"/>
    <w:rsid w:val="007F4F7A"/>
    <w:rsid w:val="007F5093"/>
    <w:rsid w:val="007F50DE"/>
    <w:rsid w:val="007F5315"/>
    <w:rsid w:val="007F5593"/>
    <w:rsid w:val="007F5B2B"/>
    <w:rsid w:val="007F5F69"/>
    <w:rsid w:val="007F6603"/>
    <w:rsid w:val="007F6633"/>
    <w:rsid w:val="007F66C2"/>
    <w:rsid w:val="007F67A1"/>
    <w:rsid w:val="007F6FE4"/>
    <w:rsid w:val="007F76AA"/>
    <w:rsid w:val="008004E8"/>
    <w:rsid w:val="0080054A"/>
    <w:rsid w:val="008005D5"/>
    <w:rsid w:val="00800B7B"/>
    <w:rsid w:val="0080119F"/>
    <w:rsid w:val="008012A3"/>
    <w:rsid w:val="00801527"/>
    <w:rsid w:val="00801614"/>
    <w:rsid w:val="0080170E"/>
    <w:rsid w:val="00801720"/>
    <w:rsid w:val="00801759"/>
    <w:rsid w:val="008019F7"/>
    <w:rsid w:val="00801ECD"/>
    <w:rsid w:val="00802112"/>
    <w:rsid w:val="008027EF"/>
    <w:rsid w:val="0080298D"/>
    <w:rsid w:val="00802A7D"/>
    <w:rsid w:val="00802C6F"/>
    <w:rsid w:val="00802DB9"/>
    <w:rsid w:val="008032FD"/>
    <w:rsid w:val="0080354E"/>
    <w:rsid w:val="008035E8"/>
    <w:rsid w:val="00803678"/>
    <w:rsid w:val="008036B1"/>
    <w:rsid w:val="00803DE3"/>
    <w:rsid w:val="00803E4F"/>
    <w:rsid w:val="00803EF7"/>
    <w:rsid w:val="0080551A"/>
    <w:rsid w:val="008059AD"/>
    <w:rsid w:val="00805A6A"/>
    <w:rsid w:val="00806111"/>
    <w:rsid w:val="00806456"/>
    <w:rsid w:val="008064BA"/>
    <w:rsid w:val="0080656B"/>
    <w:rsid w:val="00806B67"/>
    <w:rsid w:val="008071C6"/>
    <w:rsid w:val="0080786D"/>
    <w:rsid w:val="00807C6A"/>
    <w:rsid w:val="008106A0"/>
    <w:rsid w:val="00810868"/>
    <w:rsid w:val="00810B07"/>
    <w:rsid w:val="00811240"/>
    <w:rsid w:val="008115B8"/>
    <w:rsid w:val="00811C33"/>
    <w:rsid w:val="00811C8A"/>
    <w:rsid w:val="00811E6B"/>
    <w:rsid w:val="008120CD"/>
    <w:rsid w:val="0081230A"/>
    <w:rsid w:val="008124EC"/>
    <w:rsid w:val="0081273F"/>
    <w:rsid w:val="00812CA0"/>
    <w:rsid w:val="00812F4D"/>
    <w:rsid w:val="0081302F"/>
    <w:rsid w:val="00813453"/>
    <w:rsid w:val="00813653"/>
    <w:rsid w:val="008136AC"/>
    <w:rsid w:val="0081380F"/>
    <w:rsid w:val="0081396B"/>
    <w:rsid w:val="008140D1"/>
    <w:rsid w:val="0081431B"/>
    <w:rsid w:val="0081473F"/>
    <w:rsid w:val="00814AF1"/>
    <w:rsid w:val="00814BB3"/>
    <w:rsid w:val="008150FD"/>
    <w:rsid w:val="0081542C"/>
    <w:rsid w:val="00815590"/>
    <w:rsid w:val="0081572B"/>
    <w:rsid w:val="0081596B"/>
    <w:rsid w:val="00815C81"/>
    <w:rsid w:val="00815E23"/>
    <w:rsid w:val="0081622D"/>
    <w:rsid w:val="008165E0"/>
    <w:rsid w:val="0081660A"/>
    <w:rsid w:val="008166D6"/>
    <w:rsid w:val="008167E9"/>
    <w:rsid w:val="00816B9B"/>
    <w:rsid w:val="0081782D"/>
    <w:rsid w:val="0081788C"/>
    <w:rsid w:val="008178D2"/>
    <w:rsid w:val="00817A02"/>
    <w:rsid w:val="00817C40"/>
    <w:rsid w:val="00817E5C"/>
    <w:rsid w:val="00817FA8"/>
    <w:rsid w:val="008207BD"/>
    <w:rsid w:val="00820BDB"/>
    <w:rsid w:val="008214F1"/>
    <w:rsid w:val="008217BF"/>
    <w:rsid w:val="008219FA"/>
    <w:rsid w:val="00821B21"/>
    <w:rsid w:val="00821F7E"/>
    <w:rsid w:val="00822A04"/>
    <w:rsid w:val="00822F55"/>
    <w:rsid w:val="008233C7"/>
    <w:rsid w:val="00823534"/>
    <w:rsid w:val="00823555"/>
    <w:rsid w:val="00823716"/>
    <w:rsid w:val="0082389C"/>
    <w:rsid w:val="00823BC6"/>
    <w:rsid w:val="00823BFA"/>
    <w:rsid w:val="00823DA9"/>
    <w:rsid w:val="00823EC6"/>
    <w:rsid w:val="00824864"/>
    <w:rsid w:val="008249E5"/>
    <w:rsid w:val="00824AB2"/>
    <w:rsid w:val="00824BB7"/>
    <w:rsid w:val="00824EF8"/>
    <w:rsid w:val="00825162"/>
    <w:rsid w:val="008252A7"/>
    <w:rsid w:val="008253CB"/>
    <w:rsid w:val="008254F6"/>
    <w:rsid w:val="00826661"/>
    <w:rsid w:val="008268D7"/>
    <w:rsid w:val="008272E0"/>
    <w:rsid w:val="00827744"/>
    <w:rsid w:val="00827B37"/>
    <w:rsid w:val="00830260"/>
    <w:rsid w:val="00830594"/>
    <w:rsid w:val="0083063B"/>
    <w:rsid w:val="008306AA"/>
    <w:rsid w:val="00830A28"/>
    <w:rsid w:val="00830CD8"/>
    <w:rsid w:val="00830DD4"/>
    <w:rsid w:val="008310AA"/>
    <w:rsid w:val="008310BC"/>
    <w:rsid w:val="00831348"/>
    <w:rsid w:val="00831409"/>
    <w:rsid w:val="00831C1D"/>
    <w:rsid w:val="00831EF8"/>
    <w:rsid w:val="00832146"/>
    <w:rsid w:val="008321FA"/>
    <w:rsid w:val="008327AE"/>
    <w:rsid w:val="00832870"/>
    <w:rsid w:val="00832A30"/>
    <w:rsid w:val="008340A1"/>
    <w:rsid w:val="00834554"/>
    <w:rsid w:val="00834808"/>
    <w:rsid w:val="0083487A"/>
    <w:rsid w:val="008348F2"/>
    <w:rsid w:val="00834B6F"/>
    <w:rsid w:val="0083548D"/>
    <w:rsid w:val="00836026"/>
    <w:rsid w:val="00836187"/>
    <w:rsid w:val="0083626E"/>
    <w:rsid w:val="00836280"/>
    <w:rsid w:val="00836492"/>
    <w:rsid w:val="00836B4A"/>
    <w:rsid w:val="00837235"/>
    <w:rsid w:val="00837409"/>
    <w:rsid w:val="00837A39"/>
    <w:rsid w:val="00840164"/>
    <w:rsid w:val="00840382"/>
    <w:rsid w:val="008403D3"/>
    <w:rsid w:val="0084059E"/>
    <w:rsid w:val="0084090B"/>
    <w:rsid w:val="00840930"/>
    <w:rsid w:val="00840969"/>
    <w:rsid w:val="00840CDE"/>
    <w:rsid w:val="00840DF4"/>
    <w:rsid w:val="00840F53"/>
    <w:rsid w:val="00841585"/>
    <w:rsid w:val="00841684"/>
    <w:rsid w:val="00841DAA"/>
    <w:rsid w:val="00841EAC"/>
    <w:rsid w:val="00841FCE"/>
    <w:rsid w:val="00842251"/>
    <w:rsid w:val="008425A3"/>
    <w:rsid w:val="008425E8"/>
    <w:rsid w:val="00842656"/>
    <w:rsid w:val="00842809"/>
    <w:rsid w:val="00842C63"/>
    <w:rsid w:val="00842FD4"/>
    <w:rsid w:val="00843187"/>
    <w:rsid w:val="008435A2"/>
    <w:rsid w:val="0084367E"/>
    <w:rsid w:val="008437CE"/>
    <w:rsid w:val="00843835"/>
    <w:rsid w:val="0084494D"/>
    <w:rsid w:val="00844B91"/>
    <w:rsid w:val="00844CB0"/>
    <w:rsid w:val="00844D3C"/>
    <w:rsid w:val="008453C8"/>
    <w:rsid w:val="00845676"/>
    <w:rsid w:val="008458C8"/>
    <w:rsid w:val="00845E62"/>
    <w:rsid w:val="008464B8"/>
    <w:rsid w:val="00846C48"/>
    <w:rsid w:val="00846EEB"/>
    <w:rsid w:val="0084755E"/>
    <w:rsid w:val="008475B4"/>
    <w:rsid w:val="00847D7E"/>
    <w:rsid w:val="00847D9E"/>
    <w:rsid w:val="00847E3D"/>
    <w:rsid w:val="008500C0"/>
    <w:rsid w:val="008501B9"/>
    <w:rsid w:val="0085035D"/>
    <w:rsid w:val="008508A7"/>
    <w:rsid w:val="008510C6"/>
    <w:rsid w:val="00851544"/>
    <w:rsid w:val="00851669"/>
    <w:rsid w:val="00851B90"/>
    <w:rsid w:val="00852357"/>
    <w:rsid w:val="00852430"/>
    <w:rsid w:val="0085255F"/>
    <w:rsid w:val="00852ABA"/>
    <w:rsid w:val="00852C7C"/>
    <w:rsid w:val="00852D59"/>
    <w:rsid w:val="00853A63"/>
    <w:rsid w:val="00853E9D"/>
    <w:rsid w:val="00853FCC"/>
    <w:rsid w:val="00853FDD"/>
    <w:rsid w:val="00854475"/>
    <w:rsid w:val="008544DA"/>
    <w:rsid w:val="008545E1"/>
    <w:rsid w:val="00854D12"/>
    <w:rsid w:val="00854FD4"/>
    <w:rsid w:val="00855035"/>
    <w:rsid w:val="0085534B"/>
    <w:rsid w:val="00855606"/>
    <w:rsid w:val="00855740"/>
    <w:rsid w:val="00855880"/>
    <w:rsid w:val="00855CE5"/>
    <w:rsid w:val="008561E4"/>
    <w:rsid w:val="00856A8B"/>
    <w:rsid w:val="008570C0"/>
    <w:rsid w:val="008576B6"/>
    <w:rsid w:val="0085774D"/>
    <w:rsid w:val="0086031B"/>
    <w:rsid w:val="00860563"/>
    <w:rsid w:val="0086071A"/>
    <w:rsid w:val="00860A26"/>
    <w:rsid w:val="00860B35"/>
    <w:rsid w:val="00860B59"/>
    <w:rsid w:val="008610E1"/>
    <w:rsid w:val="008614C1"/>
    <w:rsid w:val="00861857"/>
    <w:rsid w:val="0086199F"/>
    <w:rsid w:val="00861B24"/>
    <w:rsid w:val="00861CC3"/>
    <w:rsid w:val="00861D17"/>
    <w:rsid w:val="00862070"/>
    <w:rsid w:val="008627FB"/>
    <w:rsid w:val="0086293E"/>
    <w:rsid w:val="00862A03"/>
    <w:rsid w:val="00862CFF"/>
    <w:rsid w:val="0086397A"/>
    <w:rsid w:val="00863C24"/>
    <w:rsid w:val="00864271"/>
    <w:rsid w:val="008644CB"/>
    <w:rsid w:val="00864C21"/>
    <w:rsid w:val="00864F0F"/>
    <w:rsid w:val="0086553B"/>
    <w:rsid w:val="00866014"/>
    <w:rsid w:val="00866018"/>
    <w:rsid w:val="00866155"/>
    <w:rsid w:val="00866630"/>
    <w:rsid w:val="00866A45"/>
    <w:rsid w:val="0086744F"/>
    <w:rsid w:val="008675EC"/>
    <w:rsid w:val="008678F8"/>
    <w:rsid w:val="00867A21"/>
    <w:rsid w:val="00867B91"/>
    <w:rsid w:val="00867FA8"/>
    <w:rsid w:val="008703B0"/>
    <w:rsid w:val="008703EE"/>
    <w:rsid w:val="008707A8"/>
    <w:rsid w:val="00870C02"/>
    <w:rsid w:val="00870FB2"/>
    <w:rsid w:val="00871037"/>
    <w:rsid w:val="008715D4"/>
    <w:rsid w:val="00871641"/>
    <w:rsid w:val="00871B29"/>
    <w:rsid w:val="00871E2D"/>
    <w:rsid w:val="00871E41"/>
    <w:rsid w:val="00872015"/>
    <w:rsid w:val="0087210B"/>
    <w:rsid w:val="00872399"/>
    <w:rsid w:val="008725B9"/>
    <w:rsid w:val="00872841"/>
    <w:rsid w:val="008729FC"/>
    <w:rsid w:val="008733AC"/>
    <w:rsid w:val="00873419"/>
    <w:rsid w:val="008739A0"/>
    <w:rsid w:val="00873F2A"/>
    <w:rsid w:val="008740BF"/>
    <w:rsid w:val="008746A2"/>
    <w:rsid w:val="0087498E"/>
    <w:rsid w:val="0087567D"/>
    <w:rsid w:val="00875EA6"/>
    <w:rsid w:val="00876448"/>
    <w:rsid w:val="0087661B"/>
    <w:rsid w:val="0087673C"/>
    <w:rsid w:val="00876DE5"/>
    <w:rsid w:val="00877AF6"/>
    <w:rsid w:val="00877F4F"/>
    <w:rsid w:val="00880164"/>
    <w:rsid w:val="00880194"/>
    <w:rsid w:val="0088021B"/>
    <w:rsid w:val="008802AB"/>
    <w:rsid w:val="0088075E"/>
    <w:rsid w:val="00881080"/>
    <w:rsid w:val="0088127E"/>
    <w:rsid w:val="00881B19"/>
    <w:rsid w:val="00881D65"/>
    <w:rsid w:val="00881DCE"/>
    <w:rsid w:val="00881EB0"/>
    <w:rsid w:val="00881F9E"/>
    <w:rsid w:val="00882303"/>
    <w:rsid w:val="00882640"/>
    <w:rsid w:val="008828A0"/>
    <w:rsid w:val="008829CB"/>
    <w:rsid w:val="00882A55"/>
    <w:rsid w:val="00882AED"/>
    <w:rsid w:val="00882DC9"/>
    <w:rsid w:val="00882E0F"/>
    <w:rsid w:val="008830C1"/>
    <w:rsid w:val="00883256"/>
    <w:rsid w:val="00883706"/>
    <w:rsid w:val="00883A67"/>
    <w:rsid w:val="00884698"/>
    <w:rsid w:val="00884D5C"/>
    <w:rsid w:val="00884EB8"/>
    <w:rsid w:val="00884F6F"/>
    <w:rsid w:val="00885231"/>
    <w:rsid w:val="008854B0"/>
    <w:rsid w:val="0088557D"/>
    <w:rsid w:val="008858C8"/>
    <w:rsid w:val="0088590A"/>
    <w:rsid w:val="00885A3A"/>
    <w:rsid w:val="00886006"/>
    <w:rsid w:val="008867E1"/>
    <w:rsid w:val="0088688D"/>
    <w:rsid w:val="00886CFF"/>
    <w:rsid w:val="00886DB1"/>
    <w:rsid w:val="00887187"/>
    <w:rsid w:val="00887290"/>
    <w:rsid w:val="008872C0"/>
    <w:rsid w:val="00887C89"/>
    <w:rsid w:val="00887E4A"/>
    <w:rsid w:val="0089054C"/>
    <w:rsid w:val="00890BC0"/>
    <w:rsid w:val="00890D9E"/>
    <w:rsid w:val="008914AB"/>
    <w:rsid w:val="0089193F"/>
    <w:rsid w:val="00891977"/>
    <w:rsid w:val="00891E0A"/>
    <w:rsid w:val="00891EFA"/>
    <w:rsid w:val="0089216E"/>
    <w:rsid w:val="00892216"/>
    <w:rsid w:val="00892473"/>
    <w:rsid w:val="00892813"/>
    <w:rsid w:val="00892BCD"/>
    <w:rsid w:val="00892F11"/>
    <w:rsid w:val="0089313F"/>
    <w:rsid w:val="00893191"/>
    <w:rsid w:val="00893502"/>
    <w:rsid w:val="0089376F"/>
    <w:rsid w:val="00893785"/>
    <w:rsid w:val="00893820"/>
    <w:rsid w:val="008939B7"/>
    <w:rsid w:val="00893A69"/>
    <w:rsid w:val="00893BDB"/>
    <w:rsid w:val="00894BB2"/>
    <w:rsid w:val="00894D16"/>
    <w:rsid w:val="00894E17"/>
    <w:rsid w:val="00894F5C"/>
    <w:rsid w:val="0089589B"/>
    <w:rsid w:val="008958AA"/>
    <w:rsid w:val="00896153"/>
    <w:rsid w:val="00896C6A"/>
    <w:rsid w:val="0089722D"/>
    <w:rsid w:val="008976BA"/>
    <w:rsid w:val="008979AF"/>
    <w:rsid w:val="00897C4A"/>
    <w:rsid w:val="00897D2F"/>
    <w:rsid w:val="00897D96"/>
    <w:rsid w:val="00897F5F"/>
    <w:rsid w:val="008A08DF"/>
    <w:rsid w:val="008A096D"/>
    <w:rsid w:val="008A0AA9"/>
    <w:rsid w:val="008A0C4D"/>
    <w:rsid w:val="008A173D"/>
    <w:rsid w:val="008A1B90"/>
    <w:rsid w:val="008A1EFB"/>
    <w:rsid w:val="008A232E"/>
    <w:rsid w:val="008A2CBF"/>
    <w:rsid w:val="008A2DA5"/>
    <w:rsid w:val="008A31D9"/>
    <w:rsid w:val="008A350B"/>
    <w:rsid w:val="008A375D"/>
    <w:rsid w:val="008A3980"/>
    <w:rsid w:val="008A3BD2"/>
    <w:rsid w:val="008A42E8"/>
    <w:rsid w:val="008A46D9"/>
    <w:rsid w:val="008A4872"/>
    <w:rsid w:val="008A494D"/>
    <w:rsid w:val="008A4B14"/>
    <w:rsid w:val="008A4C33"/>
    <w:rsid w:val="008A4FFB"/>
    <w:rsid w:val="008A59A8"/>
    <w:rsid w:val="008A5BFD"/>
    <w:rsid w:val="008A5CA1"/>
    <w:rsid w:val="008A6F4E"/>
    <w:rsid w:val="008A7079"/>
    <w:rsid w:val="008A7637"/>
    <w:rsid w:val="008A7944"/>
    <w:rsid w:val="008A79F2"/>
    <w:rsid w:val="008A7EAF"/>
    <w:rsid w:val="008A7F14"/>
    <w:rsid w:val="008B019C"/>
    <w:rsid w:val="008B0634"/>
    <w:rsid w:val="008B06B8"/>
    <w:rsid w:val="008B0BC0"/>
    <w:rsid w:val="008B0D5D"/>
    <w:rsid w:val="008B0F36"/>
    <w:rsid w:val="008B11A1"/>
    <w:rsid w:val="008B11F8"/>
    <w:rsid w:val="008B1A06"/>
    <w:rsid w:val="008B1A67"/>
    <w:rsid w:val="008B1B28"/>
    <w:rsid w:val="008B1D3F"/>
    <w:rsid w:val="008B1DB5"/>
    <w:rsid w:val="008B1E01"/>
    <w:rsid w:val="008B1E18"/>
    <w:rsid w:val="008B1E7B"/>
    <w:rsid w:val="008B2062"/>
    <w:rsid w:val="008B20D7"/>
    <w:rsid w:val="008B21AF"/>
    <w:rsid w:val="008B2E07"/>
    <w:rsid w:val="008B2EEE"/>
    <w:rsid w:val="008B32DB"/>
    <w:rsid w:val="008B3A12"/>
    <w:rsid w:val="008B3C05"/>
    <w:rsid w:val="008B47E3"/>
    <w:rsid w:val="008B4C15"/>
    <w:rsid w:val="008B50CE"/>
    <w:rsid w:val="008B52D1"/>
    <w:rsid w:val="008B53D1"/>
    <w:rsid w:val="008B5463"/>
    <w:rsid w:val="008B54C1"/>
    <w:rsid w:val="008B6228"/>
    <w:rsid w:val="008B798D"/>
    <w:rsid w:val="008C085F"/>
    <w:rsid w:val="008C12ED"/>
    <w:rsid w:val="008C1D17"/>
    <w:rsid w:val="008C22FF"/>
    <w:rsid w:val="008C3050"/>
    <w:rsid w:val="008C3CC7"/>
    <w:rsid w:val="008C4156"/>
    <w:rsid w:val="008C4843"/>
    <w:rsid w:val="008C4884"/>
    <w:rsid w:val="008C4E82"/>
    <w:rsid w:val="008C4FC4"/>
    <w:rsid w:val="008C51CB"/>
    <w:rsid w:val="008C5317"/>
    <w:rsid w:val="008C55EA"/>
    <w:rsid w:val="008C5AA3"/>
    <w:rsid w:val="008C5CC1"/>
    <w:rsid w:val="008C5DB6"/>
    <w:rsid w:val="008C5FCC"/>
    <w:rsid w:val="008C61E5"/>
    <w:rsid w:val="008C61FC"/>
    <w:rsid w:val="008C6573"/>
    <w:rsid w:val="008C6672"/>
    <w:rsid w:val="008C6A6F"/>
    <w:rsid w:val="008C6C8D"/>
    <w:rsid w:val="008C715E"/>
    <w:rsid w:val="008C7386"/>
    <w:rsid w:val="008C7A8E"/>
    <w:rsid w:val="008D031E"/>
    <w:rsid w:val="008D0352"/>
    <w:rsid w:val="008D10B2"/>
    <w:rsid w:val="008D15D6"/>
    <w:rsid w:val="008D1995"/>
    <w:rsid w:val="008D1ADA"/>
    <w:rsid w:val="008D1D70"/>
    <w:rsid w:val="008D1DFE"/>
    <w:rsid w:val="008D1EAF"/>
    <w:rsid w:val="008D256D"/>
    <w:rsid w:val="008D27D6"/>
    <w:rsid w:val="008D3AC7"/>
    <w:rsid w:val="008D3EB5"/>
    <w:rsid w:val="008D3EFB"/>
    <w:rsid w:val="008D41CA"/>
    <w:rsid w:val="008D41E7"/>
    <w:rsid w:val="008D4442"/>
    <w:rsid w:val="008D46AB"/>
    <w:rsid w:val="008D4ED2"/>
    <w:rsid w:val="008D4FE5"/>
    <w:rsid w:val="008D53BD"/>
    <w:rsid w:val="008D5792"/>
    <w:rsid w:val="008D5841"/>
    <w:rsid w:val="008D5CE6"/>
    <w:rsid w:val="008D61A2"/>
    <w:rsid w:val="008D7681"/>
    <w:rsid w:val="008D7691"/>
    <w:rsid w:val="008D7898"/>
    <w:rsid w:val="008D7A3C"/>
    <w:rsid w:val="008D7F37"/>
    <w:rsid w:val="008E0489"/>
    <w:rsid w:val="008E0A6D"/>
    <w:rsid w:val="008E0EE6"/>
    <w:rsid w:val="008E10CD"/>
    <w:rsid w:val="008E11A7"/>
    <w:rsid w:val="008E130A"/>
    <w:rsid w:val="008E1525"/>
    <w:rsid w:val="008E195E"/>
    <w:rsid w:val="008E25E4"/>
    <w:rsid w:val="008E309E"/>
    <w:rsid w:val="008E3380"/>
    <w:rsid w:val="008E33CF"/>
    <w:rsid w:val="008E3427"/>
    <w:rsid w:val="008E346F"/>
    <w:rsid w:val="008E3474"/>
    <w:rsid w:val="008E4178"/>
    <w:rsid w:val="008E43DA"/>
    <w:rsid w:val="008E4420"/>
    <w:rsid w:val="008E485E"/>
    <w:rsid w:val="008E4CCF"/>
    <w:rsid w:val="008E54AA"/>
    <w:rsid w:val="008E5652"/>
    <w:rsid w:val="008E5E22"/>
    <w:rsid w:val="008E6065"/>
    <w:rsid w:val="008E6321"/>
    <w:rsid w:val="008E6324"/>
    <w:rsid w:val="008E6750"/>
    <w:rsid w:val="008E6B56"/>
    <w:rsid w:val="008E6FF3"/>
    <w:rsid w:val="008E7338"/>
    <w:rsid w:val="008E7347"/>
    <w:rsid w:val="008E7483"/>
    <w:rsid w:val="008E752F"/>
    <w:rsid w:val="008E789F"/>
    <w:rsid w:val="008E7A26"/>
    <w:rsid w:val="008E7A36"/>
    <w:rsid w:val="008E7FD2"/>
    <w:rsid w:val="008F0019"/>
    <w:rsid w:val="008F009A"/>
    <w:rsid w:val="008F0175"/>
    <w:rsid w:val="008F08ED"/>
    <w:rsid w:val="008F0B9A"/>
    <w:rsid w:val="008F0C8E"/>
    <w:rsid w:val="008F1427"/>
    <w:rsid w:val="008F14C1"/>
    <w:rsid w:val="008F1596"/>
    <w:rsid w:val="008F18AE"/>
    <w:rsid w:val="008F1E09"/>
    <w:rsid w:val="008F20E8"/>
    <w:rsid w:val="008F2792"/>
    <w:rsid w:val="008F29A4"/>
    <w:rsid w:val="008F2E19"/>
    <w:rsid w:val="008F2FC5"/>
    <w:rsid w:val="008F36BB"/>
    <w:rsid w:val="008F3F7D"/>
    <w:rsid w:val="008F3F7E"/>
    <w:rsid w:val="008F41E4"/>
    <w:rsid w:val="008F4458"/>
    <w:rsid w:val="008F49AC"/>
    <w:rsid w:val="008F4C76"/>
    <w:rsid w:val="008F4DDE"/>
    <w:rsid w:val="008F4E8C"/>
    <w:rsid w:val="008F4ED4"/>
    <w:rsid w:val="008F52F9"/>
    <w:rsid w:val="008F57B3"/>
    <w:rsid w:val="008F5842"/>
    <w:rsid w:val="008F5A35"/>
    <w:rsid w:val="008F5C16"/>
    <w:rsid w:val="008F5CDF"/>
    <w:rsid w:val="008F60D2"/>
    <w:rsid w:val="008F62CC"/>
    <w:rsid w:val="008F62F1"/>
    <w:rsid w:val="008F63C1"/>
    <w:rsid w:val="008F640B"/>
    <w:rsid w:val="008F6447"/>
    <w:rsid w:val="008F6630"/>
    <w:rsid w:val="008F676E"/>
    <w:rsid w:val="008F68AA"/>
    <w:rsid w:val="008F68AE"/>
    <w:rsid w:val="008F7737"/>
    <w:rsid w:val="008F783E"/>
    <w:rsid w:val="008F78BE"/>
    <w:rsid w:val="008F7C1B"/>
    <w:rsid w:val="008F7D8A"/>
    <w:rsid w:val="008F7EDB"/>
    <w:rsid w:val="00900672"/>
    <w:rsid w:val="0090082E"/>
    <w:rsid w:val="00901351"/>
    <w:rsid w:val="00901761"/>
    <w:rsid w:val="009019FA"/>
    <w:rsid w:val="00901B76"/>
    <w:rsid w:val="00901FA5"/>
    <w:rsid w:val="0090253F"/>
    <w:rsid w:val="00902636"/>
    <w:rsid w:val="009026C3"/>
    <w:rsid w:val="00902766"/>
    <w:rsid w:val="00902772"/>
    <w:rsid w:val="009028B2"/>
    <w:rsid w:val="00902A6B"/>
    <w:rsid w:val="00902A71"/>
    <w:rsid w:val="009032A7"/>
    <w:rsid w:val="00903645"/>
    <w:rsid w:val="0090373D"/>
    <w:rsid w:val="00903759"/>
    <w:rsid w:val="00903D7A"/>
    <w:rsid w:val="0090482A"/>
    <w:rsid w:val="00904880"/>
    <w:rsid w:val="0090496B"/>
    <w:rsid w:val="00904C82"/>
    <w:rsid w:val="00905831"/>
    <w:rsid w:val="00905A90"/>
    <w:rsid w:val="00905AFC"/>
    <w:rsid w:val="00905F17"/>
    <w:rsid w:val="00906197"/>
    <w:rsid w:val="009062AF"/>
    <w:rsid w:val="0090642F"/>
    <w:rsid w:val="00906887"/>
    <w:rsid w:val="00906D06"/>
    <w:rsid w:val="00907058"/>
    <w:rsid w:val="00907247"/>
    <w:rsid w:val="00907379"/>
    <w:rsid w:val="009073F5"/>
    <w:rsid w:val="009079C6"/>
    <w:rsid w:val="009079F9"/>
    <w:rsid w:val="00907EBF"/>
    <w:rsid w:val="00907F41"/>
    <w:rsid w:val="009101B1"/>
    <w:rsid w:val="00910377"/>
    <w:rsid w:val="00911DA9"/>
    <w:rsid w:val="0091212E"/>
    <w:rsid w:val="009129D5"/>
    <w:rsid w:val="00912C5B"/>
    <w:rsid w:val="00912E65"/>
    <w:rsid w:val="0091310C"/>
    <w:rsid w:val="00914CEC"/>
    <w:rsid w:val="00914D62"/>
    <w:rsid w:val="00914DF0"/>
    <w:rsid w:val="009153FF"/>
    <w:rsid w:val="0091577F"/>
    <w:rsid w:val="00915B91"/>
    <w:rsid w:val="00915FAC"/>
    <w:rsid w:val="0091601A"/>
    <w:rsid w:val="009162C0"/>
    <w:rsid w:val="0091654B"/>
    <w:rsid w:val="00916D21"/>
    <w:rsid w:val="0091702C"/>
    <w:rsid w:val="009171B1"/>
    <w:rsid w:val="00917312"/>
    <w:rsid w:val="00917793"/>
    <w:rsid w:val="009179FC"/>
    <w:rsid w:val="00917BB0"/>
    <w:rsid w:val="00917C9A"/>
    <w:rsid w:val="00920023"/>
    <w:rsid w:val="0092017F"/>
    <w:rsid w:val="0092018E"/>
    <w:rsid w:val="0092026F"/>
    <w:rsid w:val="00920335"/>
    <w:rsid w:val="00920353"/>
    <w:rsid w:val="0092039C"/>
    <w:rsid w:val="009204DB"/>
    <w:rsid w:val="00920A66"/>
    <w:rsid w:val="00920D4D"/>
    <w:rsid w:val="00920E59"/>
    <w:rsid w:val="0092108D"/>
    <w:rsid w:val="00921695"/>
    <w:rsid w:val="00921E08"/>
    <w:rsid w:val="00921E92"/>
    <w:rsid w:val="00921EC6"/>
    <w:rsid w:val="00921F32"/>
    <w:rsid w:val="00922030"/>
    <w:rsid w:val="009224AB"/>
    <w:rsid w:val="0092282D"/>
    <w:rsid w:val="00922ABC"/>
    <w:rsid w:val="00922B87"/>
    <w:rsid w:val="00922E20"/>
    <w:rsid w:val="0092347D"/>
    <w:rsid w:val="009239CE"/>
    <w:rsid w:val="00923A23"/>
    <w:rsid w:val="00923C44"/>
    <w:rsid w:val="00923EA6"/>
    <w:rsid w:val="009241D5"/>
    <w:rsid w:val="00924692"/>
    <w:rsid w:val="00924852"/>
    <w:rsid w:val="00924A55"/>
    <w:rsid w:val="00924BBF"/>
    <w:rsid w:val="00925489"/>
    <w:rsid w:val="009255CB"/>
    <w:rsid w:val="00925B26"/>
    <w:rsid w:val="00925B4B"/>
    <w:rsid w:val="009260D3"/>
    <w:rsid w:val="009265B8"/>
    <w:rsid w:val="0092692D"/>
    <w:rsid w:val="009269D1"/>
    <w:rsid w:val="00926BED"/>
    <w:rsid w:val="00926D89"/>
    <w:rsid w:val="00926DC2"/>
    <w:rsid w:val="00926F31"/>
    <w:rsid w:val="00927120"/>
    <w:rsid w:val="0092735B"/>
    <w:rsid w:val="00927800"/>
    <w:rsid w:val="00930965"/>
    <w:rsid w:val="00930C62"/>
    <w:rsid w:val="00930FEF"/>
    <w:rsid w:val="00931593"/>
    <w:rsid w:val="0093170C"/>
    <w:rsid w:val="00931958"/>
    <w:rsid w:val="00931AF5"/>
    <w:rsid w:val="00931B99"/>
    <w:rsid w:val="00931E63"/>
    <w:rsid w:val="00931EB3"/>
    <w:rsid w:val="0093218B"/>
    <w:rsid w:val="0093225B"/>
    <w:rsid w:val="009324DA"/>
    <w:rsid w:val="00932594"/>
    <w:rsid w:val="00932A99"/>
    <w:rsid w:val="00932BBC"/>
    <w:rsid w:val="00933025"/>
    <w:rsid w:val="0093328F"/>
    <w:rsid w:val="009332D8"/>
    <w:rsid w:val="009334CF"/>
    <w:rsid w:val="00933954"/>
    <w:rsid w:val="00933C39"/>
    <w:rsid w:val="00933CA5"/>
    <w:rsid w:val="0093418C"/>
    <w:rsid w:val="009345D2"/>
    <w:rsid w:val="009346D6"/>
    <w:rsid w:val="009346EF"/>
    <w:rsid w:val="00934A87"/>
    <w:rsid w:val="009351E6"/>
    <w:rsid w:val="00935406"/>
    <w:rsid w:val="00935821"/>
    <w:rsid w:val="00935B3B"/>
    <w:rsid w:val="00935CF6"/>
    <w:rsid w:val="00935E14"/>
    <w:rsid w:val="00935F15"/>
    <w:rsid w:val="00935F65"/>
    <w:rsid w:val="00936238"/>
    <w:rsid w:val="0093658B"/>
    <w:rsid w:val="00936DF4"/>
    <w:rsid w:val="009372AF"/>
    <w:rsid w:val="00937439"/>
    <w:rsid w:val="00937561"/>
    <w:rsid w:val="00937A03"/>
    <w:rsid w:val="00937EFC"/>
    <w:rsid w:val="0094012E"/>
    <w:rsid w:val="009402E8"/>
    <w:rsid w:val="009405FD"/>
    <w:rsid w:val="009406EB"/>
    <w:rsid w:val="00940832"/>
    <w:rsid w:val="009409FB"/>
    <w:rsid w:val="00940C90"/>
    <w:rsid w:val="00941318"/>
    <w:rsid w:val="00941365"/>
    <w:rsid w:val="00941763"/>
    <w:rsid w:val="00941B3D"/>
    <w:rsid w:val="00941CE0"/>
    <w:rsid w:val="00941E28"/>
    <w:rsid w:val="00942AC2"/>
    <w:rsid w:val="00942C2D"/>
    <w:rsid w:val="00942EE7"/>
    <w:rsid w:val="00942FC5"/>
    <w:rsid w:val="00943098"/>
    <w:rsid w:val="0094309B"/>
    <w:rsid w:val="0094384A"/>
    <w:rsid w:val="00943951"/>
    <w:rsid w:val="00943BB0"/>
    <w:rsid w:val="00943C24"/>
    <w:rsid w:val="00943F15"/>
    <w:rsid w:val="00944ACE"/>
    <w:rsid w:val="00944E8A"/>
    <w:rsid w:val="0094516C"/>
    <w:rsid w:val="00945D87"/>
    <w:rsid w:val="00946491"/>
    <w:rsid w:val="009464FB"/>
    <w:rsid w:val="009469A5"/>
    <w:rsid w:val="009469F6"/>
    <w:rsid w:val="00946B52"/>
    <w:rsid w:val="0094704D"/>
    <w:rsid w:val="00947110"/>
    <w:rsid w:val="009471DE"/>
    <w:rsid w:val="00947283"/>
    <w:rsid w:val="00947798"/>
    <w:rsid w:val="009479E3"/>
    <w:rsid w:val="00947EBA"/>
    <w:rsid w:val="009500E5"/>
    <w:rsid w:val="009501BD"/>
    <w:rsid w:val="00950674"/>
    <w:rsid w:val="00950F63"/>
    <w:rsid w:val="00951006"/>
    <w:rsid w:val="0095100B"/>
    <w:rsid w:val="00951049"/>
    <w:rsid w:val="009510B1"/>
    <w:rsid w:val="0095135E"/>
    <w:rsid w:val="0095166C"/>
    <w:rsid w:val="00951739"/>
    <w:rsid w:val="00951B6A"/>
    <w:rsid w:val="00951F1D"/>
    <w:rsid w:val="00951F74"/>
    <w:rsid w:val="0095206F"/>
    <w:rsid w:val="009521D8"/>
    <w:rsid w:val="0095221D"/>
    <w:rsid w:val="00952A9B"/>
    <w:rsid w:val="00953220"/>
    <w:rsid w:val="0095325C"/>
    <w:rsid w:val="00953617"/>
    <w:rsid w:val="00953C09"/>
    <w:rsid w:val="00953D68"/>
    <w:rsid w:val="00953EEA"/>
    <w:rsid w:val="0095452B"/>
    <w:rsid w:val="0095498E"/>
    <w:rsid w:val="00954B36"/>
    <w:rsid w:val="00954C27"/>
    <w:rsid w:val="00954FBD"/>
    <w:rsid w:val="0095518F"/>
    <w:rsid w:val="009551C0"/>
    <w:rsid w:val="0095522C"/>
    <w:rsid w:val="009553FA"/>
    <w:rsid w:val="009558A3"/>
    <w:rsid w:val="00955930"/>
    <w:rsid w:val="0095594D"/>
    <w:rsid w:val="00955B5A"/>
    <w:rsid w:val="00955C4D"/>
    <w:rsid w:val="00955D83"/>
    <w:rsid w:val="0095666D"/>
    <w:rsid w:val="00956BFD"/>
    <w:rsid w:val="00957CEC"/>
    <w:rsid w:val="00957E4E"/>
    <w:rsid w:val="00960094"/>
    <w:rsid w:val="00960666"/>
    <w:rsid w:val="00960918"/>
    <w:rsid w:val="00960C65"/>
    <w:rsid w:val="00960D1F"/>
    <w:rsid w:val="009612BD"/>
    <w:rsid w:val="009613AA"/>
    <w:rsid w:val="00961402"/>
    <w:rsid w:val="00962428"/>
    <w:rsid w:val="00962482"/>
    <w:rsid w:val="00962F52"/>
    <w:rsid w:val="009637F2"/>
    <w:rsid w:val="00963860"/>
    <w:rsid w:val="0096389D"/>
    <w:rsid w:val="00963FF8"/>
    <w:rsid w:val="009645A6"/>
    <w:rsid w:val="009649D0"/>
    <w:rsid w:val="00964D87"/>
    <w:rsid w:val="00965106"/>
    <w:rsid w:val="00965147"/>
    <w:rsid w:val="00965386"/>
    <w:rsid w:val="0096559A"/>
    <w:rsid w:val="00965ABE"/>
    <w:rsid w:val="009661C0"/>
    <w:rsid w:val="00966442"/>
    <w:rsid w:val="009667BA"/>
    <w:rsid w:val="00967217"/>
    <w:rsid w:val="009673A4"/>
    <w:rsid w:val="009673AD"/>
    <w:rsid w:val="00967469"/>
    <w:rsid w:val="00967A89"/>
    <w:rsid w:val="00967ABB"/>
    <w:rsid w:val="00967B31"/>
    <w:rsid w:val="00970213"/>
    <w:rsid w:val="0097031B"/>
    <w:rsid w:val="009708CE"/>
    <w:rsid w:val="00970D97"/>
    <w:rsid w:val="00970E6B"/>
    <w:rsid w:val="00971086"/>
    <w:rsid w:val="00971680"/>
    <w:rsid w:val="009717A0"/>
    <w:rsid w:val="00971B6B"/>
    <w:rsid w:val="00972045"/>
    <w:rsid w:val="00972192"/>
    <w:rsid w:val="00972374"/>
    <w:rsid w:val="0097257D"/>
    <w:rsid w:val="009742B1"/>
    <w:rsid w:val="00974BB2"/>
    <w:rsid w:val="00974DEC"/>
    <w:rsid w:val="00975106"/>
    <w:rsid w:val="00975557"/>
    <w:rsid w:val="00975746"/>
    <w:rsid w:val="00975C76"/>
    <w:rsid w:val="00975C9F"/>
    <w:rsid w:val="00976478"/>
    <w:rsid w:val="00976564"/>
    <w:rsid w:val="00976594"/>
    <w:rsid w:val="009767FF"/>
    <w:rsid w:val="00976E7E"/>
    <w:rsid w:val="00977202"/>
    <w:rsid w:val="009773E1"/>
    <w:rsid w:val="009776B8"/>
    <w:rsid w:val="009776DF"/>
    <w:rsid w:val="00977885"/>
    <w:rsid w:val="00977A67"/>
    <w:rsid w:val="00977F80"/>
    <w:rsid w:val="00980369"/>
    <w:rsid w:val="009806A5"/>
    <w:rsid w:val="00980E43"/>
    <w:rsid w:val="00980F08"/>
    <w:rsid w:val="00982247"/>
    <w:rsid w:val="00982272"/>
    <w:rsid w:val="00982277"/>
    <w:rsid w:val="00982DC3"/>
    <w:rsid w:val="00982FF5"/>
    <w:rsid w:val="00983183"/>
    <w:rsid w:val="00983292"/>
    <w:rsid w:val="00983536"/>
    <w:rsid w:val="0098353E"/>
    <w:rsid w:val="0098365C"/>
    <w:rsid w:val="009839C0"/>
    <w:rsid w:val="00983CED"/>
    <w:rsid w:val="009849E8"/>
    <w:rsid w:val="00984CEA"/>
    <w:rsid w:val="009854A7"/>
    <w:rsid w:val="00985812"/>
    <w:rsid w:val="00985908"/>
    <w:rsid w:val="00985941"/>
    <w:rsid w:val="009859E6"/>
    <w:rsid w:val="00985A5D"/>
    <w:rsid w:val="00986ABF"/>
    <w:rsid w:val="00986C80"/>
    <w:rsid w:val="009879D4"/>
    <w:rsid w:val="00987CF7"/>
    <w:rsid w:val="00990205"/>
    <w:rsid w:val="00990280"/>
    <w:rsid w:val="00990595"/>
    <w:rsid w:val="0099062F"/>
    <w:rsid w:val="00990B0E"/>
    <w:rsid w:val="00990FFA"/>
    <w:rsid w:val="009914A2"/>
    <w:rsid w:val="00991BE9"/>
    <w:rsid w:val="00992044"/>
    <w:rsid w:val="009921D6"/>
    <w:rsid w:val="00992388"/>
    <w:rsid w:val="009925A3"/>
    <w:rsid w:val="0099260E"/>
    <w:rsid w:val="00992AC1"/>
    <w:rsid w:val="00992BBB"/>
    <w:rsid w:val="00992CA0"/>
    <w:rsid w:val="00992D8E"/>
    <w:rsid w:val="00992DAF"/>
    <w:rsid w:val="00993330"/>
    <w:rsid w:val="00993813"/>
    <w:rsid w:val="00994098"/>
    <w:rsid w:val="00994513"/>
    <w:rsid w:val="00994912"/>
    <w:rsid w:val="009949A7"/>
    <w:rsid w:val="00994A25"/>
    <w:rsid w:val="00994AA0"/>
    <w:rsid w:val="00994B7D"/>
    <w:rsid w:val="00994CE6"/>
    <w:rsid w:val="00994CEA"/>
    <w:rsid w:val="00995A37"/>
    <w:rsid w:val="00995B2A"/>
    <w:rsid w:val="00995BDD"/>
    <w:rsid w:val="00995E74"/>
    <w:rsid w:val="00996050"/>
    <w:rsid w:val="00996102"/>
    <w:rsid w:val="00996497"/>
    <w:rsid w:val="00996825"/>
    <w:rsid w:val="0099689E"/>
    <w:rsid w:val="00996C94"/>
    <w:rsid w:val="00997098"/>
    <w:rsid w:val="00997109"/>
    <w:rsid w:val="00997143"/>
    <w:rsid w:val="00997198"/>
    <w:rsid w:val="0099740E"/>
    <w:rsid w:val="009974A0"/>
    <w:rsid w:val="009976B3"/>
    <w:rsid w:val="00997740"/>
    <w:rsid w:val="00997FAD"/>
    <w:rsid w:val="009A049A"/>
    <w:rsid w:val="009A055F"/>
    <w:rsid w:val="009A07EE"/>
    <w:rsid w:val="009A0A1D"/>
    <w:rsid w:val="009A107A"/>
    <w:rsid w:val="009A1558"/>
    <w:rsid w:val="009A19F0"/>
    <w:rsid w:val="009A1A95"/>
    <w:rsid w:val="009A1BB1"/>
    <w:rsid w:val="009A1E9C"/>
    <w:rsid w:val="009A2274"/>
    <w:rsid w:val="009A2338"/>
    <w:rsid w:val="009A235F"/>
    <w:rsid w:val="009A2609"/>
    <w:rsid w:val="009A27C1"/>
    <w:rsid w:val="009A29C8"/>
    <w:rsid w:val="009A2A75"/>
    <w:rsid w:val="009A2A93"/>
    <w:rsid w:val="009A2B8E"/>
    <w:rsid w:val="009A2EA7"/>
    <w:rsid w:val="009A31F5"/>
    <w:rsid w:val="009A39A2"/>
    <w:rsid w:val="009A3AD6"/>
    <w:rsid w:val="009A3E94"/>
    <w:rsid w:val="009A4327"/>
    <w:rsid w:val="009A4D74"/>
    <w:rsid w:val="009A57D0"/>
    <w:rsid w:val="009A5B13"/>
    <w:rsid w:val="009A5FEC"/>
    <w:rsid w:val="009A6254"/>
    <w:rsid w:val="009A6A74"/>
    <w:rsid w:val="009A73B9"/>
    <w:rsid w:val="009A75E0"/>
    <w:rsid w:val="009A79AB"/>
    <w:rsid w:val="009B009F"/>
    <w:rsid w:val="009B041A"/>
    <w:rsid w:val="009B06E0"/>
    <w:rsid w:val="009B0A68"/>
    <w:rsid w:val="009B0A84"/>
    <w:rsid w:val="009B0D8D"/>
    <w:rsid w:val="009B0D99"/>
    <w:rsid w:val="009B10C3"/>
    <w:rsid w:val="009B127B"/>
    <w:rsid w:val="009B174F"/>
    <w:rsid w:val="009B1CEB"/>
    <w:rsid w:val="009B2214"/>
    <w:rsid w:val="009B2365"/>
    <w:rsid w:val="009B274D"/>
    <w:rsid w:val="009B2F1F"/>
    <w:rsid w:val="009B2F6F"/>
    <w:rsid w:val="009B309C"/>
    <w:rsid w:val="009B32FE"/>
    <w:rsid w:val="009B3505"/>
    <w:rsid w:val="009B37A5"/>
    <w:rsid w:val="009B38E7"/>
    <w:rsid w:val="009B3DA4"/>
    <w:rsid w:val="009B41B8"/>
    <w:rsid w:val="009B43B8"/>
    <w:rsid w:val="009B47B1"/>
    <w:rsid w:val="009B49FF"/>
    <w:rsid w:val="009B4B61"/>
    <w:rsid w:val="009B4D02"/>
    <w:rsid w:val="009B4EA4"/>
    <w:rsid w:val="009B507F"/>
    <w:rsid w:val="009B5153"/>
    <w:rsid w:val="009B559F"/>
    <w:rsid w:val="009B5C85"/>
    <w:rsid w:val="009B623C"/>
    <w:rsid w:val="009B6342"/>
    <w:rsid w:val="009B673B"/>
    <w:rsid w:val="009B68CA"/>
    <w:rsid w:val="009B6DD3"/>
    <w:rsid w:val="009B6FCE"/>
    <w:rsid w:val="009B70A5"/>
    <w:rsid w:val="009B76DE"/>
    <w:rsid w:val="009B7BEF"/>
    <w:rsid w:val="009B7F09"/>
    <w:rsid w:val="009C0696"/>
    <w:rsid w:val="009C0929"/>
    <w:rsid w:val="009C0993"/>
    <w:rsid w:val="009C0DCC"/>
    <w:rsid w:val="009C0EB4"/>
    <w:rsid w:val="009C0F7C"/>
    <w:rsid w:val="009C11B2"/>
    <w:rsid w:val="009C194A"/>
    <w:rsid w:val="009C274F"/>
    <w:rsid w:val="009C32C6"/>
    <w:rsid w:val="009C34A1"/>
    <w:rsid w:val="009C387D"/>
    <w:rsid w:val="009C38E2"/>
    <w:rsid w:val="009C3A46"/>
    <w:rsid w:val="009C44A8"/>
    <w:rsid w:val="009C4BDC"/>
    <w:rsid w:val="009C4DB3"/>
    <w:rsid w:val="009C4FA4"/>
    <w:rsid w:val="009C5527"/>
    <w:rsid w:val="009C5570"/>
    <w:rsid w:val="009C55F4"/>
    <w:rsid w:val="009C5CCE"/>
    <w:rsid w:val="009C5E41"/>
    <w:rsid w:val="009C5F9F"/>
    <w:rsid w:val="009C6095"/>
    <w:rsid w:val="009C61A2"/>
    <w:rsid w:val="009C6642"/>
    <w:rsid w:val="009C6690"/>
    <w:rsid w:val="009C672D"/>
    <w:rsid w:val="009C6A05"/>
    <w:rsid w:val="009C6A7C"/>
    <w:rsid w:val="009C6C88"/>
    <w:rsid w:val="009C717B"/>
    <w:rsid w:val="009C7374"/>
    <w:rsid w:val="009C7574"/>
    <w:rsid w:val="009C77C2"/>
    <w:rsid w:val="009C78AF"/>
    <w:rsid w:val="009C7908"/>
    <w:rsid w:val="009C7A23"/>
    <w:rsid w:val="009C7D40"/>
    <w:rsid w:val="009D061C"/>
    <w:rsid w:val="009D063E"/>
    <w:rsid w:val="009D08C7"/>
    <w:rsid w:val="009D0909"/>
    <w:rsid w:val="009D0AA5"/>
    <w:rsid w:val="009D0B7B"/>
    <w:rsid w:val="009D11C9"/>
    <w:rsid w:val="009D19EF"/>
    <w:rsid w:val="009D2421"/>
    <w:rsid w:val="009D27F1"/>
    <w:rsid w:val="009D27F4"/>
    <w:rsid w:val="009D2F39"/>
    <w:rsid w:val="009D32A2"/>
    <w:rsid w:val="009D41B3"/>
    <w:rsid w:val="009D439F"/>
    <w:rsid w:val="009D446E"/>
    <w:rsid w:val="009D45FC"/>
    <w:rsid w:val="009D4638"/>
    <w:rsid w:val="009D4A0E"/>
    <w:rsid w:val="009D4AC8"/>
    <w:rsid w:val="009D4C8D"/>
    <w:rsid w:val="009D4EB3"/>
    <w:rsid w:val="009D5200"/>
    <w:rsid w:val="009D5720"/>
    <w:rsid w:val="009D5EB2"/>
    <w:rsid w:val="009D68FE"/>
    <w:rsid w:val="009D7164"/>
    <w:rsid w:val="009D730B"/>
    <w:rsid w:val="009D7428"/>
    <w:rsid w:val="009D7B3D"/>
    <w:rsid w:val="009D7CCC"/>
    <w:rsid w:val="009E0967"/>
    <w:rsid w:val="009E0A0B"/>
    <w:rsid w:val="009E0C47"/>
    <w:rsid w:val="009E0E2B"/>
    <w:rsid w:val="009E18F1"/>
    <w:rsid w:val="009E1C28"/>
    <w:rsid w:val="009E1C84"/>
    <w:rsid w:val="009E1F9E"/>
    <w:rsid w:val="009E268C"/>
    <w:rsid w:val="009E28B2"/>
    <w:rsid w:val="009E28C1"/>
    <w:rsid w:val="009E29A6"/>
    <w:rsid w:val="009E2BE4"/>
    <w:rsid w:val="009E2E37"/>
    <w:rsid w:val="009E3B5D"/>
    <w:rsid w:val="009E3C1A"/>
    <w:rsid w:val="009E3F4E"/>
    <w:rsid w:val="009E41AE"/>
    <w:rsid w:val="009E4321"/>
    <w:rsid w:val="009E44B9"/>
    <w:rsid w:val="009E458F"/>
    <w:rsid w:val="009E4695"/>
    <w:rsid w:val="009E491B"/>
    <w:rsid w:val="009E4D9E"/>
    <w:rsid w:val="009E52CF"/>
    <w:rsid w:val="009E546B"/>
    <w:rsid w:val="009E5791"/>
    <w:rsid w:val="009E5864"/>
    <w:rsid w:val="009E5A29"/>
    <w:rsid w:val="009E5AC2"/>
    <w:rsid w:val="009E5B07"/>
    <w:rsid w:val="009E5C03"/>
    <w:rsid w:val="009E5DA8"/>
    <w:rsid w:val="009E65B2"/>
    <w:rsid w:val="009E6737"/>
    <w:rsid w:val="009E6B33"/>
    <w:rsid w:val="009E7017"/>
    <w:rsid w:val="009E710D"/>
    <w:rsid w:val="009E742A"/>
    <w:rsid w:val="009E74A1"/>
    <w:rsid w:val="009E7C5C"/>
    <w:rsid w:val="009F04EF"/>
    <w:rsid w:val="009F069F"/>
    <w:rsid w:val="009F0A41"/>
    <w:rsid w:val="009F1570"/>
    <w:rsid w:val="009F15E6"/>
    <w:rsid w:val="009F1F82"/>
    <w:rsid w:val="009F1F91"/>
    <w:rsid w:val="009F1FB6"/>
    <w:rsid w:val="009F24C0"/>
    <w:rsid w:val="009F29BB"/>
    <w:rsid w:val="009F2A1F"/>
    <w:rsid w:val="009F30E7"/>
    <w:rsid w:val="009F3254"/>
    <w:rsid w:val="009F383A"/>
    <w:rsid w:val="009F42CF"/>
    <w:rsid w:val="009F466D"/>
    <w:rsid w:val="009F468F"/>
    <w:rsid w:val="009F46A0"/>
    <w:rsid w:val="009F4971"/>
    <w:rsid w:val="009F4E16"/>
    <w:rsid w:val="009F599B"/>
    <w:rsid w:val="009F59F0"/>
    <w:rsid w:val="009F6084"/>
    <w:rsid w:val="009F6C0A"/>
    <w:rsid w:val="009F756B"/>
    <w:rsid w:val="009F7860"/>
    <w:rsid w:val="009F7940"/>
    <w:rsid w:val="009F7B65"/>
    <w:rsid w:val="00A00400"/>
    <w:rsid w:val="00A00727"/>
    <w:rsid w:val="00A0097E"/>
    <w:rsid w:val="00A0103B"/>
    <w:rsid w:val="00A010C3"/>
    <w:rsid w:val="00A010E1"/>
    <w:rsid w:val="00A0130B"/>
    <w:rsid w:val="00A013EE"/>
    <w:rsid w:val="00A01668"/>
    <w:rsid w:val="00A0172B"/>
    <w:rsid w:val="00A01B44"/>
    <w:rsid w:val="00A02014"/>
    <w:rsid w:val="00A02575"/>
    <w:rsid w:val="00A027FC"/>
    <w:rsid w:val="00A029DA"/>
    <w:rsid w:val="00A02AD1"/>
    <w:rsid w:val="00A02B6C"/>
    <w:rsid w:val="00A02BF1"/>
    <w:rsid w:val="00A03B2F"/>
    <w:rsid w:val="00A03C4D"/>
    <w:rsid w:val="00A04107"/>
    <w:rsid w:val="00A04333"/>
    <w:rsid w:val="00A04A44"/>
    <w:rsid w:val="00A04B50"/>
    <w:rsid w:val="00A04B6C"/>
    <w:rsid w:val="00A04BA1"/>
    <w:rsid w:val="00A05114"/>
    <w:rsid w:val="00A0537F"/>
    <w:rsid w:val="00A057C0"/>
    <w:rsid w:val="00A05AE8"/>
    <w:rsid w:val="00A06A89"/>
    <w:rsid w:val="00A06AD6"/>
    <w:rsid w:val="00A06B7E"/>
    <w:rsid w:val="00A06CDF"/>
    <w:rsid w:val="00A06E2B"/>
    <w:rsid w:val="00A06F8E"/>
    <w:rsid w:val="00A07061"/>
    <w:rsid w:val="00A0714E"/>
    <w:rsid w:val="00A075C5"/>
    <w:rsid w:val="00A076E1"/>
    <w:rsid w:val="00A0773C"/>
    <w:rsid w:val="00A078BA"/>
    <w:rsid w:val="00A07A4B"/>
    <w:rsid w:val="00A07A7A"/>
    <w:rsid w:val="00A07C21"/>
    <w:rsid w:val="00A07C53"/>
    <w:rsid w:val="00A07F32"/>
    <w:rsid w:val="00A07FF3"/>
    <w:rsid w:val="00A101A1"/>
    <w:rsid w:val="00A10A38"/>
    <w:rsid w:val="00A10B70"/>
    <w:rsid w:val="00A10BA4"/>
    <w:rsid w:val="00A10FE4"/>
    <w:rsid w:val="00A111ED"/>
    <w:rsid w:val="00A11869"/>
    <w:rsid w:val="00A11B1F"/>
    <w:rsid w:val="00A11C05"/>
    <w:rsid w:val="00A11CAA"/>
    <w:rsid w:val="00A12E15"/>
    <w:rsid w:val="00A131AF"/>
    <w:rsid w:val="00A1322C"/>
    <w:rsid w:val="00A13235"/>
    <w:rsid w:val="00A133DA"/>
    <w:rsid w:val="00A134D5"/>
    <w:rsid w:val="00A13532"/>
    <w:rsid w:val="00A137D3"/>
    <w:rsid w:val="00A13CC5"/>
    <w:rsid w:val="00A13F43"/>
    <w:rsid w:val="00A141DF"/>
    <w:rsid w:val="00A142F4"/>
    <w:rsid w:val="00A14788"/>
    <w:rsid w:val="00A14951"/>
    <w:rsid w:val="00A14BD2"/>
    <w:rsid w:val="00A14CA2"/>
    <w:rsid w:val="00A14E66"/>
    <w:rsid w:val="00A15C6A"/>
    <w:rsid w:val="00A15CCF"/>
    <w:rsid w:val="00A1602A"/>
    <w:rsid w:val="00A160C5"/>
    <w:rsid w:val="00A169E7"/>
    <w:rsid w:val="00A169FD"/>
    <w:rsid w:val="00A16A83"/>
    <w:rsid w:val="00A16C85"/>
    <w:rsid w:val="00A16EF3"/>
    <w:rsid w:val="00A170C8"/>
    <w:rsid w:val="00A17573"/>
    <w:rsid w:val="00A17960"/>
    <w:rsid w:val="00A17B55"/>
    <w:rsid w:val="00A17D8F"/>
    <w:rsid w:val="00A203D3"/>
    <w:rsid w:val="00A2043A"/>
    <w:rsid w:val="00A20640"/>
    <w:rsid w:val="00A207BE"/>
    <w:rsid w:val="00A20B11"/>
    <w:rsid w:val="00A20B38"/>
    <w:rsid w:val="00A213FA"/>
    <w:rsid w:val="00A21428"/>
    <w:rsid w:val="00A21C31"/>
    <w:rsid w:val="00A21DC4"/>
    <w:rsid w:val="00A21DD9"/>
    <w:rsid w:val="00A222BF"/>
    <w:rsid w:val="00A2270B"/>
    <w:rsid w:val="00A22965"/>
    <w:rsid w:val="00A22D3B"/>
    <w:rsid w:val="00A22F24"/>
    <w:rsid w:val="00A23ABF"/>
    <w:rsid w:val="00A24016"/>
    <w:rsid w:val="00A244C5"/>
    <w:rsid w:val="00A245A2"/>
    <w:rsid w:val="00A24831"/>
    <w:rsid w:val="00A24DC3"/>
    <w:rsid w:val="00A25621"/>
    <w:rsid w:val="00A259B7"/>
    <w:rsid w:val="00A260CD"/>
    <w:rsid w:val="00A26428"/>
    <w:rsid w:val="00A264E7"/>
    <w:rsid w:val="00A26813"/>
    <w:rsid w:val="00A26858"/>
    <w:rsid w:val="00A269E4"/>
    <w:rsid w:val="00A276D7"/>
    <w:rsid w:val="00A2789B"/>
    <w:rsid w:val="00A27992"/>
    <w:rsid w:val="00A30278"/>
    <w:rsid w:val="00A30329"/>
    <w:rsid w:val="00A30580"/>
    <w:rsid w:val="00A30583"/>
    <w:rsid w:val="00A30808"/>
    <w:rsid w:val="00A30919"/>
    <w:rsid w:val="00A30B26"/>
    <w:rsid w:val="00A30C8A"/>
    <w:rsid w:val="00A30D4C"/>
    <w:rsid w:val="00A3109A"/>
    <w:rsid w:val="00A3112F"/>
    <w:rsid w:val="00A3170E"/>
    <w:rsid w:val="00A318DC"/>
    <w:rsid w:val="00A31A4E"/>
    <w:rsid w:val="00A31AF6"/>
    <w:rsid w:val="00A31E5E"/>
    <w:rsid w:val="00A32167"/>
    <w:rsid w:val="00A32243"/>
    <w:rsid w:val="00A3269B"/>
    <w:rsid w:val="00A32E0C"/>
    <w:rsid w:val="00A33495"/>
    <w:rsid w:val="00A33EBE"/>
    <w:rsid w:val="00A33F44"/>
    <w:rsid w:val="00A33F70"/>
    <w:rsid w:val="00A33FBF"/>
    <w:rsid w:val="00A345C3"/>
    <w:rsid w:val="00A34A3A"/>
    <w:rsid w:val="00A3519C"/>
    <w:rsid w:val="00A352A7"/>
    <w:rsid w:val="00A3644C"/>
    <w:rsid w:val="00A36703"/>
    <w:rsid w:val="00A36D60"/>
    <w:rsid w:val="00A36E68"/>
    <w:rsid w:val="00A37151"/>
    <w:rsid w:val="00A37432"/>
    <w:rsid w:val="00A375DD"/>
    <w:rsid w:val="00A37A6D"/>
    <w:rsid w:val="00A37D69"/>
    <w:rsid w:val="00A37FF0"/>
    <w:rsid w:val="00A40238"/>
    <w:rsid w:val="00A4046F"/>
    <w:rsid w:val="00A408D6"/>
    <w:rsid w:val="00A40C16"/>
    <w:rsid w:val="00A40EFF"/>
    <w:rsid w:val="00A41152"/>
    <w:rsid w:val="00A41309"/>
    <w:rsid w:val="00A413F7"/>
    <w:rsid w:val="00A41747"/>
    <w:rsid w:val="00A4183F"/>
    <w:rsid w:val="00A41A9B"/>
    <w:rsid w:val="00A41C7A"/>
    <w:rsid w:val="00A41DE1"/>
    <w:rsid w:val="00A41E52"/>
    <w:rsid w:val="00A41F3D"/>
    <w:rsid w:val="00A41F60"/>
    <w:rsid w:val="00A4211F"/>
    <w:rsid w:val="00A423F2"/>
    <w:rsid w:val="00A424FF"/>
    <w:rsid w:val="00A42532"/>
    <w:rsid w:val="00A42703"/>
    <w:rsid w:val="00A42754"/>
    <w:rsid w:val="00A42D6F"/>
    <w:rsid w:val="00A43214"/>
    <w:rsid w:val="00A4380F"/>
    <w:rsid w:val="00A43C3B"/>
    <w:rsid w:val="00A44DE3"/>
    <w:rsid w:val="00A450D2"/>
    <w:rsid w:val="00A45538"/>
    <w:rsid w:val="00A45D9F"/>
    <w:rsid w:val="00A45F75"/>
    <w:rsid w:val="00A463C4"/>
    <w:rsid w:val="00A46A9A"/>
    <w:rsid w:val="00A46F19"/>
    <w:rsid w:val="00A4727F"/>
    <w:rsid w:val="00A47813"/>
    <w:rsid w:val="00A478A5"/>
    <w:rsid w:val="00A47921"/>
    <w:rsid w:val="00A47AB2"/>
    <w:rsid w:val="00A47D1D"/>
    <w:rsid w:val="00A47F90"/>
    <w:rsid w:val="00A502C8"/>
    <w:rsid w:val="00A50362"/>
    <w:rsid w:val="00A50576"/>
    <w:rsid w:val="00A50871"/>
    <w:rsid w:val="00A509F5"/>
    <w:rsid w:val="00A50B71"/>
    <w:rsid w:val="00A51312"/>
    <w:rsid w:val="00A517F1"/>
    <w:rsid w:val="00A51AF8"/>
    <w:rsid w:val="00A51CA7"/>
    <w:rsid w:val="00A51EAA"/>
    <w:rsid w:val="00A520E1"/>
    <w:rsid w:val="00A52498"/>
    <w:rsid w:val="00A527AC"/>
    <w:rsid w:val="00A52C5B"/>
    <w:rsid w:val="00A53506"/>
    <w:rsid w:val="00A535A1"/>
    <w:rsid w:val="00A53706"/>
    <w:rsid w:val="00A539B9"/>
    <w:rsid w:val="00A53F22"/>
    <w:rsid w:val="00A54310"/>
    <w:rsid w:val="00A548AD"/>
    <w:rsid w:val="00A54D07"/>
    <w:rsid w:val="00A5503D"/>
    <w:rsid w:val="00A55178"/>
    <w:rsid w:val="00A558C0"/>
    <w:rsid w:val="00A55BEC"/>
    <w:rsid w:val="00A55CDD"/>
    <w:rsid w:val="00A56347"/>
    <w:rsid w:val="00A56770"/>
    <w:rsid w:val="00A5681D"/>
    <w:rsid w:val="00A56A22"/>
    <w:rsid w:val="00A56A2F"/>
    <w:rsid w:val="00A56B40"/>
    <w:rsid w:val="00A56D21"/>
    <w:rsid w:val="00A57499"/>
    <w:rsid w:val="00A57821"/>
    <w:rsid w:val="00A57B73"/>
    <w:rsid w:val="00A60004"/>
    <w:rsid w:val="00A6004A"/>
    <w:rsid w:val="00A602B3"/>
    <w:rsid w:val="00A607D3"/>
    <w:rsid w:val="00A608E7"/>
    <w:rsid w:val="00A60E0C"/>
    <w:rsid w:val="00A60E11"/>
    <w:rsid w:val="00A61A20"/>
    <w:rsid w:val="00A61B8E"/>
    <w:rsid w:val="00A61BAB"/>
    <w:rsid w:val="00A61E5A"/>
    <w:rsid w:val="00A623EB"/>
    <w:rsid w:val="00A62816"/>
    <w:rsid w:val="00A62817"/>
    <w:rsid w:val="00A62DEC"/>
    <w:rsid w:val="00A62EF0"/>
    <w:rsid w:val="00A631C7"/>
    <w:rsid w:val="00A6367F"/>
    <w:rsid w:val="00A63A3E"/>
    <w:rsid w:val="00A63EA0"/>
    <w:rsid w:val="00A63FAD"/>
    <w:rsid w:val="00A63FAE"/>
    <w:rsid w:val="00A6466A"/>
    <w:rsid w:val="00A65871"/>
    <w:rsid w:val="00A65B3C"/>
    <w:rsid w:val="00A65DC5"/>
    <w:rsid w:val="00A65DEE"/>
    <w:rsid w:val="00A6603E"/>
    <w:rsid w:val="00A6677F"/>
    <w:rsid w:val="00A66CC0"/>
    <w:rsid w:val="00A674BA"/>
    <w:rsid w:val="00A67582"/>
    <w:rsid w:val="00A676A8"/>
    <w:rsid w:val="00A67A43"/>
    <w:rsid w:val="00A67DBB"/>
    <w:rsid w:val="00A7042F"/>
    <w:rsid w:val="00A706DF"/>
    <w:rsid w:val="00A7075A"/>
    <w:rsid w:val="00A70771"/>
    <w:rsid w:val="00A7087F"/>
    <w:rsid w:val="00A70F75"/>
    <w:rsid w:val="00A72136"/>
    <w:rsid w:val="00A7284B"/>
    <w:rsid w:val="00A72B0F"/>
    <w:rsid w:val="00A72B81"/>
    <w:rsid w:val="00A72EFB"/>
    <w:rsid w:val="00A731B4"/>
    <w:rsid w:val="00A736A6"/>
    <w:rsid w:val="00A73988"/>
    <w:rsid w:val="00A740E3"/>
    <w:rsid w:val="00A740FA"/>
    <w:rsid w:val="00A74225"/>
    <w:rsid w:val="00A74354"/>
    <w:rsid w:val="00A74759"/>
    <w:rsid w:val="00A747EC"/>
    <w:rsid w:val="00A74D62"/>
    <w:rsid w:val="00A74D88"/>
    <w:rsid w:val="00A74DB0"/>
    <w:rsid w:val="00A757B5"/>
    <w:rsid w:val="00A75CDC"/>
    <w:rsid w:val="00A7676E"/>
    <w:rsid w:val="00A76C0A"/>
    <w:rsid w:val="00A77052"/>
    <w:rsid w:val="00A774AA"/>
    <w:rsid w:val="00A77569"/>
    <w:rsid w:val="00A776B6"/>
    <w:rsid w:val="00A80121"/>
    <w:rsid w:val="00A80671"/>
    <w:rsid w:val="00A80748"/>
    <w:rsid w:val="00A80FB2"/>
    <w:rsid w:val="00A8106D"/>
    <w:rsid w:val="00A810C5"/>
    <w:rsid w:val="00A816A6"/>
    <w:rsid w:val="00A81853"/>
    <w:rsid w:val="00A8189B"/>
    <w:rsid w:val="00A81C0D"/>
    <w:rsid w:val="00A8227F"/>
    <w:rsid w:val="00A82527"/>
    <w:rsid w:val="00A829FC"/>
    <w:rsid w:val="00A82D51"/>
    <w:rsid w:val="00A83026"/>
    <w:rsid w:val="00A832AA"/>
    <w:rsid w:val="00A83516"/>
    <w:rsid w:val="00A83633"/>
    <w:rsid w:val="00A83B62"/>
    <w:rsid w:val="00A83D8F"/>
    <w:rsid w:val="00A84220"/>
    <w:rsid w:val="00A845E8"/>
    <w:rsid w:val="00A84789"/>
    <w:rsid w:val="00A84A39"/>
    <w:rsid w:val="00A84B8E"/>
    <w:rsid w:val="00A84E15"/>
    <w:rsid w:val="00A84E1F"/>
    <w:rsid w:val="00A84ED9"/>
    <w:rsid w:val="00A851B7"/>
    <w:rsid w:val="00A851FF"/>
    <w:rsid w:val="00A85639"/>
    <w:rsid w:val="00A859AA"/>
    <w:rsid w:val="00A85D4B"/>
    <w:rsid w:val="00A85E04"/>
    <w:rsid w:val="00A86505"/>
    <w:rsid w:val="00A8659F"/>
    <w:rsid w:val="00A868FA"/>
    <w:rsid w:val="00A86CAC"/>
    <w:rsid w:val="00A86F17"/>
    <w:rsid w:val="00A86F5A"/>
    <w:rsid w:val="00A870D7"/>
    <w:rsid w:val="00A87B12"/>
    <w:rsid w:val="00A87E1E"/>
    <w:rsid w:val="00A87E69"/>
    <w:rsid w:val="00A90044"/>
    <w:rsid w:val="00A9019A"/>
    <w:rsid w:val="00A903E3"/>
    <w:rsid w:val="00A90757"/>
    <w:rsid w:val="00A9089D"/>
    <w:rsid w:val="00A90AED"/>
    <w:rsid w:val="00A90CBD"/>
    <w:rsid w:val="00A91289"/>
    <w:rsid w:val="00A91A49"/>
    <w:rsid w:val="00A91DE5"/>
    <w:rsid w:val="00A91F00"/>
    <w:rsid w:val="00A91F0E"/>
    <w:rsid w:val="00A91FDF"/>
    <w:rsid w:val="00A9224D"/>
    <w:rsid w:val="00A923DB"/>
    <w:rsid w:val="00A92603"/>
    <w:rsid w:val="00A92E05"/>
    <w:rsid w:val="00A93417"/>
    <w:rsid w:val="00A9396A"/>
    <w:rsid w:val="00A93E7E"/>
    <w:rsid w:val="00A94055"/>
    <w:rsid w:val="00A940CE"/>
    <w:rsid w:val="00A94315"/>
    <w:rsid w:val="00A94429"/>
    <w:rsid w:val="00A94716"/>
    <w:rsid w:val="00A94799"/>
    <w:rsid w:val="00A949EB"/>
    <w:rsid w:val="00A94B98"/>
    <w:rsid w:val="00A951F8"/>
    <w:rsid w:val="00A953B3"/>
    <w:rsid w:val="00A95484"/>
    <w:rsid w:val="00A954CF"/>
    <w:rsid w:val="00A95986"/>
    <w:rsid w:val="00A95B0B"/>
    <w:rsid w:val="00A968C5"/>
    <w:rsid w:val="00A969DD"/>
    <w:rsid w:val="00A96F76"/>
    <w:rsid w:val="00A9741B"/>
    <w:rsid w:val="00A976BB"/>
    <w:rsid w:val="00A97916"/>
    <w:rsid w:val="00A97D79"/>
    <w:rsid w:val="00A97F48"/>
    <w:rsid w:val="00AA0065"/>
    <w:rsid w:val="00AA0642"/>
    <w:rsid w:val="00AA09C6"/>
    <w:rsid w:val="00AA0A85"/>
    <w:rsid w:val="00AA0F95"/>
    <w:rsid w:val="00AA1048"/>
    <w:rsid w:val="00AA1340"/>
    <w:rsid w:val="00AA139F"/>
    <w:rsid w:val="00AA13E2"/>
    <w:rsid w:val="00AA1474"/>
    <w:rsid w:val="00AA1AF4"/>
    <w:rsid w:val="00AA1EB8"/>
    <w:rsid w:val="00AA2272"/>
    <w:rsid w:val="00AA2534"/>
    <w:rsid w:val="00AA25E4"/>
    <w:rsid w:val="00AA2668"/>
    <w:rsid w:val="00AA29EC"/>
    <w:rsid w:val="00AA2A26"/>
    <w:rsid w:val="00AA2B25"/>
    <w:rsid w:val="00AA2DA9"/>
    <w:rsid w:val="00AA307B"/>
    <w:rsid w:val="00AA348D"/>
    <w:rsid w:val="00AA3529"/>
    <w:rsid w:val="00AA38F8"/>
    <w:rsid w:val="00AA3D87"/>
    <w:rsid w:val="00AA3E6F"/>
    <w:rsid w:val="00AA4350"/>
    <w:rsid w:val="00AA4555"/>
    <w:rsid w:val="00AA4945"/>
    <w:rsid w:val="00AA4993"/>
    <w:rsid w:val="00AA49F7"/>
    <w:rsid w:val="00AA4B95"/>
    <w:rsid w:val="00AA50E3"/>
    <w:rsid w:val="00AA57B8"/>
    <w:rsid w:val="00AA59D7"/>
    <w:rsid w:val="00AA5A06"/>
    <w:rsid w:val="00AA5A2A"/>
    <w:rsid w:val="00AA5B5E"/>
    <w:rsid w:val="00AA6184"/>
    <w:rsid w:val="00AA648A"/>
    <w:rsid w:val="00AA65D9"/>
    <w:rsid w:val="00AA6703"/>
    <w:rsid w:val="00AA6865"/>
    <w:rsid w:val="00AA6B8E"/>
    <w:rsid w:val="00AA6C8C"/>
    <w:rsid w:val="00AA6DE6"/>
    <w:rsid w:val="00AA7078"/>
    <w:rsid w:val="00AA7138"/>
    <w:rsid w:val="00AA73EA"/>
    <w:rsid w:val="00AA7403"/>
    <w:rsid w:val="00AA777B"/>
    <w:rsid w:val="00AA7990"/>
    <w:rsid w:val="00AA7A9A"/>
    <w:rsid w:val="00AA7C68"/>
    <w:rsid w:val="00AA7E37"/>
    <w:rsid w:val="00AB039A"/>
    <w:rsid w:val="00AB064E"/>
    <w:rsid w:val="00AB0968"/>
    <w:rsid w:val="00AB0BCC"/>
    <w:rsid w:val="00AB15F0"/>
    <w:rsid w:val="00AB18C8"/>
    <w:rsid w:val="00AB2143"/>
    <w:rsid w:val="00AB25FD"/>
    <w:rsid w:val="00AB2692"/>
    <w:rsid w:val="00AB27FF"/>
    <w:rsid w:val="00AB2A84"/>
    <w:rsid w:val="00AB2B66"/>
    <w:rsid w:val="00AB3160"/>
    <w:rsid w:val="00AB4000"/>
    <w:rsid w:val="00AB43E1"/>
    <w:rsid w:val="00AB44B4"/>
    <w:rsid w:val="00AB46F8"/>
    <w:rsid w:val="00AB495C"/>
    <w:rsid w:val="00AB4D64"/>
    <w:rsid w:val="00AB58A7"/>
    <w:rsid w:val="00AB5968"/>
    <w:rsid w:val="00AB5B42"/>
    <w:rsid w:val="00AB650C"/>
    <w:rsid w:val="00AB6A2D"/>
    <w:rsid w:val="00AB6A63"/>
    <w:rsid w:val="00AB6FE4"/>
    <w:rsid w:val="00AB70A5"/>
    <w:rsid w:val="00AB7A90"/>
    <w:rsid w:val="00AB7AF7"/>
    <w:rsid w:val="00AB7B8A"/>
    <w:rsid w:val="00AC048B"/>
    <w:rsid w:val="00AC092A"/>
    <w:rsid w:val="00AC0BC0"/>
    <w:rsid w:val="00AC1035"/>
    <w:rsid w:val="00AC123E"/>
    <w:rsid w:val="00AC183A"/>
    <w:rsid w:val="00AC3657"/>
    <w:rsid w:val="00AC38B7"/>
    <w:rsid w:val="00AC392D"/>
    <w:rsid w:val="00AC3CF4"/>
    <w:rsid w:val="00AC407D"/>
    <w:rsid w:val="00AC4407"/>
    <w:rsid w:val="00AC49DF"/>
    <w:rsid w:val="00AC5676"/>
    <w:rsid w:val="00AC57E3"/>
    <w:rsid w:val="00AC6BB5"/>
    <w:rsid w:val="00AC6C04"/>
    <w:rsid w:val="00AC6C49"/>
    <w:rsid w:val="00AC7013"/>
    <w:rsid w:val="00AC7A11"/>
    <w:rsid w:val="00AC7B04"/>
    <w:rsid w:val="00AD03B1"/>
    <w:rsid w:val="00AD0486"/>
    <w:rsid w:val="00AD09F7"/>
    <w:rsid w:val="00AD0D3E"/>
    <w:rsid w:val="00AD1141"/>
    <w:rsid w:val="00AD19DB"/>
    <w:rsid w:val="00AD2577"/>
    <w:rsid w:val="00AD2583"/>
    <w:rsid w:val="00AD27D1"/>
    <w:rsid w:val="00AD2957"/>
    <w:rsid w:val="00AD29E2"/>
    <w:rsid w:val="00AD2C0B"/>
    <w:rsid w:val="00AD2EFE"/>
    <w:rsid w:val="00AD3401"/>
    <w:rsid w:val="00AD355C"/>
    <w:rsid w:val="00AD366E"/>
    <w:rsid w:val="00AD4063"/>
    <w:rsid w:val="00AD42A8"/>
    <w:rsid w:val="00AD42D4"/>
    <w:rsid w:val="00AD44FE"/>
    <w:rsid w:val="00AD518E"/>
    <w:rsid w:val="00AD520D"/>
    <w:rsid w:val="00AD56CB"/>
    <w:rsid w:val="00AD5937"/>
    <w:rsid w:val="00AD5AF4"/>
    <w:rsid w:val="00AD626D"/>
    <w:rsid w:val="00AD676C"/>
    <w:rsid w:val="00AD6CF5"/>
    <w:rsid w:val="00AD6EFE"/>
    <w:rsid w:val="00AD7100"/>
    <w:rsid w:val="00AD7382"/>
    <w:rsid w:val="00AD78C7"/>
    <w:rsid w:val="00AD7A8D"/>
    <w:rsid w:val="00AD7CE3"/>
    <w:rsid w:val="00AD7D70"/>
    <w:rsid w:val="00AD7D96"/>
    <w:rsid w:val="00AE0170"/>
    <w:rsid w:val="00AE0258"/>
    <w:rsid w:val="00AE0B98"/>
    <w:rsid w:val="00AE0D83"/>
    <w:rsid w:val="00AE10FC"/>
    <w:rsid w:val="00AE1558"/>
    <w:rsid w:val="00AE19BC"/>
    <w:rsid w:val="00AE1ABF"/>
    <w:rsid w:val="00AE1D3A"/>
    <w:rsid w:val="00AE28EA"/>
    <w:rsid w:val="00AE2BF5"/>
    <w:rsid w:val="00AE2D3A"/>
    <w:rsid w:val="00AE3028"/>
    <w:rsid w:val="00AE3195"/>
    <w:rsid w:val="00AE3321"/>
    <w:rsid w:val="00AE333D"/>
    <w:rsid w:val="00AE34C6"/>
    <w:rsid w:val="00AE3520"/>
    <w:rsid w:val="00AE3B12"/>
    <w:rsid w:val="00AE3BA1"/>
    <w:rsid w:val="00AE3BDD"/>
    <w:rsid w:val="00AE3CF9"/>
    <w:rsid w:val="00AE4808"/>
    <w:rsid w:val="00AE4866"/>
    <w:rsid w:val="00AE4E10"/>
    <w:rsid w:val="00AE53C0"/>
    <w:rsid w:val="00AE5BC7"/>
    <w:rsid w:val="00AE628D"/>
    <w:rsid w:val="00AE6373"/>
    <w:rsid w:val="00AE64A6"/>
    <w:rsid w:val="00AE65F1"/>
    <w:rsid w:val="00AE6695"/>
    <w:rsid w:val="00AE682A"/>
    <w:rsid w:val="00AE6852"/>
    <w:rsid w:val="00AE701F"/>
    <w:rsid w:val="00AE79C6"/>
    <w:rsid w:val="00AE7B02"/>
    <w:rsid w:val="00AE7FF8"/>
    <w:rsid w:val="00AF0AF1"/>
    <w:rsid w:val="00AF116D"/>
    <w:rsid w:val="00AF122E"/>
    <w:rsid w:val="00AF1337"/>
    <w:rsid w:val="00AF1423"/>
    <w:rsid w:val="00AF16D7"/>
    <w:rsid w:val="00AF178B"/>
    <w:rsid w:val="00AF196A"/>
    <w:rsid w:val="00AF2333"/>
    <w:rsid w:val="00AF2B07"/>
    <w:rsid w:val="00AF2F74"/>
    <w:rsid w:val="00AF318E"/>
    <w:rsid w:val="00AF3B14"/>
    <w:rsid w:val="00AF3BED"/>
    <w:rsid w:val="00AF3F7E"/>
    <w:rsid w:val="00AF4248"/>
    <w:rsid w:val="00AF4257"/>
    <w:rsid w:val="00AF427B"/>
    <w:rsid w:val="00AF4418"/>
    <w:rsid w:val="00AF4AFF"/>
    <w:rsid w:val="00AF4B7A"/>
    <w:rsid w:val="00AF4BCC"/>
    <w:rsid w:val="00AF4E1D"/>
    <w:rsid w:val="00AF54EC"/>
    <w:rsid w:val="00AF5D91"/>
    <w:rsid w:val="00AF5DAC"/>
    <w:rsid w:val="00AF6422"/>
    <w:rsid w:val="00AF66BD"/>
    <w:rsid w:val="00AF68E5"/>
    <w:rsid w:val="00AF6A85"/>
    <w:rsid w:val="00AF6C4A"/>
    <w:rsid w:val="00AF6DFE"/>
    <w:rsid w:val="00AF6EB2"/>
    <w:rsid w:val="00AF7030"/>
    <w:rsid w:val="00AF7442"/>
    <w:rsid w:val="00AF7481"/>
    <w:rsid w:val="00AF788D"/>
    <w:rsid w:val="00AF7C11"/>
    <w:rsid w:val="00AF7C7D"/>
    <w:rsid w:val="00B011F3"/>
    <w:rsid w:val="00B0169D"/>
    <w:rsid w:val="00B01ED7"/>
    <w:rsid w:val="00B01F9E"/>
    <w:rsid w:val="00B0257D"/>
    <w:rsid w:val="00B02FFF"/>
    <w:rsid w:val="00B03096"/>
    <w:rsid w:val="00B03217"/>
    <w:rsid w:val="00B03479"/>
    <w:rsid w:val="00B03705"/>
    <w:rsid w:val="00B03854"/>
    <w:rsid w:val="00B03DDB"/>
    <w:rsid w:val="00B0403E"/>
    <w:rsid w:val="00B04364"/>
    <w:rsid w:val="00B049DA"/>
    <w:rsid w:val="00B050B8"/>
    <w:rsid w:val="00B05177"/>
    <w:rsid w:val="00B05487"/>
    <w:rsid w:val="00B057D8"/>
    <w:rsid w:val="00B06032"/>
    <w:rsid w:val="00B066D4"/>
    <w:rsid w:val="00B06C31"/>
    <w:rsid w:val="00B06ED7"/>
    <w:rsid w:val="00B07003"/>
    <w:rsid w:val="00B07027"/>
    <w:rsid w:val="00B0756B"/>
    <w:rsid w:val="00B07AB8"/>
    <w:rsid w:val="00B07ADF"/>
    <w:rsid w:val="00B104F8"/>
    <w:rsid w:val="00B106CC"/>
    <w:rsid w:val="00B10A71"/>
    <w:rsid w:val="00B10E98"/>
    <w:rsid w:val="00B1117B"/>
    <w:rsid w:val="00B1189E"/>
    <w:rsid w:val="00B118CB"/>
    <w:rsid w:val="00B11996"/>
    <w:rsid w:val="00B11F51"/>
    <w:rsid w:val="00B12469"/>
    <w:rsid w:val="00B1254A"/>
    <w:rsid w:val="00B13BC3"/>
    <w:rsid w:val="00B13DBD"/>
    <w:rsid w:val="00B13E0C"/>
    <w:rsid w:val="00B141F5"/>
    <w:rsid w:val="00B14306"/>
    <w:rsid w:val="00B14BB6"/>
    <w:rsid w:val="00B14F9D"/>
    <w:rsid w:val="00B14FCE"/>
    <w:rsid w:val="00B153E8"/>
    <w:rsid w:val="00B155A2"/>
    <w:rsid w:val="00B15607"/>
    <w:rsid w:val="00B1576D"/>
    <w:rsid w:val="00B15A0E"/>
    <w:rsid w:val="00B15FDD"/>
    <w:rsid w:val="00B161EA"/>
    <w:rsid w:val="00B163B4"/>
    <w:rsid w:val="00B167E5"/>
    <w:rsid w:val="00B169F0"/>
    <w:rsid w:val="00B16BB8"/>
    <w:rsid w:val="00B16F35"/>
    <w:rsid w:val="00B16F64"/>
    <w:rsid w:val="00B17537"/>
    <w:rsid w:val="00B1753E"/>
    <w:rsid w:val="00B1760A"/>
    <w:rsid w:val="00B17B89"/>
    <w:rsid w:val="00B17DDC"/>
    <w:rsid w:val="00B17E10"/>
    <w:rsid w:val="00B17F82"/>
    <w:rsid w:val="00B20224"/>
    <w:rsid w:val="00B20470"/>
    <w:rsid w:val="00B2054E"/>
    <w:rsid w:val="00B20610"/>
    <w:rsid w:val="00B210DD"/>
    <w:rsid w:val="00B2131F"/>
    <w:rsid w:val="00B21E04"/>
    <w:rsid w:val="00B2203D"/>
    <w:rsid w:val="00B221BA"/>
    <w:rsid w:val="00B22DDD"/>
    <w:rsid w:val="00B22F3C"/>
    <w:rsid w:val="00B22F85"/>
    <w:rsid w:val="00B2362F"/>
    <w:rsid w:val="00B23664"/>
    <w:rsid w:val="00B23D0E"/>
    <w:rsid w:val="00B24433"/>
    <w:rsid w:val="00B244E1"/>
    <w:rsid w:val="00B24565"/>
    <w:rsid w:val="00B25A8A"/>
    <w:rsid w:val="00B25E5E"/>
    <w:rsid w:val="00B26562"/>
    <w:rsid w:val="00B267BC"/>
    <w:rsid w:val="00B26C15"/>
    <w:rsid w:val="00B27076"/>
    <w:rsid w:val="00B27672"/>
    <w:rsid w:val="00B27974"/>
    <w:rsid w:val="00B27BAA"/>
    <w:rsid w:val="00B27C69"/>
    <w:rsid w:val="00B27F6C"/>
    <w:rsid w:val="00B30615"/>
    <w:rsid w:val="00B30D22"/>
    <w:rsid w:val="00B31495"/>
    <w:rsid w:val="00B31586"/>
    <w:rsid w:val="00B31FF3"/>
    <w:rsid w:val="00B32543"/>
    <w:rsid w:val="00B32729"/>
    <w:rsid w:val="00B328E9"/>
    <w:rsid w:val="00B32CB7"/>
    <w:rsid w:val="00B32CC4"/>
    <w:rsid w:val="00B3302E"/>
    <w:rsid w:val="00B3324D"/>
    <w:rsid w:val="00B33303"/>
    <w:rsid w:val="00B33457"/>
    <w:rsid w:val="00B337CB"/>
    <w:rsid w:val="00B339A6"/>
    <w:rsid w:val="00B33B73"/>
    <w:rsid w:val="00B33FA9"/>
    <w:rsid w:val="00B33FAB"/>
    <w:rsid w:val="00B341A0"/>
    <w:rsid w:val="00B3447B"/>
    <w:rsid w:val="00B34914"/>
    <w:rsid w:val="00B34BE6"/>
    <w:rsid w:val="00B34D34"/>
    <w:rsid w:val="00B34DC2"/>
    <w:rsid w:val="00B34DF7"/>
    <w:rsid w:val="00B34F82"/>
    <w:rsid w:val="00B35640"/>
    <w:rsid w:val="00B359C0"/>
    <w:rsid w:val="00B360AE"/>
    <w:rsid w:val="00B365D6"/>
    <w:rsid w:val="00B36665"/>
    <w:rsid w:val="00B36934"/>
    <w:rsid w:val="00B36A15"/>
    <w:rsid w:val="00B36D93"/>
    <w:rsid w:val="00B36F2E"/>
    <w:rsid w:val="00B37265"/>
    <w:rsid w:val="00B375E1"/>
    <w:rsid w:val="00B3798D"/>
    <w:rsid w:val="00B37D04"/>
    <w:rsid w:val="00B37FC6"/>
    <w:rsid w:val="00B40863"/>
    <w:rsid w:val="00B40A63"/>
    <w:rsid w:val="00B4143E"/>
    <w:rsid w:val="00B415C0"/>
    <w:rsid w:val="00B417C0"/>
    <w:rsid w:val="00B42042"/>
    <w:rsid w:val="00B43177"/>
    <w:rsid w:val="00B433A0"/>
    <w:rsid w:val="00B43B42"/>
    <w:rsid w:val="00B43D67"/>
    <w:rsid w:val="00B44245"/>
    <w:rsid w:val="00B44457"/>
    <w:rsid w:val="00B44549"/>
    <w:rsid w:val="00B45352"/>
    <w:rsid w:val="00B4545F"/>
    <w:rsid w:val="00B4555C"/>
    <w:rsid w:val="00B457EE"/>
    <w:rsid w:val="00B4596C"/>
    <w:rsid w:val="00B45CF7"/>
    <w:rsid w:val="00B460CF"/>
    <w:rsid w:val="00B46AAF"/>
    <w:rsid w:val="00B46ACE"/>
    <w:rsid w:val="00B46BDB"/>
    <w:rsid w:val="00B47238"/>
    <w:rsid w:val="00B47795"/>
    <w:rsid w:val="00B47E1D"/>
    <w:rsid w:val="00B5024D"/>
    <w:rsid w:val="00B50639"/>
    <w:rsid w:val="00B506E0"/>
    <w:rsid w:val="00B509AC"/>
    <w:rsid w:val="00B50DA3"/>
    <w:rsid w:val="00B50DAF"/>
    <w:rsid w:val="00B50EE0"/>
    <w:rsid w:val="00B50F7F"/>
    <w:rsid w:val="00B512B5"/>
    <w:rsid w:val="00B518AE"/>
    <w:rsid w:val="00B51B3B"/>
    <w:rsid w:val="00B51D93"/>
    <w:rsid w:val="00B51E0F"/>
    <w:rsid w:val="00B51EC2"/>
    <w:rsid w:val="00B520DB"/>
    <w:rsid w:val="00B523CC"/>
    <w:rsid w:val="00B52E63"/>
    <w:rsid w:val="00B53385"/>
    <w:rsid w:val="00B5349A"/>
    <w:rsid w:val="00B53999"/>
    <w:rsid w:val="00B53A74"/>
    <w:rsid w:val="00B54087"/>
    <w:rsid w:val="00B54B5F"/>
    <w:rsid w:val="00B54B85"/>
    <w:rsid w:val="00B54B86"/>
    <w:rsid w:val="00B5508A"/>
    <w:rsid w:val="00B550EC"/>
    <w:rsid w:val="00B55392"/>
    <w:rsid w:val="00B55539"/>
    <w:rsid w:val="00B55F29"/>
    <w:rsid w:val="00B5602A"/>
    <w:rsid w:val="00B562FB"/>
    <w:rsid w:val="00B56469"/>
    <w:rsid w:val="00B566A7"/>
    <w:rsid w:val="00B568B3"/>
    <w:rsid w:val="00B56A3E"/>
    <w:rsid w:val="00B56B7F"/>
    <w:rsid w:val="00B56D80"/>
    <w:rsid w:val="00B57272"/>
    <w:rsid w:val="00B573B4"/>
    <w:rsid w:val="00B575E5"/>
    <w:rsid w:val="00B576F7"/>
    <w:rsid w:val="00B57D56"/>
    <w:rsid w:val="00B57E05"/>
    <w:rsid w:val="00B602B6"/>
    <w:rsid w:val="00B60343"/>
    <w:rsid w:val="00B6038E"/>
    <w:rsid w:val="00B6040D"/>
    <w:rsid w:val="00B60576"/>
    <w:rsid w:val="00B60771"/>
    <w:rsid w:val="00B61721"/>
    <w:rsid w:val="00B61844"/>
    <w:rsid w:val="00B618EE"/>
    <w:rsid w:val="00B61D07"/>
    <w:rsid w:val="00B61E70"/>
    <w:rsid w:val="00B61E80"/>
    <w:rsid w:val="00B620AE"/>
    <w:rsid w:val="00B62A22"/>
    <w:rsid w:val="00B62EFC"/>
    <w:rsid w:val="00B6307C"/>
    <w:rsid w:val="00B6367B"/>
    <w:rsid w:val="00B63791"/>
    <w:rsid w:val="00B638CB"/>
    <w:rsid w:val="00B63A39"/>
    <w:rsid w:val="00B63EB8"/>
    <w:rsid w:val="00B640DA"/>
    <w:rsid w:val="00B64135"/>
    <w:rsid w:val="00B64173"/>
    <w:rsid w:val="00B64863"/>
    <w:rsid w:val="00B64D58"/>
    <w:rsid w:val="00B64F9C"/>
    <w:rsid w:val="00B651D5"/>
    <w:rsid w:val="00B6570E"/>
    <w:rsid w:val="00B6572D"/>
    <w:rsid w:val="00B657B0"/>
    <w:rsid w:val="00B65B72"/>
    <w:rsid w:val="00B661FF"/>
    <w:rsid w:val="00B668E8"/>
    <w:rsid w:val="00B66A39"/>
    <w:rsid w:val="00B66E0D"/>
    <w:rsid w:val="00B67124"/>
    <w:rsid w:val="00B67136"/>
    <w:rsid w:val="00B67637"/>
    <w:rsid w:val="00B67783"/>
    <w:rsid w:val="00B67CAD"/>
    <w:rsid w:val="00B70AC4"/>
    <w:rsid w:val="00B70B9C"/>
    <w:rsid w:val="00B70BA9"/>
    <w:rsid w:val="00B70DAD"/>
    <w:rsid w:val="00B715F9"/>
    <w:rsid w:val="00B71989"/>
    <w:rsid w:val="00B71BE9"/>
    <w:rsid w:val="00B71C1C"/>
    <w:rsid w:val="00B71C3B"/>
    <w:rsid w:val="00B71C5E"/>
    <w:rsid w:val="00B71CAC"/>
    <w:rsid w:val="00B71FDE"/>
    <w:rsid w:val="00B72382"/>
    <w:rsid w:val="00B724D7"/>
    <w:rsid w:val="00B72893"/>
    <w:rsid w:val="00B729C0"/>
    <w:rsid w:val="00B729CE"/>
    <w:rsid w:val="00B72D64"/>
    <w:rsid w:val="00B72E13"/>
    <w:rsid w:val="00B73963"/>
    <w:rsid w:val="00B742FA"/>
    <w:rsid w:val="00B7440A"/>
    <w:rsid w:val="00B74426"/>
    <w:rsid w:val="00B74707"/>
    <w:rsid w:val="00B748E0"/>
    <w:rsid w:val="00B752B2"/>
    <w:rsid w:val="00B75704"/>
    <w:rsid w:val="00B7604F"/>
    <w:rsid w:val="00B7608B"/>
    <w:rsid w:val="00B760C9"/>
    <w:rsid w:val="00B76768"/>
    <w:rsid w:val="00B7756E"/>
    <w:rsid w:val="00B7775A"/>
    <w:rsid w:val="00B77DA0"/>
    <w:rsid w:val="00B803A3"/>
    <w:rsid w:val="00B8104D"/>
    <w:rsid w:val="00B811FB"/>
    <w:rsid w:val="00B81440"/>
    <w:rsid w:val="00B81D68"/>
    <w:rsid w:val="00B8217B"/>
    <w:rsid w:val="00B8221F"/>
    <w:rsid w:val="00B823EA"/>
    <w:rsid w:val="00B82675"/>
    <w:rsid w:val="00B827F0"/>
    <w:rsid w:val="00B82887"/>
    <w:rsid w:val="00B828B0"/>
    <w:rsid w:val="00B829E5"/>
    <w:rsid w:val="00B82DF5"/>
    <w:rsid w:val="00B83178"/>
    <w:rsid w:val="00B83209"/>
    <w:rsid w:val="00B83377"/>
    <w:rsid w:val="00B83768"/>
    <w:rsid w:val="00B83A87"/>
    <w:rsid w:val="00B83AC5"/>
    <w:rsid w:val="00B83CEF"/>
    <w:rsid w:val="00B83D38"/>
    <w:rsid w:val="00B83F84"/>
    <w:rsid w:val="00B840E6"/>
    <w:rsid w:val="00B840E9"/>
    <w:rsid w:val="00B84570"/>
    <w:rsid w:val="00B8469D"/>
    <w:rsid w:val="00B84DEA"/>
    <w:rsid w:val="00B85271"/>
    <w:rsid w:val="00B85481"/>
    <w:rsid w:val="00B85CBC"/>
    <w:rsid w:val="00B85CE6"/>
    <w:rsid w:val="00B85FF0"/>
    <w:rsid w:val="00B860BE"/>
    <w:rsid w:val="00B863BA"/>
    <w:rsid w:val="00B86C3E"/>
    <w:rsid w:val="00B86CC9"/>
    <w:rsid w:val="00B8743E"/>
    <w:rsid w:val="00B87B33"/>
    <w:rsid w:val="00B87D7B"/>
    <w:rsid w:val="00B9005D"/>
    <w:rsid w:val="00B902AE"/>
    <w:rsid w:val="00B9030F"/>
    <w:rsid w:val="00B90822"/>
    <w:rsid w:val="00B90F63"/>
    <w:rsid w:val="00B90FE1"/>
    <w:rsid w:val="00B910AA"/>
    <w:rsid w:val="00B91763"/>
    <w:rsid w:val="00B917B9"/>
    <w:rsid w:val="00B920F0"/>
    <w:rsid w:val="00B92450"/>
    <w:rsid w:val="00B927C1"/>
    <w:rsid w:val="00B92BAB"/>
    <w:rsid w:val="00B92CE8"/>
    <w:rsid w:val="00B93134"/>
    <w:rsid w:val="00B93162"/>
    <w:rsid w:val="00B93294"/>
    <w:rsid w:val="00B936A7"/>
    <w:rsid w:val="00B93732"/>
    <w:rsid w:val="00B9398E"/>
    <w:rsid w:val="00B93A04"/>
    <w:rsid w:val="00B93E52"/>
    <w:rsid w:val="00B93ED3"/>
    <w:rsid w:val="00B94251"/>
    <w:rsid w:val="00B949C7"/>
    <w:rsid w:val="00B949F0"/>
    <w:rsid w:val="00B94ADA"/>
    <w:rsid w:val="00B952B4"/>
    <w:rsid w:val="00B952BA"/>
    <w:rsid w:val="00B956BC"/>
    <w:rsid w:val="00B96285"/>
    <w:rsid w:val="00B963CD"/>
    <w:rsid w:val="00B96831"/>
    <w:rsid w:val="00B96A2D"/>
    <w:rsid w:val="00B96FE9"/>
    <w:rsid w:val="00B97547"/>
    <w:rsid w:val="00B979AC"/>
    <w:rsid w:val="00B97FA9"/>
    <w:rsid w:val="00BA012A"/>
    <w:rsid w:val="00BA014B"/>
    <w:rsid w:val="00BA0483"/>
    <w:rsid w:val="00BA0BC4"/>
    <w:rsid w:val="00BA16F4"/>
    <w:rsid w:val="00BA1884"/>
    <w:rsid w:val="00BA2834"/>
    <w:rsid w:val="00BA3960"/>
    <w:rsid w:val="00BA3BE6"/>
    <w:rsid w:val="00BA3FF3"/>
    <w:rsid w:val="00BA52A9"/>
    <w:rsid w:val="00BA5305"/>
    <w:rsid w:val="00BA532A"/>
    <w:rsid w:val="00BA58CD"/>
    <w:rsid w:val="00BA5ADB"/>
    <w:rsid w:val="00BA5E25"/>
    <w:rsid w:val="00BA61CF"/>
    <w:rsid w:val="00BA6E74"/>
    <w:rsid w:val="00BA7268"/>
    <w:rsid w:val="00BA72C6"/>
    <w:rsid w:val="00BA7B2F"/>
    <w:rsid w:val="00BA7B6E"/>
    <w:rsid w:val="00BB0396"/>
    <w:rsid w:val="00BB0A5B"/>
    <w:rsid w:val="00BB0F49"/>
    <w:rsid w:val="00BB1534"/>
    <w:rsid w:val="00BB1861"/>
    <w:rsid w:val="00BB18BE"/>
    <w:rsid w:val="00BB1E7C"/>
    <w:rsid w:val="00BB2252"/>
    <w:rsid w:val="00BB2B5A"/>
    <w:rsid w:val="00BB2FB7"/>
    <w:rsid w:val="00BB3251"/>
    <w:rsid w:val="00BB358C"/>
    <w:rsid w:val="00BB3957"/>
    <w:rsid w:val="00BB39E3"/>
    <w:rsid w:val="00BB3A7F"/>
    <w:rsid w:val="00BB3E06"/>
    <w:rsid w:val="00BB404C"/>
    <w:rsid w:val="00BB42DA"/>
    <w:rsid w:val="00BB457E"/>
    <w:rsid w:val="00BB57A2"/>
    <w:rsid w:val="00BB5A81"/>
    <w:rsid w:val="00BB5B8A"/>
    <w:rsid w:val="00BB5CA6"/>
    <w:rsid w:val="00BB62D3"/>
    <w:rsid w:val="00BB649E"/>
    <w:rsid w:val="00BB6911"/>
    <w:rsid w:val="00BB6948"/>
    <w:rsid w:val="00BB6B4C"/>
    <w:rsid w:val="00BB6F7F"/>
    <w:rsid w:val="00BB7079"/>
    <w:rsid w:val="00BB752F"/>
    <w:rsid w:val="00BB75DA"/>
    <w:rsid w:val="00BB76CF"/>
    <w:rsid w:val="00BB7834"/>
    <w:rsid w:val="00BB786E"/>
    <w:rsid w:val="00BB7CE2"/>
    <w:rsid w:val="00BB7FD0"/>
    <w:rsid w:val="00BC03A9"/>
    <w:rsid w:val="00BC05A5"/>
    <w:rsid w:val="00BC0C36"/>
    <w:rsid w:val="00BC105E"/>
    <w:rsid w:val="00BC11AA"/>
    <w:rsid w:val="00BC20D6"/>
    <w:rsid w:val="00BC29CC"/>
    <w:rsid w:val="00BC2A2D"/>
    <w:rsid w:val="00BC2E84"/>
    <w:rsid w:val="00BC34C5"/>
    <w:rsid w:val="00BC38E1"/>
    <w:rsid w:val="00BC4E6C"/>
    <w:rsid w:val="00BC52DC"/>
    <w:rsid w:val="00BC5528"/>
    <w:rsid w:val="00BC5DB1"/>
    <w:rsid w:val="00BC601C"/>
    <w:rsid w:val="00BC605D"/>
    <w:rsid w:val="00BC60AC"/>
    <w:rsid w:val="00BC6108"/>
    <w:rsid w:val="00BC696A"/>
    <w:rsid w:val="00BC6DB5"/>
    <w:rsid w:val="00BC6EC0"/>
    <w:rsid w:val="00BC71AE"/>
    <w:rsid w:val="00BC7277"/>
    <w:rsid w:val="00BC7310"/>
    <w:rsid w:val="00BC759B"/>
    <w:rsid w:val="00BC785D"/>
    <w:rsid w:val="00BD0415"/>
    <w:rsid w:val="00BD06FD"/>
    <w:rsid w:val="00BD0CE5"/>
    <w:rsid w:val="00BD10CD"/>
    <w:rsid w:val="00BD1164"/>
    <w:rsid w:val="00BD16E6"/>
    <w:rsid w:val="00BD180A"/>
    <w:rsid w:val="00BD1A2E"/>
    <w:rsid w:val="00BD2147"/>
    <w:rsid w:val="00BD25C2"/>
    <w:rsid w:val="00BD2BD6"/>
    <w:rsid w:val="00BD2C0F"/>
    <w:rsid w:val="00BD2D20"/>
    <w:rsid w:val="00BD3013"/>
    <w:rsid w:val="00BD326A"/>
    <w:rsid w:val="00BD338D"/>
    <w:rsid w:val="00BD3596"/>
    <w:rsid w:val="00BD40C0"/>
    <w:rsid w:val="00BD44C5"/>
    <w:rsid w:val="00BD45E5"/>
    <w:rsid w:val="00BD4872"/>
    <w:rsid w:val="00BD4E63"/>
    <w:rsid w:val="00BD4FDB"/>
    <w:rsid w:val="00BD521E"/>
    <w:rsid w:val="00BD5462"/>
    <w:rsid w:val="00BD561F"/>
    <w:rsid w:val="00BD5658"/>
    <w:rsid w:val="00BD5765"/>
    <w:rsid w:val="00BD5814"/>
    <w:rsid w:val="00BD5CE9"/>
    <w:rsid w:val="00BD6123"/>
    <w:rsid w:val="00BD628F"/>
    <w:rsid w:val="00BD6332"/>
    <w:rsid w:val="00BD652D"/>
    <w:rsid w:val="00BD66EC"/>
    <w:rsid w:val="00BD6CB9"/>
    <w:rsid w:val="00BD6CBC"/>
    <w:rsid w:val="00BD6DCE"/>
    <w:rsid w:val="00BD703B"/>
    <w:rsid w:val="00BD72CB"/>
    <w:rsid w:val="00BD7791"/>
    <w:rsid w:val="00BD79E3"/>
    <w:rsid w:val="00BD7BAF"/>
    <w:rsid w:val="00BD7CD2"/>
    <w:rsid w:val="00BE019D"/>
    <w:rsid w:val="00BE04CC"/>
    <w:rsid w:val="00BE061B"/>
    <w:rsid w:val="00BE0637"/>
    <w:rsid w:val="00BE0CC7"/>
    <w:rsid w:val="00BE0E97"/>
    <w:rsid w:val="00BE0E9E"/>
    <w:rsid w:val="00BE135A"/>
    <w:rsid w:val="00BE1464"/>
    <w:rsid w:val="00BE278E"/>
    <w:rsid w:val="00BE2883"/>
    <w:rsid w:val="00BE28EE"/>
    <w:rsid w:val="00BE2B78"/>
    <w:rsid w:val="00BE2B9A"/>
    <w:rsid w:val="00BE369C"/>
    <w:rsid w:val="00BE3DC3"/>
    <w:rsid w:val="00BE3ECC"/>
    <w:rsid w:val="00BE40CA"/>
    <w:rsid w:val="00BE4181"/>
    <w:rsid w:val="00BE436A"/>
    <w:rsid w:val="00BE453D"/>
    <w:rsid w:val="00BE4A3C"/>
    <w:rsid w:val="00BE4BAF"/>
    <w:rsid w:val="00BE4DB6"/>
    <w:rsid w:val="00BE4F9D"/>
    <w:rsid w:val="00BE5049"/>
    <w:rsid w:val="00BE573D"/>
    <w:rsid w:val="00BE5A4C"/>
    <w:rsid w:val="00BE5C84"/>
    <w:rsid w:val="00BE5E44"/>
    <w:rsid w:val="00BE5FD1"/>
    <w:rsid w:val="00BE62E3"/>
    <w:rsid w:val="00BE65F9"/>
    <w:rsid w:val="00BE6760"/>
    <w:rsid w:val="00BE69FF"/>
    <w:rsid w:val="00BE79AA"/>
    <w:rsid w:val="00BE7BCC"/>
    <w:rsid w:val="00BE7BDA"/>
    <w:rsid w:val="00BF0094"/>
    <w:rsid w:val="00BF014F"/>
    <w:rsid w:val="00BF1A97"/>
    <w:rsid w:val="00BF1C10"/>
    <w:rsid w:val="00BF33AE"/>
    <w:rsid w:val="00BF3438"/>
    <w:rsid w:val="00BF35BD"/>
    <w:rsid w:val="00BF3A1C"/>
    <w:rsid w:val="00BF4088"/>
    <w:rsid w:val="00BF4265"/>
    <w:rsid w:val="00BF4439"/>
    <w:rsid w:val="00BF4619"/>
    <w:rsid w:val="00BF4721"/>
    <w:rsid w:val="00BF4A42"/>
    <w:rsid w:val="00BF4AEB"/>
    <w:rsid w:val="00BF53FD"/>
    <w:rsid w:val="00BF5C74"/>
    <w:rsid w:val="00BF6471"/>
    <w:rsid w:val="00BF672F"/>
    <w:rsid w:val="00BF6A02"/>
    <w:rsid w:val="00BF6B81"/>
    <w:rsid w:val="00BF70C9"/>
    <w:rsid w:val="00BF7386"/>
    <w:rsid w:val="00BF75F4"/>
    <w:rsid w:val="00BF761F"/>
    <w:rsid w:val="00BF7985"/>
    <w:rsid w:val="00BF7A8A"/>
    <w:rsid w:val="00BF7E20"/>
    <w:rsid w:val="00BF7F07"/>
    <w:rsid w:val="00C003A1"/>
    <w:rsid w:val="00C00459"/>
    <w:rsid w:val="00C005EA"/>
    <w:rsid w:val="00C007C7"/>
    <w:rsid w:val="00C00B11"/>
    <w:rsid w:val="00C00B32"/>
    <w:rsid w:val="00C00B39"/>
    <w:rsid w:val="00C00CA1"/>
    <w:rsid w:val="00C0112F"/>
    <w:rsid w:val="00C0123E"/>
    <w:rsid w:val="00C015CD"/>
    <w:rsid w:val="00C01665"/>
    <w:rsid w:val="00C01F66"/>
    <w:rsid w:val="00C02169"/>
    <w:rsid w:val="00C02570"/>
    <w:rsid w:val="00C02C24"/>
    <w:rsid w:val="00C03CF3"/>
    <w:rsid w:val="00C043D6"/>
    <w:rsid w:val="00C0441D"/>
    <w:rsid w:val="00C044D4"/>
    <w:rsid w:val="00C04984"/>
    <w:rsid w:val="00C04D24"/>
    <w:rsid w:val="00C056AA"/>
    <w:rsid w:val="00C05A88"/>
    <w:rsid w:val="00C05D0E"/>
    <w:rsid w:val="00C067C2"/>
    <w:rsid w:val="00C07516"/>
    <w:rsid w:val="00C0784D"/>
    <w:rsid w:val="00C079DC"/>
    <w:rsid w:val="00C07CCC"/>
    <w:rsid w:val="00C07ECD"/>
    <w:rsid w:val="00C10049"/>
    <w:rsid w:val="00C10181"/>
    <w:rsid w:val="00C10461"/>
    <w:rsid w:val="00C104AA"/>
    <w:rsid w:val="00C1099A"/>
    <w:rsid w:val="00C10C28"/>
    <w:rsid w:val="00C116BC"/>
    <w:rsid w:val="00C118E3"/>
    <w:rsid w:val="00C11A14"/>
    <w:rsid w:val="00C11AC4"/>
    <w:rsid w:val="00C11B04"/>
    <w:rsid w:val="00C11D78"/>
    <w:rsid w:val="00C11DA7"/>
    <w:rsid w:val="00C12198"/>
    <w:rsid w:val="00C12B33"/>
    <w:rsid w:val="00C12F6A"/>
    <w:rsid w:val="00C132D5"/>
    <w:rsid w:val="00C13DC7"/>
    <w:rsid w:val="00C13E9B"/>
    <w:rsid w:val="00C140B4"/>
    <w:rsid w:val="00C14612"/>
    <w:rsid w:val="00C149B6"/>
    <w:rsid w:val="00C1535A"/>
    <w:rsid w:val="00C155A1"/>
    <w:rsid w:val="00C159E8"/>
    <w:rsid w:val="00C1617A"/>
    <w:rsid w:val="00C169E0"/>
    <w:rsid w:val="00C16F6B"/>
    <w:rsid w:val="00C174AF"/>
    <w:rsid w:val="00C1753C"/>
    <w:rsid w:val="00C20003"/>
    <w:rsid w:val="00C20864"/>
    <w:rsid w:val="00C20913"/>
    <w:rsid w:val="00C20A27"/>
    <w:rsid w:val="00C20A60"/>
    <w:rsid w:val="00C20DF4"/>
    <w:rsid w:val="00C212AE"/>
    <w:rsid w:val="00C212B7"/>
    <w:rsid w:val="00C2171F"/>
    <w:rsid w:val="00C2182D"/>
    <w:rsid w:val="00C2184C"/>
    <w:rsid w:val="00C219B9"/>
    <w:rsid w:val="00C2214F"/>
    <w:rsid w:val="00C224A3"/>
    <w:rsid w:val="00C2262C"/>
    <w:rsid w:val="00C2276A"/>
    <w:rsid w:val="00C22896"/>
    <w:rsid w:val="00C2349F"/>
    <w:rsid w:val="00C23DE3"/>
    <w:rsid w:val="00C2426B"/>
    <w:rsid w:val="00C242C7"/>
    <w:rsid w:val="00C245A3"/>
    <w:rsid w:val="00C24661"/>
    <w:rsid w:val="00C24673"/>
    <w:rsid w:val="00C247E6"/>
    <w:rsid w:val="00C24A1D"/>
    <w:rsid w:val="00C24A97"/>
    <w:rsid w:val="00C24CA1"/>
    <w:rsid w:val="00C24D69"/>
    <w:rsid w:val="00C25922"/>
    <w:rsid w:val="00C25A14"/>
    <w:rsid w:val="00C25F57"/>
    <w:rsid w:val="00C25F6D"/>
    <w:rsid w:val="00C26C82"/>
    <w:rsid w:val="00C270D2"/>
    <w:rsid w:val="00C2729D"/>
    <w:rsid w:val="00C27305"/>
    <w:rsid w:val="00C275FD"/>
    <w:rsid w:val="00C27C15"/>
    <w:rsid w:val="00C27C3A"/>
    <w:rsid w:val="00C27EC1"/>
    <w:rsid w:val="00C308C8"/>
    <w:rsid w:val="00C30951"/>
    <w:rsid w:val="00C31153"/>
    <w:rsid w:val="00C3180D"/>
    <w:rsid w:val="00C322B5"/>
    <w:rsid w:val="00C32A25"/>
    <w:rsid w:val="00C32A54"/>
    <w:rsid w:val="00C32A87"/>
    <w:rsid w:val="00C32AA0"/>
    <w:rsid w:val="00C32F58"/>
    <w:rsid w:val="00C33065"/>
    <w:rsid w:val="00C33AFE"/>
    <w:rsid w:val="00C33CAA"/>
    <w:rsid w:val="00C33CD2"/>
    <w:rsid w:val="00C33CE2"/>
    <w:rsid w:val="00C34319"/>
    <w:rsid w:val="00C3437B"/>
    <w:rsid w:val="00C34631"/>
    <w:rsid w:val="00C34634"/>
    <w:rsid w:val="00C34CB8"/>
    <w:rsid w:val="00C34DEF"/>
    <w:rsid w:val="00C34ED2"/>
    <w:rsid w:val="00C35040"/>
    <w:rsid w:val="00C35124"/>
    <w:rsid w:val="00C357A5"/>
    <w:rsid w:val="00C35CF2"/>
    <w:rsid w:val="00C35F14"/>
    <w:rsid w:val="00C363CC"/>
    <w:rsid w:val="00C365D9"/>
    <w:rsid w:val="00C36B58"/>
    <w:rsid w:val="00C36C00"/>
    <w:rsid w:val="00C37064"/>
    <w:rsid w:val="00C37235"/>
    <w:rsid w:val="00C3735A"/>
    <w:rsid w:val="00C37442"/>
    <w:rsid w:val="00C374E6"/>
    <w:rsid w:val="00C37680"/>
    <w:rsid w:val="00C376BE"/>
    <w:rsid w:val="00C3770F"/>
    <w:rsid w:val="00C37F53"/>
    <w:rsid w:val="00C4001B"/>
    <w:rsid w:val="00C408EF"/>
    <w:rsid w:val="00C40EA5"/>
    <w:rsid w:val="00C40FA4"/>
    <w:rsid w:val="00C410F7"/>
    <w:rsid w:val="00C41BD4"/>
    <w:rsid w:val="00C41C8E"/>
    <w:rsid w:val="00C41CED"/>
    <w:rsid w:val="00C42675"/>
    <w:rsid w:val="00C426B1"/>
    <w:rsid w:val="00C42CA7"/>
    <w:rsid w:val="00C43416"/>
    <w:rsid w:val="00C435D0"/>
    <w:rsid w:val="00C4374A"/>
    <w:rsid w:val="00C437DC"/>
    <w:rsid w:val="00C43E65"/>
    <w:rsid w:val="00C4457A"/>
    <w:rsid w:val="00C446E7"/>
    <w:rsid w:val="00C447C5"/>
    <w:rsid w:val="00C44C51"/>
    <w:rsid w:val="00C44C84"/>
    <w:rsid w:val="00C45093"/>
    <w:rsid w:val="00C45957"/>
    <w:rsid w:val="00C462F5"/>
    <w:rsid w:val="00C46391"/>
    <w:rsid w:val="00C46402"/>
    <w:rsid w:val="00C46C89"/>
    <w:rsid w:val="00C4725A"/>
    <w:rsid w:val="00C473E9"/>
    <w:rsid w:val="00C47485"/>
    <w:rsid w:val="00C47C6E"/>
    <w:rsid w:val="00C50430"/>
    <w:rsid w:val="00C50732"/>
    <w:rsid w:val="00C5094F"/>
    <w:rsid w:val="00C50BE6"/>
    <w:rsid w:val="00C512C2"/>
    <w:rsid w:val="00C51479"/>
    <w:rsid w:val="00C51491"/>
    <w:rsid w:val="00C51AAD"/>
    <w:rsid w:val="00C51CC6"/>
    <w:rsid w:val="00C5212B"/>
    <w:rsid w:val="00C524F8"/>
    <w:rsid w:val="00C52A15"/>
    <w:rsid w:val="00C52E29"/>
    <w:rsid w:val="00C52EC9"/>
    <w:rsid w:val="00C52ED9"/>
    <w:rsid w:val="00C52F96"/>
    <w:rsid w:val="00C53126"/>
    <w:rsid w:val="00C5319E"/>
    <w:rsid w:val="00C537AB"/>
    <w:rsid w:val="00C53987"/>
    <w:rsid w:val="00C53ABE"/>
    <w:rsid w:val="00C53BB2"/>
    <w:rsid w:val="00C53EDE"/>
    <w:rsid w:val="00C53F96"/>
    <w:rsid w:val="00C54068"/>
    <w:rsid w:val="00C5422B"/>
    <w:rsid w:val="00C546D4"/>
    <w:rsid w:val="00C5523C"/>
    <w:rsid w:val="00C5538C"/>
    <w:rsid w:val="00C555CD"/>
    <w:rsid w:val="00C556A5"/>
    <w:rsid w:val="00C56074"/>
    <w:rsid w:val="00C5610A"/>
    <w:rsid w:val="00C5614F"/>
    <w:rsid w:val="00C564E3"/>
    <w:rsid w:val="00C571EB"/>
    <w:rsid w:val="00C57426"/>
    <w:rsid w:val="00C575A4"/>
    <w:rsid w:val="00C576A2"/>
    <w:rsid w:val="00C576BC"/>
    <w:rsid w:val="00C57720"/>
    <w:rsid w:val="00C57BA9"/>
    <w:rsid w:val="00C57D35"/>
    <w:rsid w:val="00C60033"/>
    <w:rsid w:val="00C60079"/>
    <w:rsid w:val="00C6011A"/>
    <w:rsid w:val="00C602A1"/>
    <w:rsid w:val="00C604A7"/>
    <w:rsid w:val="00C6071E"/>
    <w:rsid w:val="00C607C8"/>
    <w:rsid w:val="00C60ABA"/>
    <w:rsid w:val="00C61005"/>
    <w:rsid w:val="00C61060"/>
    <w:rsid w:val="00C61388"/>
    <w:rsid w:val="00C61394"/>
    <w:rsid w:val="00C6142B"/>
    <w:rsid w:val="00C618C0"/>
    <w:rsid w:val="00C61B28"/>
    <w:rsid w:val="00C61E72"/>
    <w:rsid w:val="00C620B2"/>
    <w:rsid w:val="00C62165"/>
    <w:rsid w:val="00C624A6"/>
    <w:rsid w:val="00C62A68"/>
    <w:rsid w:val="00C63445"/>
    <w:rsid w:val="00C6356A"/>
    <w:rsid w:val="00C6359D"/>
    <w:rsid w:val="00C63FD4"/>
    <w:rsid w:val="00C642B8"/>
    <w:rsid w:val="00C6433A"/>
    <w:rsid w:val="00C644AA"/>
    <w:rsid w:val="00C64518"/>
    <w:rsid w:val="00C645F4"/>
    <w:rsid w:val="00C646E2"/>
    <w:rsid w:val="00C64AFB"/>
    <w:rsid w:val="00C64B43"/>
    <w:rsid w:val="00C64B5B"/>
    <w:rsid w:val="00C64D38"/>
    <w:rsid w:val="00C64DB2"/>
    <w:rsid w:val="00C6594F"/>
    <w:rsid w:val="00C65A04"/>
    <w:rsid w:val="00C65C64"/>
    <w:rsid w:val="00C665E2"/>
    <w:rsid w:val="00C66B2D"/>
    <w:rsid w:val="00C66B4E"/>
    <w:rsid w:val="00C677F2"/>
    <w:rsid w:val="00C67808"/>
    <w:rsid w:val="00C70838"/>
    <w:rsid w:val="00C70A9E"/>
    <w:rsid w:val="00C70ABD"/>
    <w:rsid w:val="00C70B08"/>
    <w:rsid w:val="00C70D0B"/>
    <w:rsid w:val="00C70F31"/>
    <w:rsid w:val="00C7114F"/>
    <w:rsid w:val="00C712DA"/>
    <w:rsid w:val="00C71314"/>
    <w:rsid w:val="00C71802"/>
    <w:rsid w:val="00C7189F"/>
    <w:rsid w:val="00C71A43"/>
    <w:rsid w:val="00C71E93"/>
    <w:rsid w:val="00C71EB2"/>
    <w:rsid w:val="00C7280F"/>
    <w:rsid w:val="00C72C6F"/>
    <w:rsid w:val="00C730FC"/>
    <w:rsid w:val="00C7322E"/>
    <w:rsid w:val="00C7349F"/>
    <w:rsid w:val="00C7396E"/>
    <w:rsid w:val="00C73E29"/>
    <w:rsid w:val="00C73EBE"/>
    <w:rsid w:val="00C73ED6"/>
    <w:rsid w:val="00C74240"/>
    <w:rsid w:val="00C743C3"/>
    <w:rsid w:val="00C744F8"/>
    <w:rsid w:val="00C7450E"/>
    <w:rsid w:val="00C7463C"/>
    <w:rsid w:val="00C74A7E"/>
    <w:rsid w:val="00C74AF0"/>
    <w:rsid w:val="00C74D08"/>
    <w:rsid w:val="00C74DB9"/>
    <w:rsid w:val="00C74EDD"/>
    <w:rsid w:val="00C7590B"/>
    <w:rsid w:val="00C759BD"/>
    <w:rsid w:val="00C800D7"/>
    <w:rsid w:val="00C80599"/>
    <w:rsid w:val="00C80B93"/>
    <w:rsid w:val="00C8104D"/>
    <w:rsid w:val="00C8121F"/>
    <w:rsid w:val="00C812F6"/>
    <w:rsid w:val="00C81E30"/>
    <w:rsid w:val="00C81F68"/>
    <w:rsid w:val="00C822AD"/>
    <w:rsid w:val="00C82556"/>
    <w:rsid w:val="00C827F5"/>
    <w:rsid w:val="00C82CB3"/>
    <w:rsid w:val="00C82F80"/>
    <w:rsid w:val="00C832E6"/>
    <w:rsid w:val="00C83847"/>
    <w:rsid w:val="00C83D0D"/>
    <w:rsid w:val="00C83D5B"/>
    <w:rsid w:val="00C840B6"/>
    <w:rsid w:val="00C84597"/>
    <w:rsid w:val="00C8499B"/>
    <w:rsid w:val="00C85057"/>
    <w:rsid w:val="00C8544D"/>
    <w:rsid w:val="00C85895"/>
    <w:rsid w:val="00C85AC4"/>
    <w:rsid w:val="00C85DFC"/>
    <w:rsid w:val="00C85E0E"/>
    <w:rsid w:val="00C85EC3"/>
    <w:rsid w:val="00C85F8D"/>
    <w:rsid w:val="00C85FB1"/>
    <w:rsid w:val="00C8608A"/>
    <w:rsid w:val="00C86201"/>
    <w:rsid w:val="00C863BB"/>
    <w:rsid w:val="00C8642C"/>
    <w:rsid w:val="00C864A9"/>
    <w:rsid w:val="00C86A38"/>
    <w:rsid w:val="00C86AAF"/>
    <w:rsid w:val="00C876AD"/>
    <w:rsid w:val="00C87C22"/>
    <w:rsid w:val="00C87FDE"/>
    <w:rsid w:val="00C9005D"/>
    <w:rsid w:val="00C907C0"/>
    <w:rsid w:val="00C9084A"/>
    <w:rsid w:val="00C90E5F"/>
    <w:rsid w:val="00C910E9"/>
    <w:rsid w:val="00C912A5"/>
    <w:rsid w:val="00C9185D"/>
    <w:rsid w:val="00C918D5"/>
    <w:rsid w:val="00C91A5F"/>
    <w:rsid w:val="00C91D2C"/>
    <w:rsid w:val="00C92C74"/>
    <w:rsid w:val="00C92D0A"/>
    <w:rsid w:val="00C93869"/>
    <w:rsid w:val="00C93A98"/>
    <w:rsid w:val="00C93AB4"/>
    <w:rsid w:val="00C93C67"/>
    <w:rsid w:val="00C93CBB"/>
    <w:rsid w:val="00C93CC6"/>
    <w:rsid w:val="00C93D17"/>
    <w:rsid w:val="00C942A0"/>
    <w:rsid w:val="00C94AF5"/>
    <w:rsid w:val="00C94E64"/>
    <w:rsid w:val="00C952FB"/>
    <w:rsid w:val="00C9586C"/>
    <w:rsid w:val="00C9590A"/>
    <w:rsid w:val="00C95D82"/>
    <w:rsid w:val="00C95E74"/>
    <w:rsid w:val="00C95EAF"/>
    <w:rsid w:val="00C9613E"/>
    <w:rsid w:val="00C961A6"/>
    <w:rsid w:val="00C96406"/>
    <w:rsid w:val="00C96594"/>
    <w:rsid w:val="00C96790"/>
    <w:rsid w:val="00C968DF"/>
    <w:rsid w:val="00C96A80"/>
    <w:rsid w:val="00C96E74"/>
    <w:rsid w:val="00C970D0"/>
    <w:rsid w:val="00C97283"/>
    <w:rsid w:val="00C9757D"/>
    <w:rsid w:val="00C9777B"/>
    <w:rsid w:val="00C978DA"/>
    <w:rsid w:val="00C97B54"/>
    <w:rsid w:val="00C97E25"/>
    <w:rsid w:val="00CA017A"/>
    <w:rsid w:val="00CA02B7"/>
    <w:rsid w:val="00CA031A"/>
    <w:rsid w:val="00CA041C"/>
    <w:rsid w:val="00CA061C"/>
    <w:rsid w:val="00CA0636"/>
    <w:rsid w:val="00CA12F8"/>
    <w:rsid w:val="00CA139E"/>
    <w:rsid w:val="00CA14E1"/>
    <w:rsid w:val="00CA197D"/>
    <w:rsid w:val="00CA1C31"/>
    <w:rsid w:val="00CA1E71"/>
    <w:rsid w:val="00CA32AE"/>
    <w:rsid w:val="00CA32E7"/>
    <w:rsid w:val="00CA3347"/>
    <w:rsid w:val="00CA3354"/>
    <w:rsid w:val="00CA3A50"/>
    <w:rsid w:val="00CA3D55"/>
    <w:rsid w:val="00CA3F52"/>
    <w:rsid w:val="00CA49DA"/>
    <w:rsid w:val="00CA4AFA"/>
    <w:rsid w:val="00CA4B45"/>
    <w:rsid w:val="00CA4BF5"/>
    <w:rsid w:val="00CA4F1B"/>
    <w:rsid w:val="00CA52C5"/>
    <w:rsid w:val="00CA531C"/>
    <w:rsid w:val="00CA5356"/>
    <w:rsid w:val="00CA5631"/>
    <w:rsid w:val="00CA57F8"/>
    <w:rsid w:val="00CA58F7"/>
    <w:rsid w:val="00CA5F1C"/>
    <w:rsid w:val="00CA6344"/>
    <w:rsid w:val="00CA6473"/>
    <w:rsid w:val="00CA66B6"/>
    <w:rsid w:val="00CA7110"/>
    <w:rsid w:val="00CA7296"/>
    <w:rsid w:val="00CA7B83"/>
    <w:rsid w:val="00CA7B9C"/>
    <w:rsid w:val="00CB01D4"/>
    <w:rsid w:val="00CB0B6E"/>
    <w:rsid w:val="00CB11AB"/>
    <w:rsid w:val="00CB1397"/>
    <w:rsid w:val="00CB14F1"/>
    <w:rsid w:val="00CB1E4C"/>
    <w:rsid w:val="00CB20BD"/>
    <w:rsid w:val="00CB2745"/>
    <w:rsid w:val="00CB2912"/>
    <w:rsid w:val="00CB2EE9"/>
    <w:rsid w:val="00CB3206"/>
    <w:rsid w:val="00CB3427"/>
    <w:rsid w:val="00CB35BA"/>
    <w:rsid w:val="00CB35EA"/>
    <w:rsid w:val="00CB3A52"/>
    <w:rsid w:val="00CB3BF2"/>
    <w:rsid w:val="00CB412E"/>
    <w:rsid w:val="00CB5308"/>
    <w:rsid w:val="00CB5BAE"/>
    <w:rsid w:val="00CB5C98"/>
    <w:rsid w:val="00CB5F43"/>
    <w:rsid w:val="00CB5FC2"/>
    <w:rsid w:val="00CB6702"/>
    <w:rsid w:val="00CB6843"/>
    <w:rsid w:val="00CB6A98"/>
    <w:rsid w:val="00CB6C09"/>
    <w:rsid w:val="00CB6E44"/>
    <w:rsid w:val="00CB76E4"/>
    <w:rsid w:val="00CB76ED"/>
    <w:rsid w:val="00CB7A9C"/>
    <w:rsid w:val="00CB7F62"/>
    <w:rsid w:val="00CC00A0"/>
    <w:rsid w:val="00CC016D"/>
    <w:rsid w:val="00CC043C"/>
    <w:rsid w:val="00CC0AE7"/>
    <w:rsid w:val="00CC0F5B"/>
    <w:rsid w:val="00CC0F9C"/>
    <w:rsid w:val="00CC157E"/>
    <w:rsid w:val="00CC19C9"/>
    <w:rsid w:val="00CC2035"/>
    <w:rsid w:val="00CC24F1"/>
    <w:rsid w:val="00CC27B2"/>
    <w:rsid w:val="00CC2A3E"/>
    <w:rsid w:val="00CC3501"/>
    <w:rsid w:val="00CC3679"/>
    <w:rsid w:val="00CC3918"/>
    <w:rsid w:val="00CC41B1"/>
    <w:rsid w:val="00CC4769"/>
    <w:rsid w:val="00CC477B"/>
    <w:rsid w:val="00CC4C9C"/>
    <w:rsid w:val="00CC5128"/>
    <w:rsid w:val="00CC54EA"/>
    <w:rsid w:val="00CC5CC4"/>
    <w:rsid w:val="00CC5F62"/>
    <w:rsid w:val="00CC6055"/>
    <w:rsid w:val="00CC6558"/>
    <w:rsid w:val="00CC6C11"/>
    <w:rsid w:val="00CC6F6F"/>
    <w:rsid w:val="00CC71E6"/>
    <w:rsid w:val="00CC7783"/>
    <w:rsid w:val="00CC78C4"/>
    <w:rsid w:val="00CC7F45"/>
    <w:rsid w:val="00CC7F7B"/>
    <w:rsid w:val="00CD0241"/>
    <w:rsid w:val="00CD036C"/>
    <w:rsid w:val="00CD051F"/>
    <w:rsid w:val="00CD0D04"/>
    <w:rsid w:val="00CD0DFC"/>
    <w:rsid w:val="00CD0F29"/>
    <w:rsid w:val="00CD1129"/>
    <w:rsid w:val="00CD1B3E"/>
    <w:rsid w:val="00CD1F4D"/>
    <w:rsid w:val="00CD1FBD"/>
    <w:rsid w:val="00CD24A6"/>
    <w:rsid w:val="00CD269E"/>
    <w:rsid w:val="00CD3461"/>
    <w:rsid w:val="00CD3714"/>
    <w:rsid w:val="00CD3E6A"/>
    <w:rsid w:val="00CD41FC"/>
    <w:rsid w:val="00CD445D"/>
    <w:rsid w:val="00CD446E"/>
    <w:rsid w:val="00CD4682"/>
    <w:rsid w:val="00CD4CB5"/>
    <w:rsid w:val="00CD5547"/>
    <w:rsid w:val="00CD56A3"/>
    <w:rsid w:val="00CD5801"/>
    <w:rsid w:val="00CD59E8"/>
    <w:rsid w:val="00CD5B4E"/>
    <w:rsid w:val="00CD5CF3"/>
    <w:rsid w:val="00CD60C8"/>
    <w:rsid w:val="00CD620B"/>
    <w:rsid w:val="00CD6238"/>
    <w:rsid w:val="00CD625D"/>
    <w:rsid w:val="00CD6549"/>
    <w:rsid w:val="00CD68A9"/>
    <w:rsid w:val="00CD68FB"/>
    <w:rsid w:val="00CD70CC"/>
    <w:rsid w:val="00CD72BF"/>
    <w:rsid w:val="00CD7399"/>
    <w:rsid w:val="00CD7401"/>
    <w:rsid w:val="00CD7BE2"/>
    <w:rsid w:val="00CD7DF5"/>
    <w:rsid w:val="00CD7EDC"/>
    <w:rsid w:val="00CD7F9E"/>
    <w:rsid w:val="00CE0537"/>
    <w:rsid w:val="00CE0948"/>
    <w:rsid w:val="00CE0A78"/>
    <w:rsid w:val="00CE0DF3"/>
    <w:rsid w:val="00CE0F97"/>
    <w:rsid w:val="00CE1714"/>
    <w:rsid w:val="00CE1789"/>
    <w:rsid w:val="00CE18E5"/>
    <w:rsid w:val="00CE1989"/>
    <w:rsid w:val="00CE19C2"/>
    <w:rsid w:val="00CE1CC1"/>
    <w:rsid w:val="00CE1F76"/>
    <w:rsid w:val="00CE242A"/>
    <w:rsid w:val="00CE2567"/>
    <w:rsid w:val="00CE26FA"/>
    <w:rsid w:val="00CE2CDB"/>
    <w:rsid w:val="00CE4129"/>
    <w:rsid w:val="00CE4252"/>
    <w:rsid w:val="00CE4600"/>
    <w:rsid w:val="00CE4762"/>
    <w:rsid w:val="00CE4E21"/>
    <w:rsid w:val="00CE4E46"/>
    <w:rsid w:val="00CE4F9F"/>
    <w:rsid w:val="00CE51AD"/>
    <w:rsid w:val="00CE5268"/>
    <w:rsid w:val="00CE5C18"/>
    <w:rsid w:val="00CE5C90"/>
    <w:rsid w:val="00CE61D6"/>
    <w:rsid w:val="00CE6216"/>
    <w:rsid w:val="00CE62BB"/>
    <w:rsid w:val="00CE6735"/>
    <w:rsid w:val="00CE695B"/>
    <w:rsid w:val="00CE69D7"/>
    <w:rsid w:val="00CE6BF8"/>
    <w:rsid w:val="00CE789A"/>
    <w:rsid w:val="00CE7A5B"/>
    <w:rsid w:val="00CE7EF8"/>
    <w:rsid w:val="00CF00A4"/>
    <w:rsid w:val="00CF0745"/>
    <w:rsid w:val="00CF077B"/>
    <w:rsid w:val="00CF0EA5"/>
    <w:rsid w:val="00CF0EEA"/>
    <w:rsid w:val="00CF147A"/>
    <w:rsid w:val="00CF15AF"/>
    <w:rsid w:val="00CF1895"/>
    <w:rsid w:val="00CF18E6"/>
    <w:rsid w:val="00CF1B6A"/>
    <w:rsid w:val="00CF2277"/>
    <w:rsid w:val="00CF2494"/>
    <w:rsid w:val="00CF2816"/>
    <w:rsid w:val="00CF283A"/>
    <w:rsid w:val="00CF2B4C"/>
    <w:rsid w:val="00CF38AC"/>
    <w:rsid w:val="00CF3A4B"/>
    <w:rsid w:val="00CF3A8F"/>
    <w:rsid w:val="00CF441D"/>
    <w:rsid w:val="00CF4514"/>
    <w:rsid w:val="00CF47A0"/>
    <w:rsid w:val="00CF4D8A"/>
    <w:rsid w:val="00CF5090"/>
    <w:rsid w:val="00CF54E0"/>
    <w:rsid w:val="00CF5566"/>
    <w:rsid w:val="00CF5A5A"/>
    <w:rsid w:val="00CF5C9B"/>
    <w:rsid w:val="00CF5D5B"/>
    <w:rsid w:val="00CF6302"/>
    <w:rsid w:val="00CF638D"/>
    <w:rsid w:val="00CF6701"/>
    <w:rsid w:val="00CF6853"/>
    <w:rsid w:val="00CF69C1"/>
    <w:rsid w:val="00CF6D9D"/>
    <w:rsid w:val="00CF7237"/>
    <w:rsid w:val="00CF76F6"/>
    <w:rsid w:val="00CF79CB"/>
    <w:rsid w:val="00CF7DD8"/>
    <w:rsid w:val="00D001CD"/>
    <w:rsid w:val="00D002A6"/>
    <w:rsid w:val="00D005FB"/>
    <w:rsid w:val="00D007BC"/>
    <w:rsid w:val="00D01046"/>
    <w:rsid w:val="00D010D9"/>
    <w:rsid w:val="00D01A9E"/>
    <w:rsid w:val="00D028F4"/>
    <w:rsid w:val="00D0298D"/>
    <w:rsid w:val="00D02B71"/>
    <w:rsid w:val="00D03325"/>
    <w:rsid w:val="00D03A4F"/>
    <w:rsid w:val="00D0414A"/>
    <w:rsid w:val="00D042DF"/>
    <w:rsid w:val="00D048E6"/>
    <w:rsid w:val="00D04A29"/>
    <w:rsid w:val="00D04AB7"/>
    <w:rsid w:val="00D04BBF"/>
    <w:rsid w:val="00D05094"/>
    <w:rsid w:val="00D05416"/>
    <w:rsid w:val="00D05726"/>
    <w:rsid w:val="00D05D3C"/>
    <w:rsid w:val="00D05DB3"/>
    <w:rsid w:val="00D05E02"/>
    <w:rsid w:val="00D0605E"/>
    <w:rsid w:val="00D060F4"/>
    <w:rsid w:val="00D066D2"/>
    <w:rsid w:val="00D06893"/>
    <w:rsid w:val="00D068CF"/>
    <w:rsid w:val="00D06ACE"/>
    <w:rsid w:val="00D06F23"/>
    <w:rsid w:val="00D07408"/>
    <w:rsid w:val="00D077DC"/>
    <w:rsid w:val="00D078A4"/>
    <w:rsid w:val="00D078EB"/>
    <w:rsid w:val="00D07DC7"/>
    <w:rsid w:val="00D101E4"/>
    <w:rsid w:val="00D10777"/>
    <w:rsid w:val="00D1108D"/>
    <w:rsid w:val="00D112B2"/>
    <w:rsid w:val="00D116C0"/>
    <w:rsid w:val="00D116E5"/>
    <w:rsid w:val="00D118F2"/>
    <w:rsid w:val="00D11B4A"/>
    <w:rsid w:val="00D11F78"/>
    <w:rsid w:val="00D123D7"/>
    <w:rsid w:val="00D12501"/>
    <w:rsid w:val="00D12BAE"/>
    <w:rsid w:val="00D131B1"/>
    <w:rsid w:val="00D134B6"/>
    <w:rsid w:val="00D135CF"/>
    <w:rsid w:val="00D13C1C"/>
    <w:rsid w:val="00D1424E"/>
    <w:rsid w:val="00D1484F"/>
    <w:rsid w:val="00D15677"/>
    <w:rsid w:val="00D156C9"/>
    <w:rsid w:val="00D15FA2"/>
    <w:rsid w:val="00D16230"/>
    <w:rsid w:val="00D16398"/>
    <w:rsid w:val="00D16B28"/>
    <w:rsid w:val="00D171FC"/>
    <w:rsid w:val="00D17301"/>
    <w:rsid w:val="00D176AE"/>
    <w:rsid w:val="00D17BD6"/>
    <w:rsid w:val="00D17D69"/>
    <w:rsid w:val="00D200DD"/>
    <w:rsid w:val="00D20895"/>
    <w:rsid w:val="00D2089D"/>
    <w:rsid w:val="00D208B2"/>
    <w:rsid w:val="00D20EB0"/>
    <w:rsid w:val="00D21079"/>
    <w:rsid w:val="00D21161"/>
    <w:rsid w:val="00D21626"/>
    <w:rsid w:val="00D21E36"/>
    <w:rsid w:val="00D2228F"/>
    <w:rsid w:val="00D22430"/>
    <w:rsid w:val="00D22618"/>
    <w:rsid w:val="00D228CD"/>
    <w:rsid w:val="00D23396"/>
    <w:rsid w:val="00D240E2"/>
    <w:rsid w:val="00D242D8"/>
    <w:rsid w:val="00D24B14"/>
    <w:rsid w:val="00D24CD9"/>
    <w:rsid w:val="00D2602E"/>
    <w:rsid w:val="00D2632C"/>
    <w:rsid w:val="00D26A9D"/>
    <w:rsid w:val="00D26B74"/>
    <w:rsid w:val="00D26D7A"/>
    <w:rsid w:val="00D26EED"/>
    <w:rsid w:val="00D27791"/>
    <w:rsid w:val="00D27827"/>
    <w:rsid w:val="00D27A84"/>
    <w:rsid w:val="00D27F0D"/>
    <w:rsid w:val="00D30A44"/>
    <w:rsid w:val="00D30A58"/>
    <w:rsid w:val="00D310F1"/>
    <w:rsid w:val="00D310FF"/>
    <w:rsid w:val="00D3132D"/>
    <w:rsid w:val="00D31361"/>
    <w:rsid w:val="00D31783"/>
    <w:rsid w:val="00D31964"/>
    <w:rsid w:val="00D322B0"/>
    <w:rsid w:val="00D32A23"/>
    <w:rsid w:val="00D32DFE"/>
    <w:rsid w:val="00D32EF1"/>
    <w:rsid w:val="00D33175"/>
    <w:rsid w:val="00D3354B"/>
    <w:rsid w:val="00D3399A"/>
    <w:rsid w:val="00D33EE9"/>
    <w:rsid w:val="00D341AC"/>
    <w:rsid w:val="00D344B0"/>
    <w:rsid w:val="00D345FB"/>
    <w:rsid w:val="00D34968"/>
    <w:rsid w:val="00D34DE6"/>
    <w:rsid w:val="00D34F8B"/>
    <w:rsid w:val="00D350CC"/>
    <w:rsid w:val="00D3671F"/>
    <w:rsid w:val="00D37346"/>
    <w:rsid w:val="00D378AE"/>
    <w:rsid w:val="00D37ACF"/>
    <w:rsid w:val="00D37D04"/>
    <w:rsid w:val="00D40447"/>
    <w:rsid w:val="00D40721"/>
    <w:rsid w:val="00D40A97"/>
    <w:rsid w:val="00D40DA1"/>
    <w:rsid w:val="00D41261"/>
    <w:rsid w:val="00D414EF"/>
    <w:rsid w:val="00D4166A"/>
    <w:rsid w:val="00D41A75"/>
    <w:rsid w:val="00D41D3D"/>
    <w:rsid w:val="00D4257F"/>
    <w:rsid w:val="00D425AD"/>
    <w:rsid w:val="00D42735"/>
    <w:rsid w:val="00D42ED4"/>
    <w:rsid w:val="00D433DC"/>
    <w:rsid w:val="00D434B7"/>
    <w:rsid w:val="00D43761"/>
    <w:rsid w:val="00D439D2"/>
    <w:rsid w:val="00D43A7E"/>
    <w:rsid w:val="00D43B3D"/>
    <w:rsid w:val="00D4467B"/>
    <w:rsid w:val="00D44AA3"/>
    <w:rsid w:val="00D44D9D"/>
    <w:rsid w:val="00D45725"/>
    <w:rsid w:val="00D45BEF"/>
    <w:rsid w:val="00D45E96"/>
    <w:rsid w:val="00D45F79"/>
    <w:rsid w:val="00D46269"/>
    <w:rsid w:val="00D4627A"/>
    <w:rsid w:val="00D465B2"/>
    <w:rsid w:val="00D468A0"/>
    <w:rsid w:val="00D46BAD"/>
    <w:rsid w:val="00D46E86"/>
    <w:rsid w:val="00D47520"/>
    <w:rsid w:val="00D4776B"/>
    <w:rsid w:val="00D478FA"/>
    <w:rsid w:val="00D47C2A"/>
    <w:rsid w:val="00D47E43"/>
    <w:rsid w:val="00D47FC4"/>
    <w:rsid w:val="00D50016"/>
    <w:rsid w:val="00D502D5"/>
    <w:rsid w:val="00D503EA"/>
    <w:rsid w:val="00D50405"/>
    <w:rsid w:val="00D506FD"/>
    <w:rsid w:val="00D5071D"/>
    <w:rsid w:val="00D50A3E"/>
    <w:rsid w:val="00D50D62"/>
    <w:rsid w:val="00D514A6"/>
    <w:rsid w:val="00D51A99"/>
    <w:rsid w:val="00D52D9D"/>
    <w:rsid w:val="00D531D7"/>
    <w:rsid w:val="00D535A2"/>
    <w:rsid w:val="00D5374D"/>
    <w:rsid w:val="00D539C2"/>
    <w:rsid w:val="00D53A3A"/>
    <w:rsid w:val="00D53A9B"/>
    <w:rsid w:val="00D53C5E"/>
    <w:rsid w:val="00D53D04"/>
    <w:rsid w:val="00D53E16"/>
    <w:rsid w:val="00D545B5"/>
    <w:rsid w:val="00D54691"/>
    <w:rsid w:val="00D546FF"/>
    <w:rsid w:val="00D55C0D"/>
    <w:rsid w:val="00D560A2"/>
    <w:rsid w:val="00D56282"/>
    <w:rsid w:val="00D566B7"/>
    <w:rsid w:val="00D56878"/>
    <w:rsid w:val="00D568B7"/>
    <w:rsid w:val="00D56906"/>
    <w:rsid w:val="00D57108"/>
    <w:rsid w:val="00D57360"/>
    <w:rsid w:val="00D57C29"/>
    <w:rsid w:val="00D60157"/>
    <w:rsid w:val="00D601E4"/>
    <w:rsid w:val="00D60621"/>
    <w:rsid w:val="00D606D9"/>
    <w:rsid w:val="00D60A4E"/>
    <w:rsid w:val="00D60A51"/>
    <w:rsid w:val="00D60CC4"/>
    <w:rsid w:val="00D61C55"/>
    <w:rsid w:val="00D61EE1"/>
    <w:rsid w:val="00D6205F"/>
    <w:rsid w:val="00D6218D"/>
    <w:rsid w:val="00D6234F"/>
    <w:rsid w:val="00D625A3"/>
    <w:rsid w:val="00D62917"/>
    <w:rsid w:val="00D62B76"/>
    <w:rsid w:val="00D62EB9"/>
    <w:rsid w:val="00D632E9"/>
    <w:rsid w:val="00D63733"/>
    <w:rsid w:val="00D64562"/>
    <w:rsid w:val="00D647A1"/>
    <w:rsid w:val="00D64AB8"/>
    <w:rsid w:val="00D6508D"/>
    <w:rsid w:val="00D65289"/>
    <w:rsid w:val="00D65418"/>
    <w:rsid w:val="00D663FC"/>
    <w:rsid w:val="00D66DDA"/>
    <w:rsid w:val="00D6709C"/>
    <w:rsid w:val="00D670D6"/>
    <w:rsid w:val="00D67440"/>
    <w:rsid w:val="00D675A2"/>
    <w:rsid w:val="00D6766B"/>
    <w:rsid w:val="00D67770"/>
    <w:rsid w:val="00D6785B"/>
    <w:rsid w:val="00D70468"/>
    <w:rsid w:val="00D70484"/>
    <w:rsid w:val="00D70754"/>
    <w:rsid w:val="00D71C1B"/>
    <w:rsid w:val="00D724BD"/>
    <w:rsid w:val="00D72A5E"/>
    <w:rsid w:val="00D72E36"/>
    <w:rsid w:val="00D74033"/>
    <w:rsid w:val="00D740B7"/>
    <w:rsid w:val="00D74337"/>
    <w:rsid w:val="00D743FA"/>
    <w:rsid w:val="00D74804"/>
    <w:rsid w:val="00D74C82"/>
    <w:rsid w:val="00D74EAF"/>
    <w:rsid w:val="00D74F46"/>
    <w:rsid w:val="00D75351"/>
    <w:rsid w:val="00D75446"/>
    <w:rsid w:val="00D7552B"/>
    <w:rsid w:val="00D7598F"/>
    <w:rsid w:val="00D75AB7"/>
    <w:rsid w:val="00D768E4"/>
    <w:rsid w:val="00D76EF5"/>
    <w:rsid w:val="00D77182"/>
    <w:rsid w:val="00D7737B"/>
    <w:rsid w:val="00D7738F"/>
    <w:rsid w:val="00D7740F"/>
    <w:rsid w:val="00D774AB"/>
    <w:rsid w:val="00D77584"/>
    <w:rsid w:val="00D77690"/>
    <w:rsid w:val="00D778FC"/>
    <w:rsid w:val="00D8038C"/>
    <w:rsid w:val="00D8083D"/>
    <w:rsid w:val="00D80A7D"/>
    <w:rsid w:val="00D80BD5"/>
    <w:rsid w:val="00D80BFF"/>
    <w:rsid w:val="00D8128C"/>
    <w:rsid w:val="00D81511"/>
    <w:rsid w:val="00D81614"/>
    <w:rsid w:val="00D81A07"/>
    <w:rsid w:val="00D81C11"/>
    <w:rsid w:val="00D82117"/>
    <w:rsid w:val="00D82190"/>
    <w:rsid w:val="00D82375"/>
    <w:rsid w:val="00D82655"/>
    <w:rsid w:val="00D82D44"/>
    <w:rsid w:val="00D82F7A"/>
    <w:rsid w:val="00D82FD3"/>
    <w:rsid w:val="00D83098"/>
    <w:rsid w:val="00D8325B"/>
    <w:rsid w:val="00D83555"/>
    <w:rsid w:val="00D83931"/>
    <w:rsid w:val="00D83953"/>
    <w:rsid w:val="00D83C53"/>
    <w:rsid w:val="00D83CC8"/>
    <w:rsid w:val="00D83DF1"/>
    <w:rsid w:val="00D84466"/>
    <w:rsid w:val="00D8450A"/>
    <w:rsid w:val="00D847CD"/>
    <w:rsid w:val="00D849FB"/>
    <w:rsid w:val="00D84C19"/>
    <w:rsid w:val="00D84C48"/>
    <w:rsid w:val="00D84DF9"/>
    <w:rsid w:val="00D84FE3"/>
    <w:rsid w:val="00D85CC4"/>
    <w:rsid w:val="00D85F8B"/>
    <w:rsid w:val="00D86352"/>
    <w:rsid w:val="00D86514"/>
    <w:rsid w:val="00D86B19"/>
    <w:rsid w:val="00D86C13"/>
    <w:rsid w:val="00D86C50"/>
    <w:rsid w:val="00D871D5"/>
    <w:rsid w:val="00D87449"/>
    <w:rsid w:val="00D8759B"/>
    <w:rsid w:val="00D903D7"/>
    <w:rsid w:val="00D9056D"/>
    <w:rsid w:val="00D909C6"/>
    <w:rsid w:val="00D91414"/>
    <w:rsid w:val="00D9165E"/>
    <w:rsid w:val="00D92110"/>
    <w:rsid w:val="00D92417"/>
    <w:rsid w:val="00D92848"/>
    <w:rsid w:val="00D929C7"/>
    <w:rsid w:val="00D92CEE"/>
    <w:rsid w:val="00D92D73"/>
    <w:rsid w:val="00D92F7B"/>
    <w:rsid w:val="00D92FCA"/>
    <w:rsid w:val="00D930B5"/>
    <w:rsid w:val="00D9374A"/>
    <w:rsid w:val="00D93C2C"/>
    <w:rsid w:val="00D93FE3"/>
    <w:rsid w:val="00D94540"/>
    <w:rsid w:val="00D945DB"/>
    <w:rsid w:val="00D94C74"/>
    <w:rsid w:val="00D94C7D"/>
    <w:rsid w:val="00D95BAD"/>
    <w:rsid w:val="00D96029"/>
    <w:rsid w:val="00D9654B"/>
    <w:rsid w:val="00D96A4D"/>
    <w:rsid w:val="00D96A6B"/>
    <w:rsid w:val="00D96AB0"/>
    <w:rsid w:val="00D9704A"/>
    <w:rsid w:val="00D9720F"/>
    <w:rsid w:val="00D97281"/>
    <w:rsid w:val="00D9753E"/>
    <w:rsid w:val="00D975D2"/>
    <w:rsid w:val="00D977B9"/>
    <w:rsid w:val="00D97D16"/>
    <w:rsid w:val="00DA0446"/>
    <w:rsid w:val="00DA06DD"/>
    <w:rsid w:val="00DA1450"/>
    <w:rsid w:val="00DA1733"/>
    <w:rsid w:val="00DA1938"/>
    <w:rsid w:val="00DA19FB"/>
    <w:rsid w:val="00DA1E8A"/>
    <w:rsid w:val="00DA2825"/>
    <w:rsid w:val="00DA31C4"/>
    <w:rsid w:val="00DA3326"/>
    <w:rsid w:val="00DA3443"/>
    <w:rsid w:val="00DA3792"/>
    <w:rsid w:val="00DA3B4A"/>
    <w:rsid w:val="00DA3FA8"/>
    <w:rsid w:val="00DA51A5"/>
    <w:rsid w:val="00DA557C"/>
    <w:rsid w:val="00DA5628"/>
    <w:rsid w:val="00DA5D49"/>
    <w:rsid w:val="00DA5D98"/>
    <w:rsid w:val="00DA5DE3"/>
    <w:rsid w:val="00DA5EE8"/>
    <w:rsid w:val="00DA5F9E"/>
    <w:rsid w:val="00DA6555"/>
    <w:rsid w:val="00DA65EE"/>
    <w:rsid w:val="00DA6996"/>
    <w:rsid w:val="00DA6A17"/>
    <w:rsid w:val="00DA6D86"/>
    <w:rsid w:val="00DA7507"/>
    <w:rsid w:val="00DA7A3A"/>
    <w:rsid w:val="00DA7C3F"/>
    <w:rsid w:val="00DB0A54"/>
    <w:rsid w:val="00DB0D7B"/>
    <w:rsid w:val="00DB0DB6"/>
    <w:rsid w:val="00DB156F"/>
    <w:rsid w:val="00DB1A72"/>
    <w:rsid w:val="00DB1B2B"/>
    <w:rsid w:val="00DB1FC1"/>
    <w:rsid w:val="00DB20EB"/>
    <w:rsid w:val="00DB2747"/>
    <w:rsid w:val="00DB2772"/>
    <w:rsid w:val="00DB29B0"/>
    <w:rsid w:val="00DB2B3F"/>
    <w:rsid w:val="00DB373C"/>
    <w:rsid w:val="00DB3B95"/>
    <w:rsid w:val="00DB3F71"/>
    <w:rsid w:val="00DB42A8"/>
    <w:rsid w:val="00DB49B6"/>
    <w:rsid w:val="00DB4A94"/>
    <w:rsid w:val="00DB50D4"/>
    <w:rsid w:val="00DB526C"/>
    <w:rsid w:val="00DB6176"/>
    <w:rsid w:val="00DB74D9"/>
    <w:rsid w:val="00DB7AA1"/>
    <w:rsid w:val="00DB7B79"/>
    <w:rsid w:val="00DC03F7"/>
    <w:rsid w:val="00DC080E"/>
    <w:rsid w:val="00DC09E7"/>
    <w:rsid w:val="00DC0ECF"/>
    <w:rsid w:val="00DC1419"/>
    <w:rsid w:val="00DC142C"/>
    <w:rsid w:val="00DC14B2"/>
    <w:rsid w:val="00DC1726"/>
    <w:rsid w:val="00DC1AB2"/>
    <w:rsid w:val="00DC1B48"/>
    <w:rsid w:val="00DC1C21"/>
    <w:rsid w:val="00DC1EF5"/>
    <w:rsid w:val="00DC26CC"/>
    <w:rsid w:val="00DC2E4D"/>
    <w:rsid w:val="00DC332E"/>
    <w:rsid w:val="00DC340E"/>
    <w:rsid w:val="00DC399E"/>
    <w:rsid w:val="00DC3E55"/>
    <w:rsid w:val="00DC428F"/>
    <w:rsid w:val="00DC44FC"/>
    <w:rsid w:val="00DC47FB"/>
    <w:rsid w:val="00DC490A"/>
    <w:rsid w:val="00DC4984"/>
    <w:rsid w:val="00DC49C1"/>
    <w:rsid w:val="00DC4CF2"/>
    <w:rsid w:val="00DC4D07"/>
    <w:rsid w:val="00DC4D1A"/>
    <w:rsid w:val="00DC5038"/>
    <w:rsid w:val="00DC51E4"/>
    <w:rsid w:val="00DC5969"/>
    <w:rsid w:val="00DC5BE3"/>
    <w:rsid w:val="00DC5CEB"/>
    <w:rsid w:val="00DC6E8F"/>
    <w:rsid w:val="00DC71B2"/>
    <w:rsid w:val="00DC793F"/>
    <w:rsid w:val="00DC7AFE"/>
    <w:rsid w:val="00DC7B36"/>
    <w:rsid w:val="00DC7E34"/>
    <w:rsid w:val="00DC7F07"/>
    <w:rsid w:val="00DD04F6"/>
    <w:rsid w:val="00DD0C3B"/>
    <w:rsid w:val="00DD0C95"/>
    <w:rsid w:val="00DD0EFC"/>
    <w:rsid w:val="00DD10A8"/>
    <w:rsid w:val="00DD1395"/>
    <w:rsid w:val="00DD159C"/>
    <w:rsid w:val="00DD1D80"/>
    <w:rsid w:val="00DD214A"/>
    <w:rsid w:val="00DD2236"/>
    <w:rsid w:val="00DD2658"/>
    <w:rsid w:val="00DD2B25"/>
    <w:rsid w:val="00DD2B32"/>
    <w:rsid w:val="00DD340A"/>
    <w:rsid w:val="00DD379D"/>
    <w:rsid w:val="00DD3908"/>
    <w:rsid w:val="00DD3B98"/>
    <w:rsid w:val="00DD3BCB"/>
    <w:rsid w:val="00DD3DF5"/>
    <w:rsid w:val="00DD4401"/>
    <w:rsid w:val="00DD44B2"/>
    <w:rsid w:val="00DD45DF"/>
    <w:rsid w:val="00DD46A4"/>
    <w:rsid w:val="00DD482E"/>
    <w:rsid w:val="00DD498B"/>
    <w:rsid w:val="00DD4C5C"/>
    <w:rsid w:val="00DD4FDA"/>
    <w:rsid w:val="00DD4FFA"/>
    <w:rsid w:val="00DD5362"/>
    <w:rsid w:val="00DD5574"/>
    <w:rsid w:val="00DD58DF"/>
    <w:rsid w:val="00DD5A6B"/>
    <w:rsid w:val="00DD5F31"/>
    <w:rsid w:val="00DD61F9"/>
    <w:rsid w:val="00DD6312"/>
    <w:rsid w:val="00DD63F1"/>
    <w:rsid w:val="00DD640F"/>
    <w:rsid w:val="00DD6F8B"/>
    <w:rsid w:val="00DD753B"/>
    <w:rsid w:val="00DD7928"/>
    <w:rsid w:val="00DD7B0B"/>
    <w:rsid w:val="00DE0125"/>
    <w:rsid w:val="00DE08D7"/>
    <w:rsid w:val="00DE09F9"/>
    <w:rsid w:val="00DE0ACA"/>
    <w:rsid w:val="00DE0EB2"/>
    <w:rsid w:val="00DE0F53"/>
    <w:rsid w:val="00DE145A"/>
    <w:rsid w:val="00DE14BF"/>
    <w:rsid w:val="00DE18F0"/>
    <w:rsid w:val="00DE1A88"/>
    <w:rsid w:val="00DE2B46"/>
    <w:rsid w:val="00DE2BD7"/>
    <w:rsid w:val="00DE2F1C"/>
    <w:rsid w:val="00DE32A7"/>
    <w:rsid w:val="00DE3306"/>
    <w:rsid w:val="00DE36E4"/>
    <w:rsid w:val="00DE3CE7"/>
    <w:rsid w:val="00DE3D0D"/>
    <w:rsid w:val="00DE3E41"/>
    <w:rsid w:val="00DE40FF"/>
    <w:rsid w:val="00DE4404"/>
    <w:rsid w:val="00DE45F6"/>
    <w:rsid w:val="00DE49E7"/>
    <w:rsid w:val="00DE49F7"/>
    <w:rsid w:val="00DE4CCC"/>
    <w:rsid w:val="00DE4E89"/>
    <w:rsid w:val="00DE556A"/>
    <w:rsid w:val="00DE5A52"/>
    <w:rsid w:val="00DE5B12"/>
    <w:rsid w:val="00DE5D74"/>
    <w:rsid w:val="00DE5E2D"/>
    <w:rsid w:val="00DE5FF5"/>
    <w:rsid w:val="00DE60AE"/>
    <w:rsid w:val="00DE6535"/>
    <w:rsid w:val="00DE6F84"/>
    <w:rsid w:val="00DE7B1C"/>
    <w:rsid w:val="00DE7FA9"/>
    <w:rsid w:val="00DF01C2"/>
    <w:rsid w:val="00DF07E8"/>
    <w:rsid w:val="00DF0ADF"/>
    <w:rsid w:val="00DF13D5"/>
    <w:rsid w:val="00DF16C8"/>
    <w:rsid w:val="00DF21BE"/>
    <w:rsid w:val="00DF247E"/>
    <w:rsid w:val="00DF248C"/>
    <w:rsid w:val="00DF29C3"/>
    <w:rsid w:val="00DF2AAD"/>
    <w:rsid w:val="00DF2AD1"/>
    <w:rsid w:val="00DF3148"/>
    <w:rsid w:val="00DF325A"/>
    <w:rsid w:val="00DF35FD"/>
    <w:rsid w:val="00DF38A2"/>
    <w:rsid w:val="00DF3DFE"/>
    <w:rsid w:val="00DF3E64"/>
    <w:rsid w:val="00DF45FD"/>
    <w:rsid w:val="00DF4740"/>
    <w:rsid w:val="00DF476B"/>
    <w:rsid w:val="00DF4B0C"/>
    <w:rsid w:val="00DF531C"/>
    <w:rsid w:val="00DF53DC"/>
    <w:rsid w:val="00DF5B57"/>
    <w:rsid w:val="00DF5BDE"/>
    <w:rsid w:val="00DF5ED6"/>
    <w:rsid w:val="00DF60BE"/>
    <w:rsid w:val="00DF65CA"/>
    <w:rsid w:val="00DF6887"/>
    <w:rsid w:val="00DF6BA2"/>
    <w:rsid w:val="00DF75B2"/>
    <w:rsid w:val="00DF79EB"/>
    <w:rsid w:val="00DF7F9F"/>
    <w:rsid w:val="00E0010A"/>
    <w:rsid w:val="00E002BB"/>
    <w:rsid w:val="00E00439"/>
    <w:rsid w:val="00E0086A"/>
    <w:rsid w:val="00E00BF1"/>
    <w:rsid w:val="00E00FED"/>
    <w:rsid w:val="00E01EDC"/>
    <w:rsid w:val="00E02030"/>
    <w:rsid w:val="00E0283A"/>
    <w:rsid w:val="00E02F47"/>
    <w:rsid w:val="00E02FB2"/>
    <w:rsid w:val="00E03061"/>
    <w:rsid w:val="00E030D0"/>
    <w:rsid w:val="00E031FE"/>
    <w:rsid w:val="00E03B5B"/>
    <w:rsid w:val="00E03BB8"/>
    <w:rsid w:val="00E03FB3"/>
    <w:rsid w:val="00E0402A"/>
    <w:rsid w:val="00E045FA"/>
    <w:rsid w:val="00E0462E"/>
    <w:rsid w:val="00E0462F"/>
    <w:rsid w:val="00E0473C"/>
    <w:rsid w:val="00E0483C"/>
    <w:rsid w:val="00E04C42"/>
    <w:rsid w:val="00E0518C"/>
    <w:rsid w:val="00E051E4"/>
    <w:rsid w:val="00E054B5"/>
    <w:rsid w:val="00E05519"/>
    <w:rsid w:val="00E05A93"/>
    <w:rsid w:val="00E062DC"/>
    <w:rsid w:val="00E069B8"/>
    <w:rsid w:val="00E06F47"/>
    <w:rsid w:val="00E07999"/>
    <w:rsid w:val="00E100FE"/>
    <w:rsid w:val="00E10709"/>
    <w:rsid w:val="00E10ADF"/>
    <w:rsid w:val="00E1107F"/>
    <w:rsid w:val="00E11443"/>
    <w:rsid w:val="00E11BC7"/>
    <w:rsid w:val="00E11BCD"/>
    <w:rsid w:val="00E11BF3"/>
    <w:rsid w:val="00E11E1A"/>
    <w:rsid w:val="00E120AA"/>
    <w:rsid w:val="00E12332"/>
    <w:rsid w:val="00E12B15"/>
    <w:rsid w:val="00E12C53"/>
    <w:rsid w:val="00E130A6"/>
    <w:rsid w:val="00E13410"/>
    <w:rsid w:val="00E13435"/>
    <w:rsid w:val="00E13712"/>
    <w:rsid w:val="00E14020"/>
    <w:rsid w:val="00E14042"/>
    <w:rsid w:val="00E141CA"/>
    <w:rsid w:val="00E1436A"/>
    <w:rsid w:val="00E14667"/>
    <w:rsid w:val="00E146C6"/>
    <w:rsid w:val="00E14808"/>
    <w:rsid w:val="00E14997"/>
    <w:rsid w:val="00E14A16"/>
    <w:rsid w:val="00E14C82"/>
    <w:rsid w:val="00E14F1C"/>
    <w:rsid w:val="00E152F8"/>
    <w:rsid w:val="00E155B8"/>
    <w:rsid w:val="00E15986"/>
    <w:rsid w:val="00E15F01"/>
    <w:rsid w:val="00E16076"/>
    <w:rsid w:val="00E16ACA"/>
    <w:rsid w:val="00E16D25"/>
    <w:rsid w:val="00E171FF"/>
    <w:rsid w:val="00E17228"/>
    <w:rsid w:val="00E17391"/>
    <w:rsid w:val="00E174FF"/>
    <w:rsid w:val="00E177F2"/>
    <w:rsid w:val="00E17A37"/>
    <w:rsid w:val="00E17CA6"/>
    <w:rsid w:val="00E17FA2"/>
    <w:rsid w:val="00E20193"/>
    <w:rsid w:val="00E20194"/>
    <w:rsid w:val="00E202A8"/>
    <w:rsid w:val="00E2074D"/>
    <w:rsid w:val="00E20C0B"/>
    <w:rsid w:val="00E21483"/>
    <w:rsid w:val="00E2148D"/>
    <w:rsid w:val="00E21B40"/>
    <w:rsid w:val="00E21C30"/>
    <w:rsid w:val="00E226AE"/>
    <w:rsid w:val="00E22B78"/>
    <w:rsid w:val="00E2317A"/>
    <w:rsid w:val="00E23727"/>
    <w:rsid w:val="00E23A9C"/>
    <w:rsid w:val="00E243B2"/>
    <w:rsid w:val="00E24803"/>
    <w:rsid w:val="00E24833"/>
    <w:rsid w:val="00E24854"/>
    <w:rsid w:val="00E248E3"/>
    <w:rsid w:val="00E24C37"/>
    <w:rsid w:val="00E25376"/>
    <w:rsid w:val="00E25DC4"/>
    <w:rsid w:val="00E26411"/>
    <w:rsid w:val="00E2653F"/>
    <w:rsid w:val="00E26575"/>
    <w:rsid w:val="00E26662"/>
    <w:rsid w:val="00E26895"/>
    <w:rsid w:val="00E26CA1"/>
    <w:rsid w:val="00E26E57"/>
    <w:rsid w:val="00E27320"/>
    <w:rsid w:val="00E27563"/>
    <w:rsid w:val="00E27D12"/>
    <w:rsid w:val="00E27D96"/>
    <w:rsid w:val="00E30032"/>
    <w:rsid w:val="00E30060"/>
    <w:rsid w:val="00E30489"/>
    <w:rsid w:val="00E30F19"/>
    <w:rsid w:val="00E30F7D"/>
    <w:rsid w:val="00E31406"/>
    <w:rsid w:val="00E3187B"/>
    <w:rsid w:val="00E319F6"/>
    <w:rsid w:val="00E31D2D"/>
    <w:rsid w:val="00E31F1C"/>
    <w:rsid w:val="00E32F0F"/>
    <w:rsid w:val="00E32F89"/>
    <w:rsid w:val="00E3306C"/>
    <w:rsid w:val="00E331FC"/>
    <w:rsid w:val="00E33747"/>
    <w:rsid w:val="00E33B72"/>
    <w:rsid w:val="00E34052"/>
    <w:rsid w:val="00E3441A"/>
    <w:rsid w:val="00E347F0"/>
    <w:rsid w:val="00E3550B"/>
    <w:rsid w:val="00E35537"/>
    <w:rsid w:val="00E3580E"/>
    <w:rsid w:val="00E35828"/>
    <w:rsid w:val="00E35932"/>
    <w:rsid w:val="00E359E2"/>
    <w:rsid w:val="00E35A06"/>
    <w:rsid w:val="00E35F36"/>
    <w:rsid w:val="00E3606C"/>
    <w:rsid w:val="00E367E8"/>
    <w:rsid w:val="00E36A0B"/>
    <w:rsid w:val="00E36C05"/>
    <w:rsid w:val="00E3731A"/>
    <w:rsid w:val="00E3734D"/>
    <w:rsid w:val="00E37391"/>
    <w:rsid w:val="00E3744A"/>
    <w:rsid w:val="00E37699"/>
    <w:rsid w:val="00E37774"/>
    <w:rsid w:val="00E37E2F"/>
    <w:rsid w:val="00E40058"/>
    <w:rsid w:val="00E401B5"/>
    <w:rsid w:val="00E408BA"/>
    <w:rsid w:val="00E40A77"/>
    <w:rsid w:val="00E40D8D"/>
    <w:rsid w:val="00E40EAE"/>
    <w:rsid w:val="00E41032"/>
    <w:rsid w:val="00E41055"/>
    <w:rsid w:val="00E417D8"/>
    <w:rsid w:val="00E4184F"/>
    <w:rsid w:val="00E41A0F"/>
    <w:rsid w:val="00E41B5B"/>
    <w:rsid w:val="00E42027"/>
    <w:rsid w:val="00E42EA9"/>
    <w:rsid w:val="00E42F16"/>
    <w:rsid w:val="00E42F19"/>
    <w:rsid w:val="00E434AE"/>
    <w:rsid w:val="00E437DC"/>
    <w:rsid w:val="00E43CEA"/>
    <w:rsid w:val="00E43E6C"/>
    <w:rsid w:val="00E44780"/>
    <w:rsid w:val="00E449E0"/>
    <w:rsid w:val="00E44A4B"/>
    <w:rsid w:val="00E45231"/>
    <w:rsid w:val="00E452DF"/>
    <w:rsid w:val="00E45642"/>
    <w:rsid w:val="00E4570F"/>
    <w:rsid w:val="00E45A6A"/>
    <w:rsid w:val="00E45D73"/>
    <w:rsid w:val="00E460AF"/>
    <w:rsid w:val="00E461F3"/>
    <w:rsid w:val="00E46637"/>
    <w:rsid w:val="00E47101"/>
    <w:rsid w:val="00E475C7"/>
    <w:rsid w:val="00E47CD8"/>
    <w:rsid w:val="00E47ECB"/>
    <w:rsid w:val="00E5037E"/>
    <w:rsid w:val="00E5066D"/>
    <w:rsid w:val="00E507E7"/>
    <w:rsid w:val="00E50A1A"/>
    <w:rsid w:val="00E50A83"/>
    <w:rsid w:val="00E50B4F"/>
    <w:rsid w:val="00E50DB4"/>
    <w:rsid w:val="00E510E2"/>
    <w:rsid w:val="00E51436"/>
    <w:rsid w:val="00E51DF1"/>
    <w:rsid w:val="00E51E4C"/>
    <w:rsid w:val="00E51E6D"/>
    <w:rsid w:val="00E525CA"/>
    <w:rsid w:val="00E52AB3"/>
    <w:rsid w:val="00E52B4D"/>
    <w:rsid w:val="00E52EB3"/>
    <w:rsid w:val="00E53063"/>
    <w:rsid w:val="00E5357E"/>
    <w:rsid w:val="00E535E3"/>
    <w:rsid w:val="00E53B17"/>
    <w:rsid w:val="00E53F86"/>
    <w:rsid w:val="00E53F97"/>
    <w:rsid w:val="00E53FA4"/>
    <w:rsid w:val="00E543D6"/>
    <w:rsid w:val="00E54936"/>
    <w:rsid w:val="00E54B38"/>
    <w:rsid w:val="00E54B41"/>
    <w:rsid w:val="00E55502"/>
    <w:rsid w:val="00E55CC2"/>
    <w:rsid w:val="00E55E24"/>
    <w:rsid w:val="00E56073"/>
    <w:rsid w:val="00E56447"/>
    <w:rsid w:val="00E56506"/>
    <w:rsid w:val="00E56529"/>
    <w:rsid w:val="00E5655E"/>
    <w:rsid w:val="00E56973"/>
    <w:rsid w:val="00E57143"/>
    <w:rsid w:val="00E571E8"/>
    <w:rsid w:val="00E5735B"/>
    <w:rsid w:val="00E573A7"/>
    <w:rsid w:val="00E57A4E"/>
    <w:rsid w:val="00E6026F"/>
    <w:rsid w:val="00E6058C"/>
    <w:rsid w:val="00E607EC"/>
    <w:rsid w:val="00E60DC5"/>
    <w:rsid w:val="00E61410"/>
    <w:rsid w:val="00E6159D"/>
    <w:rsid w:val="00E6168D"/>
    <w:rsid w:val="00E62081"/>
    <w:rsid w:val="00E62525"/>
    <w:rsid w:val="00E627E9"/>
    <w:rsid w:val="00E629A1"/>
    <w:rsid w:val="00E629C2"/>
    <w:rsid w:val="00E62AE5"/>
    <w:rsid w:val="00E6301E"/>
    <w:rsid w:val="00E6316E"/>
    <w:rsid w:val="00E63B7B"/>
    <w:rsid w:val="00E640D5"/>
    <w:rsid w:val="00E640E6"/>
    <w:rsid w:val="00E6421D"/>
    <w:rsid w:val="00E643E8"/>
    <w:rsid w:val="00E6443C"/>
    <w:rsid w:val="00E6491F"/>
    <w:rsid w:val="00E64C36"/>
    <w:rsid w:val="00E64CA2"/>
    <w:rsid w:val="00E653C9"/>
    <w:rsid w:val="00E653EF"/>
    <w:rsid w:val="00E65476"/>
    <w:rsid w:val="00E65A41"/>
    <w:rsid w:val="00E65CF4"/>
    <w:rsid w:val="00E65E23"/>
    <w:rsid w:val="00E66104"/>
    <w:rsid w:val="00E66509"/>
    <w:rsid w:val="00E66BEB"/>
    <w:rsid w:val="00E66DD7"/>
    <w:rsid w:val="00E6707F"/>
    <w:rsid w:val="00E67401"/>
    <w:rsid w:val="00E6744B"/>
    <w:rsid w:val="00E675DC"/>
    <w:rsid w:val="00E67E54"/>
    <w:rsid w:val="00E700A9"/>
    <w:rsid w:val="00E70124"/>
    <w:rsid w:val="00E706CF"/>
    <w:rsid w:val="00E70924"/>
    <w:rsid w:val="00E7117B"/>
    <w:rsid w:val="00E711D0"/>
    <w:rsid w:val="00E712A1"/>
    <w:rsid w:val="00E71D8A"/>
    <w:rsid w:val="00E720CD"/>
    <w:rsid w:val="00E72E4A"/>
    <w:rsid w:val="00E731CB"/>
    <w:rsid w:val="00E73A28"/>
    <w:rsid w:val="00E73A77"/>
    <w:rsid w:val="00E744C4"/>
    <w:rsid w:val="00E74589"/>
    <w:rsid w:val="00E745B7"/>
    <w:rsid w:val="00E745BC"/>
    <w:rsid w:val="00E746C5"/>
    <w:rsid w:val="00E7505B"/>
    <w:rsid w:val="00E75540"/>
    <w:rsid w:val="00E75814"/>
    <w:rsid w:val="00E75A5A"/>
    <w:rsid w:val="00E75D1F"/>
    <w:rsid w:val="00E75D4C"/>
    <w:rsid w:val="00E76270"/>
    <w:rsid w:val="00E76489"/>
    <w:rsid w:val="00E76D48"/>
    <w:rsid w:val="00E76FA8"/>
    <w:rsid w:val="00E7772A"/>
    <w:rsid w:val="00E77AEA"/>
    <w:rsid w:val="00E80277"/>
    <w:rsid w:val="00E802CA"/>
    <w:rsid w:val="00E80601"/>
    <w:rsid w:val="00E80762"/>
    <w:rsid w:val="00E80DE1"/>
    <w:rsid w:val="00E8108D"/>
    <w:rsid w:val="00E811D4"/>
    <w:rsid w:val="00E81306"/>
    <w:rsid w:val="00E81FD1"/>
    <w:rsid w:val="00E82DCA"/>
    <w:rsid w:val="00E83045"/>
    <w:rsid w:val="00E830BB"/>
    <w:rsid w:val="00E830DF"/>
    <w:rsid w:val="00E83259"/>
    <w:rsid w:val="00E83491"/>
    <w:rsid w:val="00E8362B"/>
    <w:rsid w:val="00E83A08"/>
    <w:rsid w:val="00E83CC6"/>
    <w:rsid w:val="00E83D17"/>
    <w:rsid w:val="00E83F0C"/>
    <w:rsid w:val="00E83F9D"/>
    <w:rsid w:val="00E84592"/>
    <w:rsid w:val="00E84D82"/>
    <w:rsid w:val="00E85606"/>
    <w:rsid w:val="00E85B93"/>
    <w:rsid w:val="00E85D30"/>
    <w:rsid w:val="00E85D77"/>
    <w:rsid w:val="00E85F43"/>
    <w:rsid w:val="00E8641B"/>
    <w:rsid w:val="00E86CDA"/>
    <w:rsid w:val="00E87336"/>
    <w:rsid w:val="00E87494"/>
    <w:rsid w:val="00E875BF"/>
    <w:rsid w:val="00E87948"/>
    <w:rsid w:val="00E87B6B"/>
    <w:rsid w:val="00E87B85"/>
    <w:rsid w:val="00E87BA2"/>
    <w:rsid w:val="00E87F9C"/>
    <w:rsid w:val="00E9084A"/>
    <w:rsid w:val="00E90917"/>
    <w:rsid w:val="00E90FF9"/>
    <w:rsid w:val="00E9110E"/>
    <w:rsid w:val="00E916EF"/>
    <w:rsid w:val="00E91938"/>
    <w:rsid w:val="00E9198F"/>
    <w:rsid w:val="00E919A8"/>
    <w:rsid w:val="00E91A88"/>
    <w:rsid w:val="00E91B7C"/>
    <w:rsid w:val="00E921CD"/>
    <w:rsid w:val="00E925EB"/>
    <w:rsid w:val="00E929C1"/>
    <w:rsid w:val="00E92E9C"/>
    <w:rsid w:val="00E938F8"/>
    <w:rsid w:val="00E93AA4"/>
    <w:rsid w:val="00E93E22"/>
    <w:rsid w:val="00E9431A"/>
    <w:rsid w:val="00E94408"/>
    <w:rsid w:val="00E948BD"/>
    <w:rsid w:val="00E94BE2"/>
    <w:rsid w:val="00E95930"/>
    <w:rsid w:val="00E95BA4"/>
    <w:rsid w:val="00E95C9A"/>
    <w:rsid w:val="00E95F5A"/>
    <w:rsid w:val="00E969EC"/>
    <w:rsid w:val="00E96BAD"/>
    <w:rsid w:val="00E96FF4"/>
    <w:rsid w:val="00E9775D"/>
    <w:rsid w:val="00E977DB"/>
    <w:rsid w:val="00E978A3"/>
    <w:rsid w:val="00E97E80"/>
    <w:rsid w:val="00E97EB3"/>
    <w:rsid w:val="00EA05CB"/>
    <w:rsid w:val="00EA0666"/>
    <w:rsid w:val="00EA0698"/>
    <w:rsid w:val="00EA06A3"/>
    <w:rsid w:val="00EA070D"/>
    <w:rsid w:val="00EA0BE1"/>
    <w:rsid w:val="00EA102B"/>
    <w:rsid w:val="00EA1904"/>
    <w:rsid w:val="00EA197F"/>
    <w:rsid w:val="00EA206F"/>
    <w:rsid w:val="00EA22C7"/>
    <w:rsid w:val="00EA253E"/>
    <w:rsid w:val="00EA25A1"/>
    <w:rsid w:val="00EA2B0F"/>
    <w:rsid w:val="00EA2D48"/>
    <w:rsid w:val="00EA3143"/>
    <w:rsid w:val="00EA31D3"/>
    <w:rsid w:val="00EA35C2"/>
    <w:rsid w:val="00EA39EA"/>
    <w:rsid w:val="00EA3B79"/>
    <w:rsid w:val="00EA3D76"/>
    <w:rsid w:val="00EA4406"/>
    <w:rsid w:val="00EA4496"/>
    <w:rsid w:val="00EA459F"/>
    <w:rsid w:val="00EA49F7"/>
    <w:rsid w:val="00EA4D08"/>
    <w:rsid w:val="00EA5362"/>
    <w:rsid w:val="00EA5523"/>
    <w:rsid w:val="00EA56A6"/>
    <w:rsid w:val="00EA5B0B"/>
    <w:rsid w:val="00EA5C03"/>
    <w:rsid w:val="00EA5FD1"/>
    <w:rsid w:val="00EA6A25"/>
    <w:rsid w:val="00EA77C7"/>
    <w:rsid w:val="00EA7A2F"/>
    <w:rsid w:val="00EA7AC1"/>
    <w:rsid w:val="00EB0197"/>
    <w:rsid w:val="00EB05A7"/>
    <w:rsid w:val="00EB0658"/>
    <w:rsid w:val="00EB07F0"/>
    <w:rsid w:val="00EB0E7B"/>
    <w:rsid w:val="00EB145E"/>
    <w:rsid w:val="00EB1693"/>
    <w:rsid w:val="00EB21A0"/>
    <w:rsid w:val="00EB2578"/>
    <w:rsid w:val="00EB2981"/>
    <w:rsid w:val="00EB2A5D"/>
    <w:rsid w:val="00EB2DBD"/>
    <w:rsid w:val="00EB3024"/>
    <w:rsid w:val="00EB31E1"/>
    <w:rsid w:val="00EB3373"/>
    <w:rsid w:val="00EB33FC"/>
    <w:rsid w:val="00EB35A2"/>
    <w:rsid w:val="00EB3658"/>
    <w:rsid w:val="00EB388B"/>
    <w:rsid w:val="00EB3CC1"/>
    <w:rsid w:val="00EB3E02"/>
    <w:rsid w:val="00EB3FB7"/>
    <w:rsid w:val="00EB4021"/>
    <w:rsid w:val="00EB41BA"/>
    <w:rsid w:val="00EB4306"/>
    <w:rsid w:val="00EB4577"/>
    <w:rsid w:val="00EB49FC"/>
    <w:rsid w:val="00EB52A9"/>
    <w:rsid w:val="00EB52B2"/>
    <w:rsid w:val="00EB52F3"/>
    <w:rsid w:val="00EB5583"/>
    <w:rsid w:val="00EB5F49"/>
    <w:rsid w:val="00EB5FA7"/>
    <w:rsid w:val="00EB6A11"/>
    <w:rsid w:val="00EB6F64"/>
    <w:rsid w:val="00EB7426"/>
    <w:rsid w:val="00EB77B3"/>
    <w:rsid w:val="00EB785D"/>
    <w:rsid w:val="00EB79A5"/>
    <w:rsid w:val="00EB7CC4"/>
    <w:rsid w:val="00EB7DA0"/>
    <w:rsid w:val="00EB7EA1"/>
    <w:rsid w:val="00EC0154"/>
    <w:rsid w:val="00EC0357"/>
    <w:rsid w:val="00EC0435"/>
    <w:rsid w:val="00EC048F"/>
    <w:rsid w:val="00EC07C4"/>
    <w:rsid w:val="00EC0AEC"/>
    <w:rsid w:val="00EC108D"/>
    <w:rsid w:val="00EC14CC"/>
    <w:rsid w:val="00EC1B2A"/>
    <w:rsid w:val="00EC1C43"/>
    <w:rsid w:val="00EC1CB0"/>
    <w:rsid w:val="00EC206F"/>
    <w:rsid w:val="00EC24DC"/>
    <w:rsid w:val="00EC281B"/>
    <w:rsid w:val="00EC2DE6"/>
    <w:rsid w:val="00EC3012"/>
    <w:rsid w:val="00EC3564"/>
    <w:rsid w:val="00EC3D1F"/>
    <w:rsid w:val="00EC41F2"/>
    <w:rsid w:val="00EC43A7"/>
    <w:rsid w:val="00EC4C25"/>
    <w:rsid w:val="00EC4DF8"/>
    <w:rsid w:val="00EC541D"/>
    <w:rsid w:val="00EC58B0"/>
    <w:rsid w:val="00EC5959"/>
    <w:rsid w:val="00EC59CB"/>
    <w:rsid w:val="00EC5AFF"/>
    <w:rsid w:val="00EC5D37"/>
    <w:rsid w:val="00EC5F75"/>
    <w:rsid w:val="00EC5FE0"/>
    <w:rsid w:val="00EC61CF"/>
    <w:rsid w:val="00EC687E"/>
    <w:rsid w:val="00EC69BB"/>
    <w:rsid w:val="00EC770E"/>
    <w:rsid w:val="00EC7A22"/>
    <w:rsid w:val="00EC7C59"/>
    <w:rsid w:val="00ED01C6"/>
    <w:rsid w:val="00ED0342"/>
    <w:rsid w:val="00ED119B"/>
    <w:rsid w:val="00ED1342"/>
    <w:rsid w:val="00ED1800"/>
    <w:rsid w:val="00ED1DA8"/>
    <w:rsid w:val="00ED2157"/>
    <w:rsid w:val="00ED239B"/>
    <w:rsid w:val="00ED2C1B"/>
    <w:rsid w:val="00ED2D67"/>
    <w:rsid w:val="00ED2FD9"/>
    <w:rsid w:val="00ED30B5"/>
    <w:rsid w:val="00ED3182"/>
    <w:rsid w:val="00ED3488"/>
    <w:rsid w:val="00ED3F89"/>
    <w:rsid w:val="00ED421C"/>
    <w:rsid w:val="00ED44A2"/>
    <w:rsid w:val="00ED4626"/>
    <w:rsid w:val="00ED5097"/>
    <w:rsid w:val="00ED530F"/>
    <w:rsid w:val="00ED54E0"/>
    <w:rsid w:val="00ED58FB"/>
    <w:rsid w:val="00ED600F"/>
    <w:rsid w:val="00ED63E6"/>
    <w:rsid w:val="00ED65AB"/>
    <w:rsid w:val="00ED6B21"/>
    <w:rsid w:val="00ED7139"/>
    <w:rsid w:val="00ED71C6"/>
    <w:rsid w:val="00ED72ED"/>
    <w:rsid w:val="00ED736A"/>
    <w:rsid w:val="00ED749E"/>
    <w:rsid w:val="00ED75F6"/>
    <w:rsid w:val="00ED7798"/>
    <w:rsid w:val="00ED7EE6"/>
    <w:rsid w:val="00EE046A"/>
    <w:rsid w:val="00EE08E0"/>
    <w:rsid w:val="00EE0F81"/>
    <w:rsid w:val="00EE107F"/>
    <w:rsid w:val="00EE11D8"/>
    <w:rsid w:val="00EE1448"/>
    <w:rsid w:val="00EE17A5"/>
    <w:rsid w:val="00EE182D"/>
    <w:rsid w:val="00EE19DD"/>
    <w:rsid w:val="00EE1B75"/>
    <w:rsid w:val="00EE1EF2"/>
    <w:rsid w:val="00EE2339"/>
    <w:rsid w:val="00EE24F9"/>
    <w:rsid w:val="00EE25E9"/>
    <w:rsid w:val="00EE2765"/>
    <w:rsid w:val="00EE2CEE"/>
    <w:rsid w:val="00EE2F84"/>
    <w:rsid w:val="00EE321B"/>
    <w:rsid w:val="00EE3447"/>
    <w:rsid w:val="00EE374B"/>
    <w:rsid w:val="00EE3A7E"/>
    <w:rsid w:val="00EE3E99"/>
    <w:rsid w:val="00EE41F3"/>
    <w:rsid w:val="00EE4534"/>
    <w:rsid w:val="00EE47E1"/>
    <w:rsid w:val="00EE47F0"/>
    <w:rsid w:val="00EE4833"/>
    <w:rsid w:val="00EE4C29"/>
    <w:rsid w:val="00EE4CBD"/>
    <w:rsid w:val="00EE5391"/>
    <w:rsid w:val="00EE53CD"/>
    <w:rsid w:val="00EE5520"/>
    <w:rsid w:val="00EE56F0"/>
    <w:rsid w:val="00EE5795"/>
    <w:rsid w:val="00EE5995"/>
    <w:rsid w:val="00EE5C16"/>
    <w:rsid w:val="00EE5C1D"/>
    <w:rsid w:val="00EE5CA0"/>
    <w:rsid w:val="00EE6164"/>
    <w:rsid w:val="00EE65E5"/>
    <w:rsid w:val="00EE67E6"/>
    <w:rsid w:val="00EE6864"/>
    <w:rsid w:val="00EE6B4E"/>
    <w:rsid w:val="00EE6BC4"/>
    <w:rsid w:val="00EE6C04"/>
    <w:rsid w:val="00EE6D7F"/>
    <w:rsid w:val="00EE6F59"/>
    <w:rsid w:val="00EE72DC"/>
    <w:rsid w:val="00EE7786"/>
    <w:rsid w:val="00EE7789"/>
    <w:rsid w:val="00EE7885"/>
    <w:rsid w:val="00EE7A98"/>
    <w:rsid w:val="00EE7B87"/>
    <w:rsid w:val="00EE7D4B"/>
    <w:rsid w:val="00EE7D53"/>
    <w:rsid w:val="00EF009A"/>
    <w:rsid w:val="00EF017C"/>
    <w:rsid w:val="00EF0480"/>
    <w:rsid w:val="00EF055F"/>
    <w:rsid w:val="00EF0DE3"/>
    <w:rsid w:val="00EF10AB"/>
    <w:rsid w:val="00EF17AB"/>
    <w:rsid w:val="00EF1906"/>
    <w:rsid w:val="00EF1C41"/>
    <w:rsid w:val="00EF1DC9"/>
    <w:rsid w:val="00EF2040"/>
    <w:rsid w:val="00EF21E9"/>
    <w:rsid w:val="00EF23D4"/>
    <w:rsid w:val="00EF2670"/>
    <w:rsid w:val="00EF2B85"/>
    <w:rsid w:val="00EF321A"/>
    <w:rsid w:val="00EF426C"/>
    <w:rsid w:val="00EF4545"/>
    <w:rsid w:val="00EF47AA"/>
    <w:rsid w:val="00EF5148"/>
    <w:rsid w:val="00EF56F1"/>
    <w:rsid w:val="00EF58D2"/>
    <w:rsid w:val="00EF58F1"/>
    <w:rsid w:val="00EF5BC2"/>
    <w:rsid w:val="00EF5C6B"/>
    <w:rsid w:val="00EF5DB1"/>
    <w:rsid w:val="00EF6096"/>
    <w:rsid w:val="00EF6114"/>
    <w:rsid w:val="00EF611D"/>
    <w:rsid w:val="00EF6253"/>
    <w:rsid w:val="00EF633A"/>
    <w:rsid w:val="00EF6507"/>
    <w:rsid w:val="00EF6578"/>
    <w:rsid w:val="00EF72B8"/>
    <w:rsid w:val="00EF76FC"/>
    <w:rsid w:val="00EF7C6B"/>
    <w:rsid w:val="00EF7CEA"/>
    <w:rsid w:val="00F0068A"/>
    <w:rsid w:val="00F00954"/>
    <w:rsid w:val="00F00A31"/>
    <w:rsid w:val="00F01149"/>
    <w:rsid w:val="00F01238"/>
    <w:rsid w:val="00F0186D"/>
    <w:rsid w:val="00F02039"/>
    <w:rsid w:val="00F02167"/>
    <w:rsid w:val="00F024D0"/>
    <w:rsid w:val="00F02B4D"/>
    <w:rsid w:val="00F03A67"/>
    <w:rsid w:val="00F03C31"/>
    <w:rsid w:val="00F04319"/>
    <w:rsid w:val="00F044BB"/>
    <w:rsid w:val="00F04970"/>
    <w:rsid w:val="00F049B4"/>
    <w:rsid w:val="00F05066"/>
    <w:rsid w:val="00F05535"/>
    <w:rsid w:val="00F05952"/>
    <w:rsid w:val="00F05C27"/>
    <w:rsid w:val="00F06338"/>
    <w:rsid w:val="00F063C7"/>
    <w:rsid w:val="00F069E7"/>
    <w:rsid w:val="00F06F99"/>
    <w:rsid w:val="00F06FB9"/>
    <w:rsid w:val="00F07045"/>
    <w:rsid w:val="00F0714E"/>
    <w:rsid w:val="00F07335"/>
    <w:rsid w:val="00F0781F"/>
    <w:rsid w:val="00F078C0"/>
    <w:rsid w:val="00F07B49"/>
    <w:rsid w:val="00F07E3E"/>
    <w:rsid w:val="00F1012A"/>
    <w:rsid w:val="00F10674"/>
    <w:rsid w:val="00F1106B"/>
    <w:rsid w:val="00F116B0"/>
    <w:rsid w:val="00F119DD"/>
    <w:rsid w:val="00F11A20"/>
    <w:rsid w:val="00F11EB7"/>
    <w:rsid w:val="00F12216"/>
    <w:rsid w:val="00F12902"/>
    <w:rsid w:val="00F129D5"/>
    <w:rsid w:val="00F12FB4"/>
    <w:rsid w:val="00F12FED"/>
    <w:rsid w:val="00F13A43"/>
    <w:rsid w:val="00F13B42"/>
    <w:rsid w:val="00F14005"/>
    <w:rsid w:val="00F14007"/>
    <w:rsid w:val="00F1419A"/>
    <w:rsid w:val="00F141FF"/>
    <w:rsid w:val="00F1491D"/>
    <w:rsid w:val="00F14AA1"/>
    <w:rsid w:val="00F14B85"/>
    <w:rsid w:val="00F152F7"/>
    <w:rsid w:val="00F155A1"/>
    <w:rsid w:val="00F156C4"/>
    <w:rsid w:val="00F158BA"/>
    <w:rsid w:val="00F15B19"/>
    <w:rsid w:val="00F15BFA"/>
    <w:rsid w:val="00F15E37"/>
    <w:rsid w:val="00F15E6D"/>
    <w:rsid w:val="00F161B3"/>
    <w:rsid w:val="00F16298"/>
    <w:rsid w:val="00F165A8"/>
    <w:rsid w:val="00F165BD"/>
    <w:rsid w:val="00F16805"/>
    <w:rsid w:val="00F16BE1"/>
    <w:rsid w:val="00F16D7F"/>
    <w:rsid w:val="00F16E5F"/>
    <w:rsid w:val="00F1725E"/>
    <w:rsid w:val="00F175D9"/>
    <w:rsid w:val="00F177D4"/>
    <w:rsid w:val="00F17EBA"/>
    <w:rsid w:val="00F20006"/>
    <w:rsid w:val="00F20248"/>
    <w:rsid w:val="00F202C0"/>
    <w:rsid w:val="00F2038C"/>
    <w:rsid w:val="00F204DF"/>
    <w:rsid w:val="00F205CE"/>
    <w:rsid w:val="00F20C59"/>
    <w:rsid w:val="00F21186"/>
    <w:rsid w:val="00F212B3"/>
    <w:rsid w:val="00F21579"/>
    <w:rsid w:val="00F21F81"/>
    <w:rsid w:val="00F221AC"/>
    <w:rsid w:val="00F22615"/>
    <w:rsid w:val="00F22654"/>
    <w:rsid w:val="00F2386E"/>
    <w:rsid w:val="00F238A2"/>
    <w:rsid w:val="00F242B0"/>
    <w:rsid w:val="00F2431D"/>
    <w:rsid w:val="00F24CF7"/>
    <w:rsid w:val="00F251DC"/>
    <w:rsid w:val="00F25496"/>
    <w:rsid w:val="00F25D44"/>
    <w:rsid w:val="00F25E97"/>
    <w:rsid w:val="00F25F4C"/>
    <w:rsid w:val="00F260E2"/>
    <w:rsid w:val="00F26143"/>
    <w:rsid w:val="00F27125"/>
    <w:rsid w:val="00F27612"/>
    <w:rsid w:val="00F27873"/>
    <w:rsid w:val="00F2789E"/>
    <w:rsid w:val="00F27A8B"/>
    <w:rsid w:val="00F27C90"/>
    <w:rsid w:val="00F27F03"/>
    <w:rsid w:val="00F30020"/>
    <w:rsid w:val="00F30258"/>
    <w:rsid w:val="00F3087A"/>
    <w:rsid w:val="00F30D95"/>
    <w:rsid w:val="00F31B85"/>
    <w:rsid w:val="00F31E34"/>
    <w:rsid w:val="00F31FCF"/>
    <w:rsid w:val="00F3225F"/>
    <w:rsid w:val="00F3238C"/>
    <w:rsid w:val="00F32606"/>
    <w:rsid w:val="00F32A7B"/>
    <w:rsid w:val="00F32F55"/>
    <w:rsid w:val="00F32F9C"/>
    <w:rsid w:val="00F33057"/>
    <w:rsid w:val="00F335C1"/>
    <w:rsid w:val="00F33B1F"/>
    <w:rsid w:val="00F33E01"/>
    <w:rsid w:val="00F33E61"/>
    <w:rsid w:val="00F343DB"/>
    <w:rsid w:val="00F3449F"/>
    <w:rsid w:val="00F34562"/>
    <w:rsid w:val="00F34590"/>
    <w:rsid w:val="00F34613"/>
    <w:rsid w:val="00F34AA8"/>
    <w:rsid w:val="00F34ACD"/>
    <w:rsid w:val="00F3538C"/>
    <w:rsid w:val="00F35CAF"/>
    <w:rsid w:val="00F36AEE"/>
    <w:rsid w:val="00F36C8D"/>
    <w:rsid w:val="00F36CE0"/>
    <w:rsid w:val="00F37601"/>
    <w:rsid w:val="00F37DEE"/>
    <w:rsid w:val="00F4007F"/>
    <w:rsid w:val="00F40D8C"/>
    <w:rsid w:val="00F40E92"/>
    <w:rsid w:val="00F41107"/>
    <w:rsid w:val="00F41461"/>
    <w:rsid w:val="00F414C5"/>
    <w:rsid w:val="00F4155B"/>
    <w:rsid w:val="00F417B9"/>
    <w:rsid w:val="00F4193E"/>
    <w:rsid w:val="00F41A41"/>
    <w:rsid w:val="00F41C55"/>
    <w:rsid w:val="00F41DD6"/>
    <w:rsid w:val="00F41FCE"/>
    <w:rsid w:val="00F4215A"/>
    <w:rsid w:val="00F424EF"/>
    <w:rsid w:val="00F42555"/>
    <w:rsid w:val="00F42E5B"/>
    <w:rsid w:val="00F42FC5"/>
    <w:rsid w:val="00F4308C"/>
    <w:rsid w:val="00F433D0"/>
    <w:rsid w:val="00F433D3"/>
    <w:rsid w:val="00F434FF"/>
    <w:rsid w:val="00F43C8C"/>
    <w:rsid w:val="00F44171"/>
    <w:rsid w:val="00F44639"/>
    <w:rsid w:val="00F446E5"/>
    <w:rsid w:val="00F44762"/>
    <w:rsid w:val="00F44C91"/>
    <w:rsid w:val="00F44CBD"/>
    <w:rsid w:val="00F45A4D"/>
    <w:rsid w:val="00F4610D"/>
    <w:rsid w:val="00F46246"/>
    <w:rsid w:val="00F46298"/>
    <w:rsid w:val="00F47A95"/>
    <w:rsid w:val="00F47EC9"/>
    <w:rsid w:val="00F47EE0"/>
    <w:rsid w:val="00F5000B"/>
    <w:rsid w:val="00F50243"/>
    <w:rsid w:val="00F5082B"/>
    <w:rsid w:val="00F50984"/>
    <w:rsid w:val="00F50C91"/>
    <w:rsid w:val="00F50E43"/>
    <w:rsid w:val="00F50EEF"/>
    <w:rsid w:val="00F51381"/>
    <w:rsid w:val="00F513B3"/>
    <w:rsid w:val="00F51460"/>
    <w:rsid w:val="00F516CE"/>
    <w:rsid w:val="00F51AB1"/>
    <w:rsid w:val="00F51C24"/>
    <w:rsid w:val="00F51DCE"/>
    <w:rsid w:val="00F51F6A"/>
    <w:rsid w:val="00F520F9"/>
    <w:rsid w:val="00F524FF"/>
    <w:rsid w:val="00F527C0"/>
    <w:rsid w:val="00F52D19"/>
    <w:rsid w:val="00F52E20"/>
    <w:rsid w:val="00F52EA3"/>
    <w:rsid w:val="00F53417"/>
    <w:rsid w:val="00F534AB"/>
    <w:rsid w:val="00F5376A"/>
    <w:rsid w:val="00F53FFA"/>
    <w:rsid w:val="00F54542"/>
    <w:rsid w:val="00F55107"/>
    <w:rsid w:val="00F5512B"/>
    <w:rsid w:val="00F55504"/>
    <w:rsid w:val="00F5570A"/>
    <w:rsid w:val="00F5619C"/>
    <w:rsid w:val="00F56591"/>
    <w:rsid w:val="00F57480"/>
    <w:rsid w:val="00F5759D"/>
    <w:rsid w:val="00F57626"/>
    <w:rsid w:val="00F577D1"/>
    <w:rsid w:val="00F57C32"/>
    <w:rsid w:val="00F57D09"/>
    <w:rsid w:val="00F57F21"/>
    <w:rsid w:val="00F609E1"/>
    <w:rsid w:val="00F60AB1"/>
    <w:rsid w:val="00F60ADE"/>
    <w:rsid w:val="00F60B0F"/>
    <w:rsid w:val="00F60B34"/>
    <w:rsid w:val="00F60DB0"/>
    <w:rsid w:val="00F60DEC"/>
    <w:rsid w:val="00F6121B"/>
    <w:rsid w:val="00F61239"/>
    <w:rsid w:val="00F6194B"/>
    <w:rsid w:val="00F61E65"/>
    <w:rsid w:val="00F6227A"/>
    <w:rsid w:val="00F623FE"/>
    <w:rsid w:val="00F62550"/>
    <w:rsid w:val="00F6271A"/>
    <w:rsid w:val="00F62815"/>
    <w:rsid w:val="00F62CB7"/>
    <w:rsid w:val="00F630EB"/>
    <w:rsid w:val="00F634AE"/>
    <w:rsid w:val="00F6382F"/>
    <w:rsid w:val="00F63AEE"/>
    <w:rsid w:val="00F64976"/>
    <w:rsid w:val="00F64C61"/>
    <w:rsid w:val="00F6520B"/>
    <w:rsid w:val="00F6536B"/>
    <w:rsid w:val="00F65AFD"/>
    <w:rsid w:val="00F65D6F"/>
    <w:rsid w:val="00F65DA7"/>
    <w:rsid w:val="00F661A3"/>
    <w:rsid w:val="00F665A7"/>
    <w:rsid w:val="00F66F03"/>
    <w:rsid w:val="00F67131"/>
    <w:rsid w:val="00F67233"/>
    <w:rsid w:val="00F67658"/>
    <w:rsid w:val="00F67A7F"/>
    <w:rsid w:val="00F67E08"/>
    <w:rsid w:val="00F70775"/>
    <w:rsid w:val="00F70CB6"/>
    <w:rsid w:val="00F71371"/>
    <w:rsid w:val="00F71485"/>
    <w:rsid w:val="00F71ECD"/>
    <w:rsid w:val="00F71F7D"/>
    <w:rsid w:val="00F7342D"/>
    <w:rsid w:val="00F7362A"/>
    <w:rsid w:val="00F73908"/>
    <w:rsid w:val="00F741F4"/>
    <w:rsid w:val="00F746DF"/>
    <w:rsid w:val="00F74D47"/>
    <w:rsid w:val="00F74DB9"/>
    <w:rsid w:val="00F75459"/>
    <w:rsid w:val="00F75697"/>
    <w:rsid w:val="00F76A89"/>
    <w:rsid w:val="00F76B46"/>
    <w:rsid w:val="00F76B7B"/>
    <w:rsid w:val="00F76B8A"/>
    <w:rsid w:val="00F76CEF"/>
    <w:rsid w:val="00F775F9"/>
    <w:rsid w:val="00F776DC"/>
    <w:rsid w:val="00F77895"/>
    <w:rsid w:val="00F77D53"/>
    <w:rsid w:val="00F77F6F"/>
    <w:rsid w:val="00F77FA6"/>
    <w:rsid w:val="00F80378"/>
    <w:rsid w:val="00F80890"/>
    <w:rsid w:val="00F80A44"/>
    <w:rsid w:val="00F80D99"/>
    <w:rsid w:val="00F80E37"/>
    <w:rsid w:val="00F80EF5"/>
    <w:rsid w:val="00F80F23"/>
    <w:rsid w:val="00F811A0"/>
    <w:rsid w:val="00F817FD"/>
    <w:rsid w:val="00F81A4B"/>
    <w:rsid w:val="00F81B03"/>
    <w:rsid w:val="00F81F8C"/>
    <w:rsid w:val="00F82445"/>
    <w:rsid w:val="00F826E3"/>
    <w:rsid w:val="00F827D2"/>
    <w:rsid w:val="00F829CE"/>
    <w:rsid w:val="00F82BB6"/>
    <w:rsid w:val="00F82CE3"/>
    <w:rsid w:val="00F83533"/>
    <w:rsid w:val="00F838E5"/>
    <w:rsid w:val="00F83E89"/>
    <w:rsid w:val="00F840D3"/>
    <w:rsid w:val="00F84256"/>
    <w:rsid w:val="00F8472C"/>
    <w:rsid w:val="00F85108"/>
    <w:rsid w:val="00F8517A"/>
    <w:rsid w:val="00F8519E"/>
    <w:rsid w:val="00F851A0"/>
    <w:rsid w:val="00F85641"/>
    <w:rsid w:val="00F85872"/>
    <w:rsid w:val="00F85AC0"/>
    <w:rsid w:val="00F85E1F"/>
    <w:rsid w:val="00F867D1"/>
    <w:rsid w:val="00F86954"/>
    <w:rsid w:val="00F869EE"/>
    <w:rsid w:val="00F86B75"/>
    <w:rsid w:val="00F871C7"/>
    <w:rsid w:val="00F8786E"/>
    <w:rsid w:val="00F878E5"/>
    <w:rsid w:val="00F87AD3"/>
    <w:rsid w:val="00F90151"/>
    <w:rsid w:val="00F9017A"/>
    <w:rsid w:val="00F90349"/>
    <w:rsid w:val="00F90357"/>
    <w:rsid w:val="00F904CC"/>
    <w:rsid w:val="00F90939"/>
    <w:rsid w:val="00F909A5"/>
    <w:rsid w:val="00F90B02"/>
    <w:rsid w:val="00F90D1D"/>
    <w:rsid w:val="00F90DCA"/>
    <w:rsid w:val="00F91047"/>
    <w:rsid w:val="00F91081"/>
    <w:rsid w:val="00F91A4F"/>
    <w:rsid w:val="00F91E3E"/>
    <w:rsid w:val="00F91F8E"/>
    <w:rsid w:val="00F921E7"/>
    <w:rsid w:val="00F929FA"/>
    <w:rsid w:val="00F92DF8"/>
    <w:rsid w:val="00F93334"/>
    <w:rsid w:val="00F9399B"/>
    <w:rsid w:val="00F93C13"/>
    <w:rsid w:val="00F93EFC"/>
    <w:rsid w:val="00F9408F"/>
    <w:rsid w:val="00F94110"/>
    <w:rsid w:val="00F94AE3"/>
    <w:rsid w:val="00F94B2F"/>
    <w:rsid w:val="00F95236"/>
    <w:rsid w:val="00F952B9"/>
    <w:rsid w:val="00F953F8"/>
    <w:rsid w:val="00F95D56"/>
    <w:rsid w:val="00F9602A"/>
    <w:rsid w:val="00F96180"/>
    <w:rsid w:val="00F96228"/>
    <w:rsid w:val="00F9624D"/>
    <w:rsid w:val="00F9630C"/>
    <w:rsid w:val="00F9678C"/>
    <w:rsid w:val="00F967EB"/>
    <w:rsid w:val="00F96B4E"/>
    <w:rsid w:val="00F9701A"/>
    <w:rsid w:val="00F97210"/>
    <w:rsid w:val="00F97646"/>
    <w:rsid w:val="00F97878"/>
    <w:rsid w:val="00F97B1F"/>
    <w:rsid w:val="00F97BEB"/>
    <w:rsid w:val="00F97E35"/>
    <w:rsid w:val="00F97EF3"/>
    <w:rsid w:val="00FA01D0"/>
    <w:rsid w:val="00FA0578"/>
    <w:rsid w:val="00FA06E8"/>
    <w:rsid w:val="00FA07C3"/>
    <w:rsid w:val="00FA07CA"/>
    <w:rsid w:val="00FA08C2"/>
    <w:rsid w:val="00FA0BC6"/>
    <w:rsid w:val="00FA0F7D"/>
    <w:rsid w:val="00FA14C3"/>
    <w:rsid w:val="00FA153F"/>
    <w:rsid w:val="00FA1C7E"/>
    <w:rsid w:val="00FA1E6E"/>
    <w:rsid w:val="00FA1F94"/>
    <w:rsid w:val="00FA20D4"/>
    <w:rsid w:val="00FA218C"/>
    <w:rsid w:val="00FA2224"/>
    <w:rsid w:val="00FA23E5"/>
    <w:rsid w:val="00FA2508"/>
    <w:rsid w:val="00FA29A4"/>
    <w:rsid w:val="00FA3247"/>
    <w:rsid w:val="00FA3275"/>
    <w:rsid w:val="00FA32B2"/>
    <w:rsid w:val="00FA33CC"/>
    <w:rsid w:val="00FA3ACA"/>
    <w:rsid w:val="00FA3AE7"/>
    <w:rsid w:val="00FA3C9C"/>
    <w:rsid w:val="00FA3D5C"/>
    <w:rsid w:val="00FA3DE0"/>
    <w:rsid w:val="00FA42C3"/>
    <w:rsid w:val="00FA44E8"/>
    <w:rsid w:val="00FA45A6"/>
    <w:rsid w:val="00FA4B00"/>
    <w:rsid w:val="00FA4E83"/>
    <w:rsid w:val="00FA5313"/>
    <w:rsid w:val="00FA5DDC"/>
    <w:rsid w:val="00FA610B"/>
    <w:rsid w:val="00FA6162"/>
    <w:rsid w:val="00FA675C"/>
    <w:rsid w:val="00FA6FF4"/>
    <w:rsid w:val="00FA7345"/>
    <w:rsid w:val="00FA76CF"/>
    <w:rsid w:val="00FA7A61"/>
    <w:rsid w:val="00FB0398"/>
    <w:rsid w:val="00FB072A"/>
    <w:rsid w:val="00FB088B"/>
    <w:rsid w:val="00FB08AE"/>
    <w:rsid w:val="00FB0A3A"/>
    <w:rsid w:val="00FB0E44"/>
    <w:rsid w:val="00FB14DF"/>
    <w:rsid w:val="00FB19B8"/>
    <w:rsid w:val="00FB1A75"/>
    <w:rsid w:val="00FB1A9E"/>
    <w:rsid w:val="00FB1E6E"/>
    <w:rsid w:val="00FB2031"/>
    <w:rsid w:val="00FB2AA9"/>
    <w:rsid w:val="00FB2BDD"/>
    <w:rsid w:val="00FB309C"/>
    <w:rsid w:val="00FB30F5"/>
    <w:rsid w:val="00FB3259"/>
    <w:rsid w:val="00FB3567"/>
    <w:rsid w:val="00FB38E0"/>
    <w:rsid w:val="00FB3BCA"/>
    <w:rsid w:val="00FB3D51"/>
    <w:rsid w:val="00FB3E8E"/>
    <w:rsid w:val="00FB3FA2"/>
    <w:rsid w:val="00FB477E"/>
    <w:rsid w:val="00FB4F49"/>
    <w:rsid w:val="00FB5026"/>
    <w:rsid w:val="00FB5710"/>
    <w:rsid w:val="00FB5A75"/>
    <w:rsid w:val="00FB5C38"/>
    <w:rsid w:val="00FB60E3"/>
    <w:rsid w:val="00FB637D"/>
    <w:rsid w:val="00FB681E"/>
    <w:rsid w:val="00FB70D8"/>
    <w:rsid w:val="00FB71BD"/>
    <w:rsid w:val="00FB73F2"/>
    <w:rsid w:val="00FB7794"/>
    <w:rsid w:val="00FB77D4"/>
    <w:rsid w:val="00FB789C"/>
    <w:rsid w:val="00FB79D1"/>
    <w:rsid w:val="00FB7AF4"/>
    <w:rsid w:val="00FB7B86"/>
    <w:rsid w:val="00FB7FCC"/>
    <w:rsid w:val="00FC0466"/>
    <w:rsid w:val="00FC0712"/>
    <w:rsid w:val="00FC0D66"/>
    <w:rsid w:val="00FC1113"/>
    <w:rsid w:val="00FC1167"/>
    <w:rsid w:val="00FC1FE5"/>
    <w:rsid w:val="00FC2156"/>
    <w:rsid w:val="00FC29BF"/>
    <w:rsid w:val="00FC2ACC"/>
    <w:rsid w:val="00FC2C69"/>
    <w:rsid w:val="00FC2E52"/>
    <w:rsid w:val="00FC2F08"/>
    <w:rsid w:val="00FC3298"/>
    <w:rsid w:val="00FC3473"/>
    <w:rsid w:val="00FC3948"/>
    <w:rsid w:val="00FC3C83"/>
    <w:rsid w:val="00FC3F22"/>
    <w:rsid w:val="00FC4458"/>
    <w:rsid w:val="00FC4FE9"/>
    <w:rsid w:val="00FC517D"/>
    <w:rsid w:val="00FC5237"/>
    <w:rsid w:val="00FC58A9"/>
    <w:rsid w:val="00FC5BC4"/>
    <w:rsid w:val="00FC66E9"/>
    <w:rsid w:val="00FC6EE8"/>
    <w:rsid w:val="00FC7145"/>
    <w:rsid w:val="00FC7177"/>
    <w:rsid w:val="00FC72B5"/>
    <w:rsid w:val="00FC7434"/>
    <w:rsid w:val="00FC751D"/>
    <w:rsid w:val="00FC76A0"/>
    <w:rsid w:val="00FC77AB"/>
    <w:rsid w:val="00FC7A7E"/>
    <w:rsid w:val="00FC7B04"/>
    <w:rsid w:val="00FC7BDB"/>
    <w:rsid w:val="00FC7BE5"/>
    <w:rsid w:val="00FC7C1D"/>
    <w:rsid w:val="00FD0449"/>
    <w:rsid w:val="00FD0723"/>
    <w:rsid w:val="00FD09EB"/>
    <w:rsid w:val="00FD0C90"/>
    <w:rsid w:val="00FD0D74"/>
    <w:rsid w:val="00FD0E5D"/>
    <w:rsid w:val="00FD1463"/>
    <w:rsid w:val="00FD1DA9"/>
    <w:rsid w:val="00FD1E93"/>
    <w:rsid w:val="00FD227B"/>
    <w:rsid w:val="00FD2366"/>
    <w:rsid w:val="00FD2963"/>
    <w:rsid w:val="00FD2D5B"/>
    <w:rsid w:val="00FD2D96"/>
    <w:rsid w:val="00FD3143"/>
    <w:rsid w:val="00FD31E7"/>
    <w:rsid w:val="00FD34DF"/>
    <w:rsid w:val="00FD356D"/>
    <w:rsid w:val="00FD371F"/>
    <w:rsid w:val="00FD38E7"/>
    <w:rsid w:val="00FD4189"/>
    <w:rsid w:val="00FD499C"/>
    <w:rsid w:val="00FD4D3A"/>
    <w:rsid w:val="00FD4DF5"/>
    <w:rsid w:val="00FD50E0"/>
    <w:rsid w:val="00FD5118"/>
    <w:rsid w:val="00FD5847"/>
    <w:rsid w:val="00FD5A40"/>
    <w:rsid w:val="00FD5E6A"/>
    <w:rsid w:val="00FD68DD"/>
    <w:rsid w:val="00FD68F1"/>
    <w:rsid w:val="00FD6B27"/>
    <w:rsid w:val="00FD6E17"/>
    <w:rsid w:val="00FD6EA5"/>
    <w:rsid w:val="00FD7105"/>
    <w:rsid w:val="00FD78E3"/>
    <w:rsid w:val="00FD7CCB"/>
    <w:rsid w:val="00FD7E97"/>
    <w:rsid w:val="00FD7EDA"/>
    <w:rsid w:val="00FE022F"/>
    <w:rsid w:val="00FE048C"/>
    <w:rsid w:val="00FE04D6"/>
    <w:rsid w:val="00FE0570"/>
    <w:rsid w:val="00FE1110"/>
    <w:rsid w:val="00FE1112"/>
    <w:rsid w:val="00FE1819"/>
    <w:rsid w:val="00FE203E"/>
    <w:rsid w:val="00FE209B"/>
    <w:rsid w:val="00FE2541"/>
    <w:rsid w:val="00FE2601"/>
    <w:rsid w:val="00FE2F58"/>
    <w:rsid w:val="00FE36B0"/>
    <w:rsid w:val="00FE36C0"/>
    <w:rsid w:val="00FE3A47"/>
    <w:rsid w:val="00FE3F59"/>
    <w:rsid w:val="00FE3FE9"/>
    <w:rsid w:val="00FE489C"/>
    <w:rsid w:val="00FE4BE0"/>
    <w:rsid w:val="00FE52B7"/>
    <w:rsid w:val="00FE53A3"/>
    <w:rsid w:val="00FE581F"/>
    <w:rsid w:val="00FE5913"/>
    <w:rsid w:val="00FE5A96"/>
    <w:rsid w:val="00FE6556"/>
    <w:rsid w:val="00FE670B"/>
    <w:rsid w:val="00FE6ABB"/>
    <w:rsid w:val="00FE6E46"/>
    <w:rsid w:val="00FE6F13"/>
    <w:rsid w:val="00FE6F35"/>
    <w:rsid w:val="00FE75EF"/>
    <w:rsid w:val="00FE790C"/>
    <w:rsid w:val="00FE7AAE"/>
    <w:rsid w:val="00FE7C20"/>
    <w:rsid w:val="00FE7DFA"/>
    <w:rsid w:val="00FF01EB"/>
    <w:rsid w:val="00FF0542"/>
    <w:rsid w:val="00FF0751"/>
    <w:rsid w:val="00FF0A00"/>
    <w:rsid w:val="00FF0ACF"/>
    <w:rsid w:val="00FF0B2B"/>
    <w:rsid w:val="00FF0C12"/>
    <w:rsid w:val="00FF215B"/>
    <w:rsid w:val="00FF2189"/>
    <w:rsid w:val="00FF233B"/>
    <w:rsid w:val="00FF23DD"/>
    <w:rsid w:val="00FF2489"/>
    <w:rsid w:val="00FF2547"/>
    <w:rsid w:val="00FF3038"/>
    <w:rsid w:val="00FF34B1"/>
    <w:rsid w:val="00FF366C"/>
    <w:rsid w:val="00FF3B9A"/>
    <w:rsid w:val="00FF3F79"/>
    <w:rsid w:val="00FF4050"/>
    <w:rsid w:val="00FF4059"/>
    <w:rsid w:val="00FF4636"/>
    <w:rsid w:val="00FF4901"/>
    <w:rsid w:val="00FF4A16"/>
    <w:rsid w:val="00FF4A4F"/>
    <w:rsid w:val="00FF4C7F"/>
    <w:rsid w:val="00FF4E71"/>
    <w:rsid w:val="00FF4FA7"/>
    <w:rsid w:val="00FF51D6"/>
    <w:rsid w:val="00FF5444"/>
    <w:rsid w:val="00FF567F"/>
    <w:rsid w:val="00FF649D"/>
    <w:rsid w:val="00FF6582"/>
    <w:rsid w:val="00FF65E1"/>
    <w:rsid w:val="00FF6753"/>
    <w:rsid w:val="00FF67AA"/>
    <w:rsid w:val="00FF6AE3"/>
    <w:rsid w:val="00FF6FEB"/>
    <w:rsid w:val="00FF7B62"/>
    <w:rsid w:val="00FF7ED0"/>
    <w:rsid w:val="00FF7F9E"/>
    <w:rsid w:val="01BA9E4F"/>
    <w:rsid w:val="025AF83D"/>
    <w:rsid w:val="02F6AB92"/>
    <w:rsid w:val="049DCE98"/>
    <w:rsid w:val="04CF507F"/>
    <w:rsid w:val="0678EA9C"/>
    <w:rsid w:val="07324137"/>
    <w:rsid w:val="07C3B89B"/>
    <w:rsid w:val="09683B3D"/>
    <w:rsid w:val="0AED7B3B"/>
    <w:rsid w:val="0B554E45"/>
    <w:rsid w:val="0B938596"/>
    <w:rsid w:val="0CB16996"/>
    <w:rsid w:val="0CED73B5"/>
    <w:rsid w:val="0E41F76E"/>
    <w:rsid w:val="0E8CA45E"/>
    <w:rsid w:val="0EDBC23E"/>
    <w:rsid w:val="11482D22"/>
    <w:rsid w:val="12C99522"/>
    <w:rsid w:val="136871E4"/>
    <w:rsid w:val="14FF2CE5"/>
    <w:rsid w:val="16081761"/>
    <w:rsid w:val="161EE0DD"/>
    <w:rsid w:val="1763E38E"/>
    <w:rsid w:val="17F14588"/>
    <w:rsid w:val="1912038C"/>
    <w:rsid w:val="1958FC92"/>
    <w:rsid w:val="1CAAFD7E"/>
    <w:rsid w:val="1EB9948D"/>
    <w:rsid w:val="1F57ACFD"/>
    <w:rsid w:val="1F59A48F"/>
    <w:rsid w:val="1FD83D13"/>
    <w:rsid w:val="20B6ADA1"/>
    <w:rsid w:val="21D396C7"/>
    <w:rsid w:val="2222462E"/>
    <w:rsid w:val="224EE542"/>
    <w:rsid w:val="2275BABA"/>
    <w:rsid w:val="228E5D4E"/>
    <w:rsid w:val="23BD3D09"/>
    <w:rsid w:val="2665EA89"/>
    <w:rsid w:val="26A2ED87"/>
    <w:rsid w:val="2717E38D"/>
    <w:rsid w:val="271C6016"/>
    <w:rsid w:val="28913E3C"/>
    <w:rsid w:val="28CF29D7"/>
    <w:rsid w:val="2D7DCCE2"/>
    <w:rsid w:val="2D934EA9"/>
    <w:rsid w:val="2DD9D99F"/>
    <w:rsid w:val="2DF1EF15"/>
    <w:rsid w:val="305D7B16"/>
    <w:rsid w:val="306E7D1E"/>
    <w:rsid w:val="31421746"/>
    <w:rsid w:val="32646973"/>
    <w:rsid w:val="34564C74"/>
    <w:rsid w:val="347EA828"/>
    <w:rsid w:val="36237AE5"/>
    <w:rsid w:val="362561F1"/>
    <w:rsid w:val="370D918C"/>
    <w:rsid w:val="3776B089"/>
    <w:rsid w:val="3829ADF5"/>
    <w:rsid w:val="38888453"/>
    <w:rsid w:val="39BB899A"/>
    <w:rsid w:val="39BE7EEA"/>
    <w:rsid w:val="3ACD8D6D"/>
    <w:rsid w:val="3ADB18B8"/>
    <w:rsid w:val="3C655842"/>
    <w:rsid w:val="3CEAEE70"/>
    <w:rsid w:val="3CF6EDDC"/>
    <w:rsid w:val="3DC6F53A"/>
    <w:rsid w:val="3DEAB722"/>
    <w:rsid w:val="3E776653"/>
    <w:rsid w:val="3FEF9B05"/>
    <w:rsid w:val="40413276"/>
    <w:rsid w:val="412F0C55"/>
    <w:rsid w:val="4193203F"/>
    <w:rsid w:val="42996774"/>
    <w:rsid w:val="42E68728"/>
    <w:rsid w:val="430FE2B5"/>
    <w:rsid w:val="434CDADD"/>
    <w:rsid w:val="43E1FA32"/>
    <w:rsid w:val="449589B8"/>
    <w:rsid w:val="44C4C4A0"/>
    <w:rsid w:val="4530B990"/>
    <w:rsid w:val="47FDCE69"/>
    <w:rsid w:val="48B20EEC"/>
    <w:rsid w:val="4A0F93A9"/>
    <w:rsid w:val="4A53FECC"/>
    <w:rsid w:val="4AE3A19E"/>
    <w:rsid w:val="4AFF1985"/>
    <w:rsid w:val="4E6F44ED"/>
    <w:rsid w:val="4E92B765"/>
    <w:rsid w:val="4FCDA82E"/>
    <w:rsid w:val="5062C6E8"/>
    <w:rsid w:val="511BC1E5"/>
    <w:rsid w:val="51256633"/>
    <w:rsid w:val="53743D7F"/>
    <w:rsid w:val="53D01F95"/>
    <w:rsid w:val="545CC2BE"/>
    <w:rsid w:val="549C18C4"/>
    <w:rsid w:val="5529E761"/>
    <w:rsid w:val="559AC4A8"/>
    <w:rsid w:val="55B092C4"/>
    <w:rsid w:val="5688D032"/>
    <w:rsid w:val="5726E9AC"/>
    <w:rsid w:val="583200F2"/>
    <w:rsid w:val="591C8BE9"/>
    <w:rsid w:val="5B0A0473"/>
    <w:rsid w:val="5B1F3E84"/>
    <w:rsid w:val="5C44F74C"/>
    <w:rsid w:val="5C4B18F9"/>
    <w:rsid w:val="5D13039B"/>
    <w:rsid w:val="5F3E67D5"/>
    <w:rsid w:val="6025C0E9"/>
    <w:rsid w:val="610EFB7E"/>
    <w:rsid w:val="62B6619E"/>
    <w:rsid w:val="635FA9BD"/>
    <w:rsid w:val="637F7197"/>
    <w:rsid w:val="645DDF0F"/>
    <w:rsid w:val="65162225"/>
    <w:rsid w:val="68586A1E"/>
    <w:rsid w:val="697E959A"/>
    <w:rsid w:val="6BE5ACCD"/>
    <w:rsid w:val="6C08A0C0"/>
    <w:rsid w:val="6D7C3A89"/>
    <w:rsid w:val="6F7C83DF"/>
    <w:rsid w:val="704D8247"/>
    <w:rsid w:val="7104124B"/>
    <w:rsid w:val="711AFAFF"/>
    <w:rsid w:val="711F3C01"/>
    <w:rsid w:val="71A96D3E"/>
    <w:rsid w:val="71C023D3"/>
    <w:rsid w:val="71E7DDB9"/>
    <w:rsid w:val="720FA66A"/>
    <w:rsid w:val="722635D8"/>
    <w:rsid w:val="7252C88E"/>
    <w:rsid w:val="731D7327"/>
    <w:rsid w:val="76FA01F8"/>
    <w:rsid w:val="78A39215"/>
    <w:rsid w:val="7A1CE041"/>
    <w:rsid w:val="7A66B5B3"/>
    <w:rsid w:val="7CE1BCEA"/>
    <w:rsid w:val="7E78000E"/>
    <w:rsid w:val="7E9279F0"/>
    <w:rsid w:val="7F71B0B8"/>
    <w:rsid w:val="7FEDD40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E274E78"/>
  <w14:defaultImageDpi w14:val="330"/>
  <w15:chartTrackingRefBased/>
  <w15:docId w15:val="{B4E33809-97C4-4731-84AB-DCD2007F7F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01A3"/>
  </w:style>
  <w:style w:type="paragraph" w:styleId="Heading1">
    <w:name w:val="heading 1"/>
    <w:basedOn w:val="Normal"/>
    <w:next w:val="Normal"/>
    <w:link w:val="Heading1Char"/>
    <w:uiPriority w:val="9"/>
    <w:qFormat/>
    <w:rsid w:val="00511B6A"/>
    <w:pPr>
      <w:keepNext/>
      <w:spacing w:after="0"/>
      <w:outlineLvl w:val="0"/>
    </w:pPr>
    <w:rPr>
      <w:rFonts w:ascii="Arial" w:hAnsi="Arial" w:cs="Arial"/>
      <w:b/>
    </w:rPr>
  </w:style>
  <w:style w:type="paragraph" w:styleId="Heading2">
    <w:name w:val="heading 2"/>
    <w:basedOn w:val="Normal"/>
    <w:next w:val="Normal"/>
    <w:link w:val="Heading2Char"/>
    <w:uiPriority w:val="9"/>
    <w:unhideWhenUsed/>
    <w:qFormat/>
    <w:rsid w:val="00810B07"/>
    <w:pPr>
      <w:keepNext/>
      <w:keepLines/>
      <w:spacing w:before="40" w:after="0"/>
      <w:outlineLvl w:val="1"/>
    </w:pPr>
    <w:rPr>
      <w:rFonts w:asciiTheme="majorHAnsi" w:eastAsiaTheme="majorEastAsia" w:hAnsiTheme="majorHAnsi" w:cstheme="majorBidi"/>
      <w:color w:val="9D450E" w:themeColor="accent1" w:themeShade="BF"/>
      <w:sz w:val="26"/>
      <w:szCs w:val="26"/>
    </w:rPr>
  </w:style>
  <w:style w:type="paragraph" w:styleId="Heading3">
    <w:name w:val="heading 3"/>
    <w:basedOn w:val="Normal"/>
    <w:next w:val="Normal"/>
    <w:link w:val="Heading3Char"/>
    <w:uiPriority w:val="9"/>
    <w:unhideWhenUsed/>
    <w:qFormat/>
    <w:rsid w:val="00FA06E8"/>
    <w:pPr>
      <w:keepNext/>
      <w:keepLines/>
      <w:spacing w:before="40" w:after="0"/>
      <w:outlineLvl w:val="2"/>
    </w:pPr>
    <w:rPr>
      <w:rFonts w:asciiTheme="majorHAnsi" w:eastAsiaTheme="majorEastAsia" w:hAnsiTheme="majorHAnsi" w:cstheme="majorBidi"/>
      <w:color w:val="682E09" w:themeColor="accent1" w:themeShade="7F"/>
      <w:sz w:val="24"/>
      <w:szCs w:val="24"/>
    </w:rPr>
  </w:style>
  <w:style w:type="paragraph" w:styleId="Heading4">
    <w:name w:val="heading 4"/>
    <w:basedOn w:val="Normal"/>
    <w:next w:val="Normal"/>
    <w:link w:val="Heading4Char"/>
    <w:uiPriority w:val="9"/>
    <w:unhideWhenUsed/>
    <w:qFormat/>
    <w:rsid w:val="007D5067"/>
    <w:pPr>
      <w:keepNext/>
      <w:keepLines/>
      <w:spacing w:before="40" w:after="0"/>
      <w:outlineLvl w:val="3"/>
    </w:pPr>
    <w:rPr>
      <w:rFonts w:asciiTheme="majorHAnsi" w:eastAsiaTheme="majorEastAsia" w:hAnsiTheme="majorHAnsi" w:cstheme="majorBidi"/>
      <w:i/>
      <w:iCs/>
      <w:color w:val="9D450E" w:themeColor="accent1" w:themeShade="BF"/>
    </w:rPr>
  </w:style>
  <w:style w:type="paragraph" w:styleId="Heading5">
    <w:name w:val="heading 5"/>
    <w:basedOn w:val="Normal"/>
    <w:next w:val="Normal"/>
    <w:link w:val="Heading5Char"/>
    <w:uiPriority w:val="9"/>
    <w:unhideWhenUsed/>
    <w:qFormat/>
    <w:rsid w:val="004C54A8"/>
    <w:pPr>
      <w:keepNext/>
      <w:keepLines/>
      <w:spacing w:before="40" w:after="0"/>
      <w:outlineLvl w:val="4"/>
    </w:pPr>
    <w:rPr>
      <w:rFonts w:asciiTheme="majorHAnsi" w:eastAsiaTheme="majorEastAsia" w:hAnsiTheme="majorHAnsi" w:cstheme="majorBidi"/>
      <w:color w:val="9D450E" w:themeColor="accent1" w:themeShade="BF"/>
    </w:rPr>
  </w:style>
  <w:style w:type="paragraph" w:styleId="Heading6">
    <w:name w:val="heading 6"/>
    <w:basedOn w:val="Normal"/>
    <w:next w:val="Normal"/>
    <w:link w:val="Heading6Char"/>
    <w:uiPriority w:val="9"/>
    <w:unhideWhenUsed/>
    <w:qFormat/>
    <w:rsid w:val="00501C65"/>
    <w:pPr>
      <w:keepNext/>
      <w:keepLines/>
      <w:spacing w:before="40" w:after="0"/>
      <w:outlineLvl w:val="5"/>
    </w:pPr>
    <w:rPr>
      <w:rFonts w:asciiTheme="majorHAnsi" w:eastAsiaTheme="majorEastAsia" w:hAnsiTheme="majorHAnsi" w:cstheme="majorBidi"/>
      <w:color w:val="682E09"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043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43EB"/>
  </w:style>
  <w:style w:type="paragraph" w:styleId="Footer">
    <w:name w:val="footer"/>
    <w:basedOn w:val="Normal"/>
    <w:link w:val="FooterChar"/>
    <w:uiPriority w:val="99"/>
    <w:unhideWhenUsed/>
    <w:rsid w:val="004043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43EB"/>
  </w:style>
  <w:style w:type="paragraph" w:styleId="BodyText">
    <w:name w:val="Body Text"/>
    <w:basedOn w:val="Normal"/>
    <w:link w:val="BodyTextChar"/>
    <w:uiPriority w:val="99"/>
    <w:unhideWhenUsed/>
    <w:rsid w:val="00624F48"/>
    <w:rPr>
      <w:rFonts w:ascii="Calibri" w:hAnsi="Calibri" w:cs="Calibri"/>
      <w:color w:val="C3C6C8" w:themeColor="background1"/>
    </w:rPr>
  </w:style>
  <w:style w:type="character" w:customStyle="1" w:styleId="BodyTextChar">
    <w:name w:val="Body Text Char"/>
    <w:basedOn w:val="DefaultParagraphFont"/>
    <w:link w:val="BodyText"/>
    <w:uiPriority w:val="99"/>
    <w:rsid w:val="00624F48"/>
    <w:rPr>
      <w:rFonts w:ascii="Calibri" w:hAnsi="Calibri" w:cs="Calibri"/>
      <w:color w:val="C3C6C8" w:themeColor="background1"/>
    </w:rPr>
  </w:style>
  <w:style w:type="table" w:styleId="TableGrid">
    <w:name w:val="Table Grid"/>
    <w:basedOn w:val="TableNormal"/>
    <w:uiPriority w:val="39"/>
    <w:rsid w:val="003E1F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511B6A"/>
    <w:rPr>
      <w:rFonts w:ascii="Arial" w:hAnsi="Arial" w:cs="Arial"/>
      <w:b/>
    </w:rPr>
  </w:style>
  <w:style w:type="character" w:customStyle="1" w:styleId="Heading2Char">
    <w:name w:val="Heading 2 Char"/>
    <w:basedOn w:val="DefaultParagraphFont"/>
    <w:link w:val="Heading2"/>
    <w:uiPriority w:val="9"/>
    <w:rsid w:val="00810B07"/>
    <w:rPr>
      <w:rFonts w:asciiTheme="majorHAnsi" w:eastAsiaTheme="majorEastAsia" w:hAnsiTheme="majorHAnsi" w:cstheme="majorBidi"/>
      <w:color w:val="9D450E" w:themeColor="accent1" w:themeShade="BF"/>
      <w:sz w:val="26"/>
      <w:szCs w:val="26"/>
    </w:rPr>
  </w:style>
  <w:style w:type="paragraph" w:styleId="BodyText2">
    <w:name w:val="Body Text 2"/>
    <w:basedOn w:val="Normal"/>
    <w:link w:val="BodyText2Char"/>
    <w:uiPriority w:val="99"/>
    <w:unhideWhenUsed/>
    <w:rsid w:val="002D720E"/>
    <w:pPr>
      <w:spacing w:after="0"/>
    </w:pPr>
    <w:rPr>
      <w:rFonts w:ascii="Arial" w:hAnsi="Arial" w:cs="Arial"/>
      <w:sz w:val="20"/>
      <w:szCs w:val="20"/>
    </w:rPr>
  </w:style>
  <w:style w:type="character" w:customStyle="1" w:styleId="BodyText2Char">
    <w:name w:val="Body Text 2 Char"/>
    <w:basedOn w:val="DefaultParagraphFont"/>
    <w:link w:val="BodyText2"/>
    <w:uiPriority w:val="99"/>
    <w:rsid w:val="002D720E"/>
    <w:rPr>
      <w:rFonts w:ascii="Arial" w:hAnsi="Arial" w:cs="Arial"/>
      <w:sz w:val="20"/>
      <w:szCs w:val="20"/>
    </w:rPr>
  </w:style>
  <w:style w:type="paragraph" w:styleId="ListParagraph">
    <w:name w:val="List Paragraph"/>
    <w:basedOn w:val="Normal"/>
    <w:uiPriority w:val="34"/>
    <w:qFormat/>
    <w:rsid w:val="005B4199"/>
    <w:pPr>
      <w:ind w:left="720"/>
      <w:contextualSpacing/>
    </w:pPr>
  </w:style>
  <w:style w:type="paragraph" w:styleId="TOCHeading">
    <w:name w:val="TOC Heading"/>
    <w:basedOn w:val="Heading1"/>
    <w:next w:val="Normal"/>
    <w:uiPriority w:val="39"/>
    <w:unhideWhenUsed/>
    <w:qFormat/>
    <w:rsid w:val="009F1F91"/>
    <w:pPr>
      <w:keepLines/>
      <w:spacing w:before="240"/>
      <w:outlineLvl w:val="9"/>
    </w:pPr>
    <w:rPr>
      <w:rFonts w:asciiTheme="majorHAnsi" w:eastAsiaTheme="majorEastAsia" w:hAnsiTheme="majorHAnsi" w:cstheme="majorBidi"/>
      <w:b w:val="0"/>
      <w:color w:val="9D450E" w:themeColor="accent1" w:themeShade="BF"/>
      <w:sz w:val="32"/>
      <w:szCs w:val="32"/>
    </w:rPr>
  </w:style>
  <w:style w:type="paragraph" w:styleId="TOC1">
    <w:name w:val="toc 1"/>
    <w:basedOn w:val="Normal"/>
    <w:next w:val="Normal"/>
    <w:autoRedefine/>
    <w:uiPriority w:val="39"/>
    <w:unhideWhenUsed/>
    <w:rsid w:val="009F1F91"/>
    <w:pPr>
      <w:spacing w:after="100"/>
    </w:pPr>
  </w:style>
  <w:style w:type="character" w:styleId="Hyperlink">
    <w:name w:val="Hyperlink"/>
    <w:basedOn w:val="DefaultParagraphFont"/>
    <w:uiPriority w:val="99"/>
    <w:unhideWhenUsed/>
    <w:rsid w:val="009F1F91"/>
    <w:rPr>
      <w:color w:val="009ABF" w:themeColor="hyperlink"/>
      <w:u w:val="single"/>
    </w:rPr>
  </w:style>
  <w:style w:type="paragraph" w:styleId="TOC2">
    <w:name w:val="toc 2"/>
    <w:basedOn w:val="Normal"/>
    <w:next w:val="Normal"/>
    <w:autoRedefine/>
    <w:uiPriority w:val="39"/>
    <w:unhideWhenUsed/>
    <w:rsid w:val="00004478"/>
    <w:pPr>
      <w:spacing w:after="100"/>
      <w:ind w:left="220"/>
    </w:pPr>
  </w:style>
  <w:style w:type="paragraph" w:customStyle="1" w:styleId="Information">
    <w:name w:val="Information"/>
    <w:basedOn w:val="Normal"/>
    <w:link w:val="InformationChar"/>
    <w:qFormat/>
    <w:rsid w:val="002B2CA3"/>
    <w:pPr>
      <w:spacing w:after="0" w:line="360" w:lineRule="auto"/>
      <w:ind w:left="1440" w:hanging="1440"/>
    </w:pPr>
    <w:rPr>
      <w:rFonts w:ascii="Calibri" w:hAnsi="Calibri" w:cs="Calibri"/>
      <w:sz w:val="20"/>
      <w:szCs w:val="20"/>
    </w:rPr>
  </w:style>
  <w:style w:type="character" w:customStyle="1" w:styleId="InformationChar">
    <w:name w:val="Information Char"/>
    <w:basedOn w:val="DefaultParagraphFont"/>
    <w:link w:val="Information"/>
    <w:rsid w:val="002B2CA3"/>
    <w:rPr>
      <w:rFonts w:ascii="Calibri" w:hAnsi="Calibri" w:cs="Calibri"/>
      <w:sz w:val="20"/>
      <w:szCs w:val="20"/>
    </w:rPr>
  </w:style>
  <w:style w:type="character" w:styleId="CommentReference">
    <w:name w:val="annotation reference"/>
    <w:basedOn w:val="DefaultParagraphFont"/>
    <w:uiPriority w:val="99"/>
    <w:unhideWhenUsed/>
    <w:rsid w:val="000C1A7A"/>
    <w:rPr>
      <w:sz w:val="16"/>
      <w:szCs w:val="16"/>
    </w:rPr>
  </w:style>
  <w:style w:type="paragraph" w:styleId="CommentText">
    <w:name w:val="annotation text"/>
    <w:basedOn w:val="Normal"/>
    <w:link w:val="CommentTextChar"/>
    <w:uiPriority w:val="99"/>
    <w:unhideWhenUsed/>
    <w:rsid w:val="000C1A7A"/>
    <w:pPr>
      <w:spacing w:line="240" w:lineRule="auto"/>
    </w:pPr>
    <w:rPr>
      <w:sz w:val="20"/>
      <w:szCs w:val="20"/>
    </w:rPr>
  </w:style>
  <w:style w:type="character" w:customStyle="1" w:styleId="CommentTextChar">
    <w:name w:val="Comment Text Char"/>
    <w:basedOn w:val="DefaultParagraphFont"/>
    <w:link w:val="CommentText"/>
    <w:uiPriority w:val="99"/>
    <w:rsid w:val="000C1A7A"/>
    <w:rPr>
      <w:sz w:val="20"/>
      <w:szCs w:val="20"/>
    </w:rPr>
  </w:style>
  <w:style w:type="paragraph" w:styleId="CommentSubject">
    <w:name w:val="annotation subject"/>
    <w:basedOn w:val="CommentText"/>
    <w:next w:val="CommentText"/>
    <w:link w:val="CommentSubjectChar"/>
    <w:uiPriority w:val="99"/>
    <w:semiHidden/>
    <w:unhideWhenUsed/>
    <w:rsid w:val="000C1A7A"/>
    <w:rPr>
      <w:b/>
      <w:bCs/>
    </w:rPr>
  </w:style>
  <w:style w:type="character" w:customStyle="1" w:styleId="CommentSubjectChar">
    <w:name w:val="Comment Subject Char"/>
    <w:basedOn w:val="CommentTextChar"/>
    <w:link w:val="CommentSubject"/>
    <w:uiPriority w:val="99"/>
    <w:semiHidden/>
    <w:rsid w:val="000C1A7A"/>
    <w:rPr>
      <w:b/>
      <w:bCs/>
      <w:sz w:val="20"/>
      <w:szCs w:val="20"/>
    </w:rPr>
  </w:style>
  <w:style w:type="paragraph" w:styleId="BodyTextIndent">
    <w:name w:val="Body Text Indent"/>
    <w:basedOn w:val="Normal"/>
    <w:link w:val="BodyTextIndentChar"/>
    <w:uiPriority w:val="99"/>
    <w:unhideWhenUsed/>
    <w:rsid w:val="00673326"/>
    <w:pPr>
      <w:spacing w:after="120"/>
      <w:ind w:left="360"/>
    </w:pPr>
  </w:style>
  <w:style w:type="character" w:customStyle="1" w:styleId="BodyTextIndentChar">
    <w:name w:val="Body Text Indent Char"/>
    <w:basedOn w:val="DefaultParagraphFont"/>
    <w:link w:val="BodyTextIndent"/>
    <w:uiPriority w:val="99"/>
    <w:rsid w:val="00673326"/>
  </w:style>
  <w:style w:type="paragraph" w:styleId="BodyTextIndent2">
    <w:name w:val="Body Text Indent 2"/>
    <w:basedOn w:val="Normal"/>
    <w:link w:val="BodyTextIndent2Char"/>
    <w:uiPriority w:val="99"/>
    <w:semiHidden/>
    <w:unhideWhenUsed/>
    <w:rsid w:val="00673326"/>
    <w:pPr>
      <w:spacing w:after="120" w:line="480" w:lineRule="auto"/>
      <w:ind w:left="360"/>
    </w:pPr>
  </w:style>
  <w:style w:type="character" w:customStyle="1" w:styleId="BodyTextIndent2Char">
    <w:name w:val="Body Text Indent 2 Char"/>
    <w:basedOn w:val="DefaultParagraphFont"/>
    <w:link w:val="BodyTextIndent2"/>
    <w:uiPriority w:val="99"/>
    <w:semiHidden/>
    <w:rsid w:val="00673326"/>
  </w:style>
  <w:style w:type="paragraph" w:styleId="NormalWeb">
    <w:name w:val="Normal (Web)"/>
    <w:basedOn w:val="Normal"/>
    <w:uiPriority w:val="99"/>
    <w:unhideWhenUsed/>
    <w:rsid w:val="0067332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73326"/>
    <w:rPr>
      <w:b/>
      <w:bCs/>
    </w:rPr>
  </w:style>
  <w:style w:type="paragraph" w:styleId="Subtitle">
    <w:name w:val="Subtitle"/>
    <w:basedOn w:val="Normal"/>
    <w:next w:val="Normal"/>
    <w:link w:val="SubtitleChar"/>
    <w:uiPriority w:val="11"/>
    <w:qFormat/>
    <w:rsid w:val="0079355D"/>
    <w:pPr>
      <w:numPr>
        <w:ilvl w:val="1"/>
      </w:numPr>
      <w:spacing w:after="0" w:line="276" w:lineRule="auto"/>
    </w:pPr>
    <w:rPr>
      <w:rFonts w:ascii="Arial" w:eastAsiaTheme="majorEastAsia" w:hAnsi="Arial" w:cstheme="majorBidi"/>
      <w:iCs/>
      <w:color w:val="808080"/>
      <w:spacing w:val="15"/>
      <w:sz w:val="32"/>
      <w:szCs w:val="24"/>
    </w:rPr>
  </w:style>
  <w:style w:type="character" w:customStyle="1" w:styleId="SubtitleChar">
    <w:name w:val="Subtitle Char"/>
    <w:basedOn w:val="DefaultParagraphFont"/>
    <w:link w:val="Subtitle"/>
    <w:uiPriority w:val="11"/>
    <w:rsid w:val="0079355D"/>
    <w:rPr>
      <w:rFonts w:ascii="Arial" w:eastAsiaTheme="majorEastAsia" w:hAnsi="Arial" w:cstheme="majorBidi"/>
      <w:iCs/>
      <w:color w:val="808080"/>
      <w:spacing w:val="15"/>
      <w:sz w:val="32"/>
      <w:szCs w:val="24"/>
    </w:rPr>
  </w:style>
  <w:style w:type="paragraph" w:styleId="Title">
    <w:name w:val="Title"/>
    <w:basedOn w:val="Normal"/>
    <w:next w:val="Normal"/>
    <w:link w:val="TitleChar"/>
    <w:uiPriority w:val="10"/>
    <w:qFormat/>
    <w:rsid w:val="0079355D"/>
    <w:pPr>
      <w:spacing w:after="200" w:line="276" w:lineRule="auto"/>
      <w:contextualSpacing/>
    </w:pPr>
    <w:rPr>
      <w:rFonts w:ascii="Arial" w:eastAsiaTheme="majorEastAsia" w:hAnsi="Arial" w:cstheme="majorBidi"/>
      <w:color w:val="009ABF"/>
      <w:spacing w:val="5"/>
      <w:kern w:val="28"/>
      <w:sz w:val="48"/>
      <w:szCs w:val="52"/>
    </w:rPr>
  </w:style>
  <w:style w:type="character" w:customStyle="1" w:styleId="TitleChar">
    <w:name w:val="Title Char"/>
    <w:basedOn w:val="DefaultParagraphFont"/>
    <w:link w:val="Title"/>
    <w:uiPriority w:val="10"/>
    <w:rsid w:val="0079355D"/>
    <w:rPr>
      <w:rFonts w:ascii="Arial" w:eastAsiaTheme="majorEastAsia" w:hAnsi="Arial" w:cstheme="majorBidi"/>
      <w:color w:val="009ABF"/>
      <w:spacing w:val="5"/>
      <w:kern w:val="28"/>
      <w:sz w:val="48"/>
      <w:szCs w:val="52"/>
    </w:rPr>
  </w:style>
  <w:style w:type="paragraph" w:styleId="Date">
    <w:name w:val="Date"/>
    <w:basedOn w:val="Normal"/>
    <w:next w:val="Normal"/>
    <w:link w:val="DateChar"/>
    <w:uiPriority w:val="99"/>
    <w:unhideWhenUsed/>
    <w:rsid w:val="0079355D"/>
    <w:pPr>
      <w:spacing w:after="0" w:line="276" w:lineRule="auto"/>
    </w:pPr>
    <w:rPr>
      <w:rFonts w:eastAsiaTheme="minorEastAsia"/>
      <w:color w:val="009ABF"/>
      <w:sz w:val="20"/>
      <w:szCs w:val="24"/>
    </w:rPr>
  </w:style>
  <w:style w:type="character" w:customStyle="1" w:styleId="DateChar">
    <w:name w:val="Date Char"/>
    <w:basedOn w:val="DefaultParagraphFont"/>
    <w:link w:val="Date"/>
    <w:uiPriority w:val="99"/>
    <w:rsid w:val="0079355D"/>
    <w:rPr>
      <w:rFonts w:eastAsiaTheme="minorEastAsia"/>
      <w:color w:val="009ABF"/>
      <w:sz w:val="20"/>
      <w:szCs w:val="24"/>
    </w:rPr>
  </w:style>
  <w:style w:type="character" w:customStyle="1" w:styleId="normaltextrun">
    <w:name w:val="normaltextrun"/>
    <w:basedOn w:val="DefaultParagraphFont"/>
    <w:rsid w:val="00D002A6"/>
  </w:style>
  <w:style w:type="character" w:customStyle="1" w:styleId="tabchar">
    <w:name w:val="tabchar"/>
    <w:basedOn w:val="DefaultParagraphFont"/>
    <w:rsid w:val="00D002A6"/>
  </w:style>
  <w:style w:type="character" w:customStyle="1" w:styleId="Heading3Char">
    <w:name w:val="Heading 3 Char"/>
    <w:basedOn w:val="DefaultParagraphFont"/>
    <w:link w:val="Heading3"/>
    <w:uiPriority w:val="9"/>
    <w:rsid w:val="00FA06E8"/>
    <w:rPr>
      <w:rFonts w:asciiTheme="majorHAnsi" w:eastAsiaTheme="majorEastAsia" w:hAnsiTheme="majorHAnsi" w:cstheme="majorBidi"/>
      <w:color w:val="682E09" w:themeColor="accent1" w:themeShade="7F"/>
      <w:sz w:val="24"/>
      <w:szCs w:val="24"/>
    </w:rPr>
  </w:style>
  <w:style w:type="table" w:customStyle="1" w:styleId="TableGrid1">
    <w:name w:val="Table Grid1"/>
    <w:basedOn w:val="TableNormal"/>
    <w:next w:val="TableGrid"/>
    <w:uiPriority w:val="39"/>
    <w:rsid w:val="00622BA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C23DE3"/>
    <w:pPr>
      <w:tabs>
        <w:tab w:val="right" w:leader="dot" w:pos="9350"/>
      </w:tabs>
      <w:spacing w:after="100"/>
      <w:ind w:left="440"/>
    </w:pPr>
    <w:rPr>
      <w:rFonts w:ascii="Arial" w:hAnsi="Arial" w:cs="Arial"/>
      <w:noProof/>
      <w:sz w:val="20"/>
      <w:szCs w:val="20"/>
    </w:rPr>
  </w:style>
  <w:style w:type="paragraph" w:customStyle="1" w:styleId="paragraph">
    <w:name w:val="paragraph"/>
    <w:basedOn w:val="Normal"/>
    <w:rsid w:val="00721AA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ingerror">
    <w:name w:val="spellingerror"/>
    <w:basedOn w:val="DefaultParagraphFont"/>
    <w:rsid w:val="00721AA1"/>
  </w:style>
  <w:style w:type="character" w:customStyle="1" w:styleId="eop">
    <w:name w:val="eop"/>
    <w:basedOn w:val="DefaultParagraphFont"/>
    <w:rsid w:val="00721AA1"/>
  </w:style>
  <w:style w:type="table" w:customStyle="1" w:styleId="TableGrid2">
    <w:name w:val="Table Grid2"/>
    <w:basedOn w:val="TableNormal"/>
    <w:next w:val="TableGrid"/>
    <w:uiPriority w:val="39"/>
    <w:rsid w:val="0095173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A423F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27BF4"/>
    <w:pPr>
      <w:autoSpaceDE w:val="0"/>
      <w:autoSpaceDN w:val="0"/>
      <w:adjustRightInd w:val="0"/>
      <w:spacing w:after="0" w:line="240" w:lineRule="auto"/>
    </w:pPr>
    <w:rPr>
      <w:rFonts w:ascii="Arial" w:hAnsi="Arial" w:cs="Arial"/>
      <w:color w:val="000000"/>
      <w:sz w:val="24"/>
      <w:szCs w:val="24"/>
      <w14:ligatures w14:val="standardContextual"/>
    </w:rPr>
  </w:style>
  <w:style w:type="character" w:customStyle="1" w:styleId="superscript">
    <w:name w:val="superscript"/>
    <w:basedOn w:val="DefaultParagraphFont"/>
    <w:rsid w:val="005B4CD7"/>
  </w:style>
  <w:style w:type="paragraph" w:styleId="FootnoteText">
    <w:name w:val="footnote text"/>
    <w:basedOn w:val="Normal"/>
    <w:link w:val="FootnoteTextChar"/>
    <w:uiPriority w:val="99"/>
    <w:semiHidden/>
    <w:unhideWhenUsed/>
    <w:rsid w:val="008B1DB5"/>
    <w:pPr>
      <w:spacing w:after="0" w:line="240" w:lineRule="auto"/>
    </w:pPr>
    <w:rPr>
      <w:kern w:val="2"/>
      <w:sz w:val="20"/>
      <w:szCs w:val="20"/>
      <w14:ligatures w14:val="standardContextual"/>
    </w:rPr>
  </w:style>
  <w:style w:type="character" w:customStyle="1" w:styleId="FootnoteTextChar">
    <w:name w:val="Footnote Text Char"/>
    <w:basedOn w:val="DefaultParagraphFont"/>
    <w:link w:val="FootnoteText"/>
    <w:uiPriority w:val="99"/>
    <w:semiHidden/>
    <w:rsid w:val="008B1DB5"/>
    <w:rPr>
      <w:kern w:val="2"/>
      <w:sz w:val="20"/>
      <w:szCs w:val="20"/>
      <w14:ligatures w14:val="standardContextual"/>
    </w:rPr>
  </w:style>
  <w:style w:type="character" w:styleId="FootnoteReference">
    <w:name w:val="footnote reference"/>
    <w:basedOn w:val="DefaultParagraphFont"/>
    <w:uiPriority w:val="99"/>
    <w:unhideWhenUsed/>
    <w:rsid w:val="008B1DB5"/>
    <w:rPr>
      <w:vertAlign w:val="superscript"/>
    </w:rPr>
  </w:style>
  <w:style w:type="character" w:customStyle="1" w:styleId="Heading4Char">
    <w:name w:val="Heading 4 Char"/>
    <w:basedOn w:val="DefaultParagraphFont"/>
    <w:link w:val="Heading4"/>
    <w:uiPriority w:val="9"/>
    <w:rsid w:val="007D5067"/>
    <w:rPr>
      <w:rFonts w:asciiTheme="majorHAnsi" w:eastAsiaTheme="majorEastAsia" w:hAnsiTheme="majorHAnsi" w:cstheme="majorBidi"/>
      <w:i/>
      <w:iCs/>
      <w:color w:val="9D450E" w:themeColor="accent1" w:themeShade="BF"/>
    </w:rPr>
  </w:style>
  <w:style w:type="paragraph" w:styleId="Revision">
    <w:name w:val="Revision"/>
    <w:hidden/>
    <w:uiPriority w:val="99"/>
    <w:semiHidden/>
    <w:rsid w:val="00DC14B2"/>
    <w:pPr>
      <w:spacing w:after="0" w:line="240" w:lineRule="auto"/>
    </w:pPr>
    <w:rPr>
      <w:kern w:val="2"/>
      <w14:ligatures w14:val="standardContextual"/>
    </w:rPr>
  </w:style>
  <w:style w:type="character" w:styleId="Mention">
    <w:name w:val="Mention"/>
    <w:basedOn w:val="DefaultParagraphFont"/>
    <w:uiPriority w:val="99"/>
    <w:unhideWhenUsed/>
    <w:rsid w:val="00DC14B2"/>
    <w:rPr>
      <w:color w:val="2B579A"/>
      <w:shd w:val="clear" w:color="auto" w:fill="E1DFDD"/>
    </w:rPr>
  </w:style>
  <w:style w:type="character" w:styleId="FollowedHyperlink">
    <w:name w:val="FollowedHyperlink"/>
    <w:basedOn w:val="DefaultParagraphFont"/>
    <w:uiPriority w:val="99"/>
    <w:semiHidden/>
    <w:unhideWhenUsed/>
    <w:rsid w:val="00DC14B2"/>
    <w:rPr>
      <w:color w:val="954F72" w:themeColor="followedHyperlink"/>
      <w:u w:val="single"/>
    </w:rPr>
  </w:style>
  <w:style w:type="character" w:customStyle="1" w:styleId="UnresolvedMention1">
    <w:name w:val="Unresolved Mention1"/>
    <w:basedOn w:val="DefaultParagraphFont"/>
    <w:uiPriority w:val="99"/>
    <w:semiHidden/>
    <w:unhideWhenUsed/>
    <w:rsid w:val="00DC14B2"/>
    <w:rPr>
      <w:color w:val="605E5C"/>
      <w:shd w:val="clear" w:color="auto" w:fill="E1DFDD"/>
    </w:rPr>
  </w:style>
  <w:style w:type="character" w:customStyle="1" w:styleId="Mention1">
    <w:name w:val="Mention1"/>
    <w:basedOn w:val="DefaultParagraphFont"/>
    <w:uiPriority w:val="99"/>
    <w:unhideWhenUsed/>
    <w:rsid w:val="00DC14B2"/>
    <w:rPr>
      <w:color w:val="2B579A"/>
      <w:shd w:val="clear" w:color="auto" w:fill="E1DFDD"/>
    </w:rPr>
  </w:style>
  <w:style w:type="paragraph" w:styleId="BalloonText">
    <w:name w:val="Balloon Text"/>
    <w:basedOn w:val="Normal"/>
    <w:link w:val="BalloonTextChar"/>
    <w:uiPriority w:val="99"/>
    <w:semiHidden/>
    <w:unhideWhenUsed/>
    <w:rsid w:val="00DC14B2"/>
    <w:pPr>
      <w:spacing w:after="0" w:line="240" w:lineRule="auto"/>
    </w:pPr>
    <w:rPr>
      <w:rFonts w:ascii="Segoe UI" w:hAnsi="Segoe UI" w:cs="Segoe UI"/>
      <w:kern w:val="2"/>
      <w:sz w:val="18"/>
      <w:szCs w:val="18"/>
      <w14:ligatures w14:val="standardContextual"/>
    </w:rPr>
  </w:style>
  <w:style w:type="character" w:customStyle="1" w:styleId="BalloonTextChar">
    <w:name w:val="Balloon Text Char"/>
    <w:basedOn w:val="DefaultParagraphFont"/>
    <w:link w:val="BalloonText"/>
    <w:uiPriority w:val="99"/>
    <w:semiHidden/>
    <w:rsid w:val="00DC14B2"/>
    <w:rPr>
      <w:rFonts w:ascii="Segoe UI" w:hAnsi="Segoe UI" w:cs="Segoe UI"/>
      <w:kern w:val="2"/>
      <w:sz w:val="18"/>
      <w:szCs w:val="18"/>
      <w14:ligatures w14:val="standardContextual"/>
    </w:rPr>
  </w:style>
  <w:style w:type="character" w:styleId="UnresolvedMention">
    <w:name w:val="Unresolved Mention"/>
    <w:basedOn w:val="DefaultParagraphFont"/>
    <w:uiPriority w:val="99"/>
    <w:semiHidden/>
    <w:unhideWhenUsed/>
    <w:rsid w:val="00DC14B2"/>
    <w:rPr>
      <w:color w:val="605E5C"/>
      <w:shd w:val="clear" w:color="auto" w:fill="E1DFDD"/>
    </w:rPr>
  </w:style>
  <w:style w:type="character" w:customStyle="1" w:styleId="contextualspellingandgrammarerror">
    <w:name w:val="contextualspellingandgrammarerror"/>
    <w:basedOn w:val="DefaultParagraphFont"/>
    <w:rsid w:val="00DC14B2"/>
  </w:style>
  <w:style w:type="character" w:customStyle="1" w:styleId="cf01">
    <w:name w:val="cf01"/>
    <w:basedOn w:val="DefaultParagraphFont"/>
    <w:rsid w:val="004E73E8"/>
    <w:rPr>
      <w:rFonts w:ascii="Segoe UI" w:hAnsi="Segoe UI" w:cs="Segoe UI" w:hint="default"/>
      <w:sz w:val="18"/>
      <w:szCs w:val="18"/>
    </w:rPr>
  </w:style>
  <w:style w:type="table" w:customStyle="1" w:styleId="TableGrid4">
    <w:name w:val="Table Grid4"/>
    <w:basedOn w:val="TableNormal"/>
    <w:next w:val="TableGrid"/>
    <w:uiPriority w:val="39"/>
    <w:rsid w:val="0035621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623E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745B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AD19D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4C54A8"/>
    <w:rPr>
      <w:rFonts w:asciiTheme="majorHAnsi" w:eastAsiaTheme="majorEastAsia" w:hAnsiTheme="majorHAnsi" w:cstheme="majorBidi"/>
      <w:color w:val="9D450E" w:themeColor="accent1" w:themeShade="BF"/>
    </w:rPr>
  </w:style>
  <w:style w:type="character" w:customStyle="1" w:styleId="Heading6Char">
    <w:name w:val="Heading 6 Char"/>
    <w:basedOn w:val="DefaultParagraphFont"/>
    <w:link w:val="Heading6"/>
    <w:uiPriority w:val="9"/>
    <w:rsid w:val="00501C65"/>
    <w:rPr>
      <w:rFonts w:asciiTheme="majorHAnsi" w:eastAsiaTheme="majorEastAsia" w:hAnsiTheme="majorHAnsi" w:cstheme="majorBidi"/>
      <w:color w:val="682E09" w:themeColor="accent1" w:themeShade="7F"/>
    </w:rPr>
  </w:style>
  <w:style w:type="paragraph" w:styleId="Caption">
    <w:name w:val="caption"/>
    <w:basedOn w:val="Normal"/>
    <w:next w:val="Normal"/>
    <w:uiPriority w:val="35"/>
    <w:unhideWhenUsed/>
    <w:qFormat/>
    <w:rsid w:val="005D59F0"/>
    <w:pPr>
      <w:spacing w:after="200" w:line="240" w:lineRule="auto"/>
    </w:pPr>
    <w:rPr>
      <w:i/>
      <w:iCs/>
      <w:color w:val="000000" w:themeColor="text2"/>
      <w:sz w:val="18"/>
      <w:szCs w:val="18"/>
    </w:rPr>
  </w:style>
  <w:style w:type="character" w:customStyle="1" w:styleId="ui-provider">
    <w:name w:val="ui-provider"/>
    <w:basedOn w:val="DefaultParagraphFont"/>
    <w:rsid w:val="003E6C65"/>
  </w:style>
  <w:style w:type="numbering" w:customStyle="1" w:styleId="NoList1">
    <w:name w:val="No List1"/>
    <w:next w:val="NoList"/>
    <w:uiPriority w:val="99"/>
    <w:semiHidden/>
    <w:unhideWhenUsed/>
    <w:rsid w:val="00F93334"/>
  </w:style>
  <w:style w:type="table" w:customStyle="1" w:styleId="TableGrid8">
    <w:name w:val="Table Grid8"/>
    <w:basedOn w:val="TableNormal"/>
    <w:next w:val="TableGrid"/>
    <w:uiPriority w:val="39"/>
    <w:rsid w:val="00F93334"/>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phy">
    <w:name w:val="Bibliography"/>
    <w:basedOn w:val="Normal"/>
    <w:next w:val="Normal"/>
    <w:uiPriority w:val="37"/>
    <w:unhideWhenUsed/>
    <w:rsid w:val="00F93334"/>
    <w:rPr>
      <w:kern w:val="2"/>
      <w14:ligatures w14:val="standardContextual"/>
    </w:rPr>
  </w:style>
  <w:style w:type="paragraph" w:styleId="EndnoteText">
    <w:name w:val="endnote text"/>
    <w:basedOn w:val="Normal"/>
    <w:link w:val="EndnoteTextChar"/>
    <w:uiPriority w:val="99"/>
    <w:semiHidden/>
    <w:unhideWhenUsed/>
    <w:rsid w:val="00F93334"/>
    <w:pPr>
      <w:spacing w:after="0" w:line="240" w:lineRule="auto"/>
    </w:pPr>
    <w:rPr>
      <w:kern w:val="2"/>
      <w:sz w:val="20"/>
      <w:szCs w:val="20"/>
      <w14:ligatures w14:val="standardContextual"/>
    </w:rPr>
  </w:style>
  <w:style w:type="character" w:customStyle="1" w:styleId="EndnoteTextChar">
    <w:name w:val="Endnote Text Char"/>
    <w:basedOn w:val="DefaultParagraphFont"/>
    <w:link w:val="EndnoteText"/>
    <w:uiPriority w:val="99"/>
    <w:semiHidden/>
    <w:rsid w:val="00F93334"/>
    <w:rPr>
      <w:kern w:val="2"/>
      <w:sz w:val="20"/>
      <w:szCs w:val="20"/>
      <w14:ligatures w14:val="standardContextual"/>
    </w:rPr>
  </w:style>
  <w:style w:type="character" w:styleId="EndnoteReference">
    <w:name w:val="endnote reference"/>
    <w:basedOn w:val="DefaultParagraphFont"/>
    <w:uiPriority w:val="99"/>
    <w:semiHidden/>
    <w:unhideWhenUsed/>
    <w:rsid w:val="00F93334"/>
    <w:rPr>
      <w:vertAlign w:val="superscript"/>
    </w:rPr>
  </w:style>
  <w:style w:type="character" w:customStyle="1" w:styleId="cf11">
    <w:name w:val="cf11"/>
    <w:basedOn w:val="DefaultParagraphFont"/>
    <w:rsid w:val="00E65CF4"/>
    <w:rPr>
      <w:rFonts w:ascii="Segoe UI" w:hAnsi="Segoe UI" w:cs="Segoe UI" w:hint="default"/>
      <w:sz w:val="18"/>
      <w:szCs w:val="18"/>
    </w:rPr>
  </w:style>
  <w:style w:type="paragraph" w:customStyle="1" w:styleId="pf0">
    <w:name w:val="pf0"/>
    <w:basedOn w:val="Normal"/>
    <w:rsid w:val="00855740"/>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2D5F18"/>
  </w:style>
  <w:style w:type="table" w:customStyle="1" w:styleId="TableGrid9">
    <w:name w:val="Table Grid9"/>
    <w:basedOn w:val="TableNormal"/>
    <w:next w:val="TableGrid"/>
    <w:uiPriority w:val="39"/>
    <w:rsid w:val="002D5F18"/>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2D5F18"/>
    <w:pPr>
      <w:spacing w:after="0" w:line="240" w:lineRule="auto"/>
    </w:pPr>
    <w:rPr>
      <w:kern w:val="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5227519">
      <w:bodyDiv w:val="1"/>
      <w:marLeft w:val="0"/>
      <w:marRight w:val="0"/>
      <w:marTop w:val="0"/>
      <w:marBottom w:val="0"/>
      <w:divBdr>
        <w:top w:val="none" w:sz="0" w:space="0" w:color="auto"/>
        <w:left w:val="none" w:sz="0" w:space="0" w:color="auto"/>
        <w:bottom w:val="none" w:sz="0" w:space="0" w:color="auto"/>
        <w:right w:val="none" w:sz="0" w:space="0" w:color="auto"/>
      </w:divBdr>
    </w:div>
    <w:div w:id="96564275">
      <w:bodyDiv w:val="1"/>
      <w:marLeft w:val="0"/>
      <w:marRight w:val="0"/>
      <w:marTop w:val="0"/>
      <w:marBottom w:val="0"/>
      <w:divBdr>
        <w:top w:val="none" w:sz="0" w:space="0" w:color="auto"/>
        <w:left w:val="none" w:sz="0" w:space="0" w:color="auto"/>
        <w:bottom w:val="none" w:sz="0" w:space="0" w:color="auto"/>
        <w:right w:val="none" w:sz="0" w:space="0" w:color="auto"/>
      </w:divBdr>
    </w:div>
    <w:div w:id="97718182">
      <w:bodyDiv w:val="1"/>
      <w:marLeft w:val="0"/>
      <w:marRight w:val="0"/>
      <w:marTop w:val="0"/>
      <w:marBottom w:val="0"/>
      <w:divBdr>
        <w:top w:val="none" w:sz="0" w:space="0" w:color="auto"/>
        <w:left w:val="none" w:sz="0" w:space="0" w:color="auto"/>
        <w:bottom w:val="none" w:sz="0" w:space="0" w:color="auto"/>
        <w:right w:val="none" w:sz="0" w:space="0" w:color="auto"/>
      </w:divBdr>
      <w:divsChild>
        <w:div w:id="816067871">
          <w:marLeft w:val="0"/>
          <w:marRight w:val="0"/>
          <w:marTop w:val="0"/>
          <w:marBottom w:val="0"/>
          <w:divBdr>
            <w:top w:val="none" w:sz="0" w:space="0" w:color="auto"/>
            <w:left w:val="none" w:sz="0" w:space="0" w:color="auto"/>
            <w:bottom w:val="none" w:sz="0" w:space="0" w:color="auto"/>
            <w:right w:val="none" w:sz="0" w:space="0" w:color="auto"/>
          </w:divBdr>
          <w:divsChild>
            <w:div w:id="1564027988">
              <w:marLeft w:val="0"/>
              <w:marRight w:val="0"/>
              <w:marTop w:val="0"/>
              <w:marBottom w:val="0"/>
              <w:divBdr>
                <w:top w:val="none" w:sz="0" w:space="0" w:color="auto"/>
                <w:left w:val="none" w:sz="0" w:space="0" w:color="auto"/>
                <w:bottom w:val="none" w:sz="0" w:space="0" w:color="auto"/>
                <w:right w:val="none" w:sz="0" w:space="0" w:color="auto"/>
              </w:divBdr>
              <w:divsChild>
                <w:div w:id="153014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338053">
          <w:marLeft w:val="0"/>
          <w:marRight w:val="0"/>
          <w:marTop w:val="0"/>
          <w:marBottom w:val="0"/>
          <w:divBdr>
            <w:top w:val="none" w:sz="0" w:space="0" w:color="auto"/>
            <w:left w:val="none" w:sz="0" w:space="0" w:color="auto"/>
            <w:bottom w:val="none" w:sz="0" w:space="0" w:color="auto"/>
            <w:right w:val="none" w:sz="0" w:space="0" w:color="auto"/>
          </w:divBdr>
          <w:divsChild>
            <w:div w:id="384525044">
              <w:marLeft w:val="0"/>
              <w:marRight w:val="0"/>
              <w:marTop w:val="0"/>
              <w:marBottom w:val="0"/>
              <w:divBdr>
                <w:top w:val="none" w:sz="0" w:space="0" w:color="auto"/>
                <w:left w:val="none" w:sz="0" w:space="0" w:color="auto"/>
                <w:bottom w:val="none" w:sz="0" w:space="0" w:color="auto"/>
                <w:right w:val="none" w:sz="0" w:space="0" w:color="auto"/>
              </w:divBdr>
              <w:divsChild>
                <w:div w:id="1024552478">
                  <w:marLeft w:val="0"/>
                  <w:marRight w:val="0"/>
                  <w:marTop w:val="0"/>
                  <w:marBottom w:val="0"/>
                  <w:divBdr>
                    <w:top w:val="none" w:sz="0" w:space="0" w:color="auto"/>
                    <w:left w:val="none" w:sz="0" w:space="0" w:color="auto"/>
                    <w:bottom w:val="none" w:sz="0" w:space="0" w:color="auto"/>
                    <w:right w:val="none" w:sz="0" w:space="0" w:color="auto"/>
                  </w:divBdr>
                  <w:divsChild>
                    <w:div w:id="11371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58324">
      <w:bodyDiv w:val="1"/>
      <w:marLeft w:val="0"/>
      <w:marRight w:val="0"/>
      <w:marTop w:val="0"/>
      <w:marBottom w:val="0"/>
      <w:divBdr>
        <w:top w:val="none" w:sz="0" w:space="0" w:color="auto"/>
        <w:left w:val="none" w:sz="0" w:space="0" w:color="auto"/>
        <w:bottom w:val="none" w:sz="0" w:space="0" w:color="auto"/>
        <w:right w:val="none" w:sz="0" w:space="0" w:color="auto"/>
      </w:divBdr>
    </w:div>
    <w:div w:id="160630753">
      <w:bodyDiv w:val="1"/>
      <w:marLeft w:val="0"/>
      <w:marRight w:val="0"/>
      <w:marTop w:val="0"/>
      <w:marBottom w:val="0"/>
      <w:divBdr>
        <w:top w:val="none" w:sz="0" w:space="0" w:color="auto"/>
        <w:left w:val="none" w:sz="0" w:space="0" w:color="auto"/>
        <w:bottom w:val="none" w:sz="0" w:space="0" w:color="auto"/>
        <w:right w:val="none" w:sz="0" w:space="0" w:color="auto"/>
      </w:divBdr>
    </w:div>
    <w:div w:id="182937569">
      <w:bodyDiv w:val="1"/>
      <w:marLeft w:val="0"/>
      <w:marRight w:val="0"/>
      <w:marTop w:val="0"/>
      <w:marBottom w:val="0"/>
      <w:divBdr>
        <w:top w:val="none" w:sz="0" w:space="0" w:color="auto"/>
        <w:left w:val="none" w:sz="0" w:space="0" w:color="auto"/>
        <w:bottom w:val="none" w:sz="0" w:space="0" w:color="auto"/>
        <w:right w:val="none" w:sz="0" w:space="0" w:color="auto"/>
      </w:divBdr>
    </w:div>
    <w:div w:id="201132865">
      <w:bodyDiv w:val="1"/>
      <w:marLeft w:val="0"/>
      <w:marRight w:val="0"/>
      <w:marTop w:val="0"/>
      <w:marBottom w:val="0"/>
      <w:divBdr>
        <w:top w:val="none" w:sz="0" w:space="0" w:color="auto"/>
        <w:left w:val="none" w:sz="0" w:space="0" w:color="auto"/>
        <w:bottom w:val="none" w:sz="0" w:space="0" w:color="auto"/>
        <w:right w:val="none" w:sz="0" w:space="0" w:color="auto"/>
      </w:divBdr>
    </w:div>
    <w:div w:id="211312627">
      <w:bodyDiv w:val="1"/>
      <w:marLeft w:val="0"/>
      <w:marRight w:val="0"/>
      <w:marTop w:val="0"/>
      <w:marBottom w:val="0"/>
      <w:divBdr>
        <w:top w:val="none" w:sz="0" w:space="0" w:color="auto"/>
        <w:left w:val="none" w:sz="0" w:space="0" w:color="auto"/>
        <w:bottom w:val="none" w:sz="0" w:space="0" w:color="auto"/>
        <w:right w:val="none" w:sz="0" w:space="0" w:color="auto"/>
      </w:divBdr>
    </w:div>
    <w:div w:id="212738268">
      <w:bodyDiv w:val="1"/>
      <w:marLeft w:val="0"/>
      <w:marRight w:val="0"/>
      <w:marTop w:val="0"/>
      <w:marBottom w:val="0"/>
      <w:divBdr>
        <w:top w:val="none" w:sz="0" w:space="0" w:color="auto"/>
        <w:left w:val="none" w:sz="0" w:space="0" w:color="auto"/>
        <w:bottom w:val="none" w:sz="0" w:space="0" w:color="auto"/>
        <w:right w:val="none" w:sz="0" w:space="0" w:color="auto"/>
      </w:divBdr>
    </w:div>
    <w:div w:id="300426459">
      <w:bodyDiv w:val="1"/>
      <w:marLeft w:val="0"/>
      <w:marRight w:val="0"/>
      <w:marTop w:val="0"/>
      <w:marBottom w:val="0"/>
      <w:divBdr>
        <w:top w:val="none" w:sz="0" w:space="0" w:color="auto"/>
        <w:left w:val="none" w:sz="0" w:space="0" w:color="auto"/>
        <w:bottom w:val="none" w:sz="0" w:space="0" w:color="auto"/>
        <w:right w:val="none" w:sz="0" w:space="0" w:color="auto"/>
      </w:divBdr>
    </w:div>
    <w:div w:id="307824775">
      <w:bodyDiv w:val="1"/>
      <w:marLeft w:val="0"/>
      <w:marRight w:val="0"/>
      <w:marTop w:val="0"/>
      <w:marBottom w:val="0"/>
      <w:divBdr>
        <w:top w:val="none" w:sz="0" w:space="0" w:color="auto"/>
        <w:left w:val="none" w:sz="0" w:space="0" w:color="auto"/>
        <w:bottom w:val="none" w:sz="0" w:space="0" w:color="auto"/>
        <w:right w:val="none" w:sz="0" w:space="0" w:color="auto"/>
      </w:divBdr>
    </w:div>
    <w:div w:id="319583030">
      <w:bodyDiv w:val="1"/>
      <w:marLeft w:val="0"/>
      <w:marRight w:val="0"/>
      <w:marTop w:val="0"/>
      <w:marBottom w:val="0"/>
      <w:divBdr>
        <w:top w:val="none" w:sz="0" w:space="0" w:color="auto"/>
        <w:left w:val="none" w:sz="0" w:space="0" w:color="auto"/>
        <w:bottom w:val="none" w:sz="0" w:space="0" w:color="auto"/>
        <w:right w:val="none" w:sz="0" w:space="0" w:color="auto"/>
      </w:divBdr>
    </w:div>
    <w:div w:id="367028048">
      <w:bodyDiv w:val="1"/>
      <w:marLeft w:val="0"/>
      <w:marRight w:val="0"/>
      <w:marTop w:val="0"/>
      <w:marBottom w:val="0"/>
      <w:divBdr>
        <w:top w:val="none" w:sz="0" w:space="0" w:color="auto"/>
        <w:left w:val="none" w:sz="0" w:space="0" w:color="auto"/>
        <w:bottom w:val="none" w:sz="0" w:space="0" w:color="auto"/>
        <w:right w:val="none" w:sz="0" w:space="0" w:color="auto"/>
      </w:divBdr>
    </w:div>
    <w:div w:id="428545595">
      <w:bodyDiv w:val="1"/>
      <w:marLeft w:val="0"/>
      <w:marRight w:val="0"/>
      <w:marTop w:val="0"/>
      <w:marBottom w:val="0"/>
      <w:divBdr>
        <w:top w:val="none" w:sz="0" w:space="0" w:color="auto"/>
        <w:left w:val="none" w:sz="0" w:space="0" w:color="auto"/>
        <w:bottom w:val="none" w:sz="0" w:space="0" w:color="auto"/>
        <w:right w:val="none" w:sz="0" w:space="0" w:color="auto"/>
      </w:divBdr>
    </w:div>
    <w:div w:id="430129768">
      <w:bodyDiv w:val="1"/>
      <w:marLeft w:val="0"/>
      <w:marRight w:val="0"/>
      <w:marTop w:val="0"/>
      <w:marBottom w:val="0"/>
      <w:divBdr>
        <w:top w:val="none" w:sz="0" w:space="0" w:color="auto"/>
        <w:left w:val="none" w:sz="0" w:space="0" w:color="auto"/>
        <w:bottom w:val="none" w:sz="0" w:space="0" w:color="auto"/>
        <w:right w:val="none" w:sz="0" w:space="0" w:color="auto"/>
      </w:divBdr>
    </w:div>
    <w:div w:id="449475436">
      <w:bodyDiv w:val="1"/>
      <w:marLeft w:val="0"/>
      <w:marRight w:val="0"/>
      <w:marTop w:val="0"/>
      <w:marBottom w:val="0"/>
      <w:divBdr>
        <w:top w:val="none" w:sz="0" w:space="0" w:color="auto"/>
        <w:left w:val="none" w:sz="0" w:space="0" w:color="auto"/>
        <w:bottom w:val="none" w:sz="0" w:space="0" w:color="auto"/>
        <w:right w:val="none" w:sz="0" w:space="0" w:color="auto"/>
      </w:divBdr>
    </w:div>
    <w:div w:id="547105267">
      <w:bodyDiv w:val="1"/>
      <w:marLeft w:val="0"/>
      <w:marRight w:val="0"/>
      <w:marTop w:val="0"/>
      <w:marBottom w:val="0"/>
      <w:divBdr>
        <w:top w:val="none" w:sz="0" w:space="0" w:color="auto"/>
        <w:left w:val="none" w:sz="0" w:space="0" w:color="auto"/>
        <w:bottom w:val="none" w:sz="0" w:space="0" w:color="auto"/>
        <w:right w:val="none" w:sz="0" w:space="0" w:color="auto"/>
      </w:divBdr>
    </w:div>
    <w:div w:id="555438748">
      <w:bodyDiv w:val="1"/>
      <w:marLeft w:val="0"/>
      <w:marRight w:val="0"/>
      <w:marTop w:val="0"/>
      <w:marBottom w:val="0"/>
      <w:divBdr>
        <w:top w:val="none" w:sz="0" w:space="0" w:color="auto"/>
        <w:left w:val="none" w:sz="0" w:space="0" w:color="auto"/>
        <w:bottom w:val="none" w:sz="0" w:space="0" w:color="auto"/>
        <w:right w:val="none" w:sz="0" w:space="0" w:color="auto"/>
      </w:divBdr>
    </w:div>
    <w:div w:id="597983030">
      <w:bodyDiv w:val="1"/>
      <w:marLeft w:val="0"/>
      <w:marRight w:val="0"/>
      <w:marTop w:val="0"/>
      <w:marBottom w:val="0"/>
      <w:divBdr>
        <w:top w:val="none" w:sz="0" w:space="0" w:color="auto"/>
        <w:left w:val="none" w:sz="0" w:space="0" w:color="auto"/>
        <w:bottom w:val="none" w:sz="0" w:space="0" w:color="auto"/>
        <w:right w:val="none" w:sz="0" w:space="0" w:color="auto"/>
      </w:divBdr>
      <w:divsChild>
        <w:div w:id="26687383">
          <w:marLeft w:val="0"/>
          <w:marRight w:val="0"/>
          <w:marTop w:val="0"/>
          <w:marBottom w:val="0"/>
          <w:divBdr>
            <w:top w:val="none" w:sz="0" w:space="0" w:color="auto"/>
            <w:left w:val="none" w:sz="0" w:space="0" w:color="auto"/>
            <w:bottom w:val="none" w:sz="0" w:space="0" w:color="auto"/>
            <w:right w:val="none" w:sz="0" w:space="0" w:color="auto"/>
          </w:divBdr>
        </w:div>
        <w:div w:id="415902407">
          <w:marLeft w:val="0"/>
          <w:marRight w:val="0"/>
          <w:marTop w:val="0"/>
          <w:marBottom w:val="0"/>
          <w:divBdr>
            <w:top w:val="none" w:sz="0" w:space="0" w:color="auto"/>
            <w:left w:val="none" w:sz="0" w:space="0" w:color="auto"/>
            <w:bottom w:val="none" w:sz="0" w:space="0" w:color="auto"/>
            <w:right w:val="none" w:sz="0" w:space="0" w:color="auto"/>
          </w:divBdr>
        </w:div>
        <w:div w:id="805585016">
          <w:marLeft w:val="0"/>
          <w:marRight w:val="0"/>
          <w:marTop w:val="0"/>
          <w:marBottom w:val="0"/>
          <w:divBdr>
            <w:top w:val="none" w:sz="0" w:space="0" w:color="auto"/>
            <w:left w:val="none" w:sz="0" w:space="0" w:color="auto"/>
            <w:bottom w:val="none" w:sz="0" w:space="0" w:color="auto"/>
            <w:right w:val="none" w:sz="0" w:space="0" w:color="auto"/>
          </w:divBdr>
        </w:div>
        <w:div w:id="839736542">
          <w:marLeft w:val="0"/>
          <w:marRight w:val="0"/>
          <w:marTop w:val="0"/>
          <w:marBottom w:val="0"/>
          <w:divBdr>
            <w:top w:val="none" w:sz="0" w:space="0" w:color="auto"/>
            <w:left w:val="none" w:sz="0" w:space="0" w:color="auto"/>
            <w:bottom w:val="none" w:sz="0" w:space="0" w:color="auto"/>
            <w:right w:val="none" w:sz="0" w:space="0" w:color="auto"/>
          </w:divBdr>
        </w:div>
        <w:div w:id="957177455">
          <w:marLeft w:val="0"/>
          <w:marRight w:val="0"/>
          <w:marTop w:val="0"/>
          <w:marBottom w:val="0"/>
          <w:divBdr>
            <w:top w:val="none" w:sz="0" w:space="0" w:color="auto"/>
            <w:left w:val="none" w:sz="0" w:space="0" w:color="auto"/>
            <w:bottom w:val="none" w:sz="0" w:space="0" w:color="auto"/>
            <w:right w:val="none" w:sz="0" w:space="0" w:color="auto"/>
          </w:divBdr>
        </w:div>
        <w:div w:id="1181243214">
          <w:marLeft w:val="0"/>
          <w:marRight w:val="0"/>
          <w:marTop w:val="0"/>
          <w:marBottom w:val="0"/>
          <w:divBdr>
            <w:top w:val="none" w:sz="0" w:space="0" w:color="auto"/>
            <w:left w:val="none" w:sz="0" w:space="0" w:color="auto"/>
            <w:bottom w:val="none" w:sz="0" w:space="0" w:color="auto"/>
            <w:right w:val="none" w:sz="0" w:space="0" w:color="auto"/>
          </w:divBdr>
        </w:div>
        <w:div w:id="1401437863">
          <w:marLeft w:val="0"/>
          <w:marRight w:val="0"/>
          <w:marTop w:val="0"/>
          <w:marBottom w:val="0"/>
          <w:divBdr>
            <w:top w:val="none" w:sz="0" w:space="0" w:color="auto"/>
            <w:left w:val="none" w:sz="0" w:space="0" w:color="auto"/>
            <w:bottom w:val="none" w:sz="0" w:space="0" w:color="auto"/>
            <w:right w:val="none" w:sz="0" w:space="0" w:color="auto"/>
          </w:divBdr>
        </w:div>
        <w:div w:id="1447577471">
          <w:marLeft w:val="0"/>
          <w:marRight w:val="0"/>
          <w:marTop w:val="0"/>
          <w:marBottom w:val="0"/>
          <w:divBdr>
            <w:top w:val="none" w:sz="0" w:space="0" w:color="auto"/>
            <w:left w:val="none" w:sz="0" w:space="0" w:color="auto"/>
            <w:bottom w:val="none" w:sz="0" w:space="0" w:color="auto"/>
            <w:right w:val="none" w:sz="0" w:space="0" w:color="auto"/>
          </w:divBdr>
        </w:div>
        <w:div w:id="1507985718">
          <w:marLeft w:val="0"/>
          <w:marRight w:val="0"/>
          <w:marTop w:val="0"/>
          <w:marBottom w:val="0"/>
          <w:divBdr>
            <w:top w:val="none" w:sz="0" w:space="0" w:color="auto"/>
            <w:left w:val="none" w:sz="0" w:space="0" w:color="auto"/>
            <w:bottom w:val="none" w:sz="0" w:space="0" w:color="auto"/>
            <w:right w:val="none" w:sz="0" w:space="0" w:color="auto"/>
          </w:divBdr>
        </w:div>
        <w:div w:id="1663772024">
          <w:marLeft w:val="0"/>
          <w:marRight w:val="0"/>
          <w:marTop w:val="0"/>
          <w:marBottom w:val="0"/>
          <w:divBdr>
            <w:top w:val="none" w:sz="0" w:space="0" w:color="auto"/>
            <w:left w:val="none" w:sz="0" w:space="0" w:color="auto"/>
            <w:bottom w:val="none" w:sz="0" w:space="0" w:color="auto"/>
            <w:right w:val="none" w:sz="0" w:space="0" w:color="auto"/>
          </w:divBdr>
        </w:div>
        <w:div w:id="1756508640">
          <w:marLeft w:val="0"/>
          <w:marRight w:val="0"/>
          <w:marTop w:val="0"/>
          <w:marBottom w:val="0"/>
          <w:divBdr>
            <w:top w:val="none" w:sz="0" w:space="0" w:color="auto"/>
            <w:left w:val="none" w:sz="0" w:space="0" w:color="auto"/>
            <w:bottom w:val="none" w:sz="0" w:space="0" w:color="auto"/>
            <w:right w:val="none" w:sz="0" w:space="0" w:color="auto"/>
          </w:divBdr>
        </w:div>
        <w:div w:id="1769351365">
          <w:marLeft w:val="0"/>
          <w:marRight w:val="0"/>
          <w:marTop w:val="0"/>
          <w:marBottom w:val="0"/>
          <w:divBdr>
            <w:top w:val="none" w:sz="0" w:space="0" w:color="auto"/>
            <w:left w:val="none" w:sz="0" w:space="0" w:color="auto"/>
            <w:bottom w:val="none" w:sz="0" w:space="0" w:color="auto"/>
            <w:right w:val="none" w:sz="0" w:space="0" w:color="auto"/>
          </w:divBdr>
        </w:div>
        <w:div w:id="1789735185">
          <w:marLeft w:val="0"/>
          <w:marRight w:val="0"/>
          <w:marTop w:val="0"/>
          <w:marBottom w:val="0"/>
          <w:divBdr>
            <w:top w:val="none" w:sz="0" w:space="0" w:color="auto"/>
            <w:left w:val="none" w:sz="0" w:space="0" w:color="auto"/>
            <w:bottom w:val="none" w:sz="0" w:space="0" w:color="auto"/>
            <w:right w:val="none" w:sz="0" w:space="0" w:color="auto"/>
          </w:divBdr>
        </w:div>
        <w:div w:id="1873763228">
          <w:marLeft w:val="0"/>
          <w:marRight w:val="0"/>
          <w:marTop w:val="0"/>
          <w:marBottom w:val="0"/>
          <w:divBdr>
            <w:top w:val="none" w:sz="0" w:space="0" w:color="auto"/>
            <w:left w:val="none" w:sz="0" w:space="0" w:color="auto"/>
            <w:bottom w:val="none" w:sz="0" w:space="0" w:color="auto"/>
            <w:right w:val="none" w:sz="0" w:space="0" w:color="auto"/>
          </w:divBdr>
        </w:div>
        <w:div w:id="1936787826">
          <w:marLeft w:val="0"/>
          <w:marRight w:val="0"/>
          <w:marTop w:val="0"/>
          <w:marBottom w:val="0"/>
          <w:divBdr>
            <w:top w:val="none" w:sz="0" w:space="0" w:color="auto"/>
            <w:left w:val="none" w:sz="0" w:space="0" w:color="auto"/>
            <w:bottom w:val="none" w:sz="0" w:space="0" w:color="auto"/>
            <w:right w:val="none" w:sz="0" w:space="0" w:color="auto"/>
          </w:divBdr>
        </w:div>
        <w:div w:id="1943754469">
          <w:marLeft w:val="0"/>
          <w:marRight w:val="0"/>
          <w:marTop w:val="0"/>
          <w:marBottom w:val="0"/>
          <w:divBdr>
            <w:top w:val="none" w:sz="0" w:space="0" w:color="auto"/>
            <w:left w:val="none" w:sz="0" w:space="0" w:color="auto"/>
            <w:bottom w:val="none" w:sz="0" w:space="0" w:color="auto"/>
            <w:right w:val="none" w:sz="0" w:space="0" w:color="auto"/>
          </w:divBdr>
        </w:div>
      </w:divsChild>
    </w:div>
    <w:div w:id="653413920">
      <w:bodyDiv w:val="1"/>
      <w:marLeft w:val="0"/>
      <w:marRight w:val="0"/>
      <w:marTop w:val="0"/>
      <w:marBottom w:val="0"/>
      <w:divBdr>
        <w:top w:val="none" w:sz="0" w:space="0" w:color="auto"/>
        <w:left w:val="none" w:sz="0" w:space="0" w:color="auto"/>
        <w:bottom w:val="none" w:sz="0" w:space="0" w:color="auto"/>
        <w:right w:val="none" w:sz="0" w:space="0" w:color="auto"/>
      </w:divBdr>
    </w:div>
    <w:div w:id="705569803">
      <w:bodyDiv w:val="1"/>
      <w:marLeft w:val="0"/>
      <w:marRight w:val="0"/>
      <w:marTop w:val="0"/>
      <w:marBottom w:val="0"/>
      <w:divBdr>
        <w:top w:val="none" w:sz="0" w:space="0" w:color="auto"/>
        <w:left w:val="none" w:sz="0" w:space="0" w:color="auto"/>
        <w:bottom w:val="none" w:sz="0" w:space="0" w:color="auto"/>
        <w:right w:val="none" w:sz="0" w:space="0" w:color="auto"/>
      </w:divBdr>
    </w:div>
    <w:div w:id="720206839">
      <w:bodyDiv w:val="1"/>
      <w:marLeft w:val="0"/>
      <w:marRight w:val="0"/>
      <w:marTop w:val="0"/>
      <w:marBottom w:val="0"/>
      <w:divBdr>
        <w:top w:val="none" w:sz="0" w:space="0" w:color="auto"/>
        <w:left w:val="none" w:sz="0" w:space="0" w:color="auto"/>
        <w:bottom w:val="none" w:sz="0" w:space="0" w:color="auto"/>
        <w:right w:val="none" w:sz="0" w:space="0" w:color="auto"/>
      </w:divBdr>
      <w:divsChild>
        <w:div w:id="66155676">
          <w:marLeft w:val="360"/>
          <w:marRight w:val="0"/>
          <w:marTop w:val="0"/>
          <w:marBottom w:val="0"/>
          <w:divBdr>
            <w:top w:val="none" w:sz="0" w:space="0" w:color="auto"/>
            <w:left w:val="none" w:sz="0" w:space="0" w:color="auto"/>
            <w:bottom w:val="none" w:sz="0" w:space="0" w:color="auto"/>
            <w:right w:val="none" w:sz="0" w:space="0" w:color="auto"/>
          </w:divBdr>
        </w:div>
        <w:div w:id="191236433">
          <w:marLeft w:val="360"/>
          <w:marRight w:val="0"/>
          <w:marTop w:val="0"/>
          <w:marBottom w:val="0"/>
          <w:divBdr>
            <w:top w:val="none" w:sz="0" w:space="0" w:color="auto"/>
            <w:left w:val="none" w:sz="0" w:space="0" w:color="auto"/>
            <w:bottom w:val="none" w:sz="0" w:space="0" w:color="auto"/>
            <w:right w:val="none" w:sz="0" w:space="0" w:color="auto"/>
          </w:divBdr>
        </w:div>
        <w:div w:id="306594893">
          <w:marLeft w:val="360"/>
          <w:marRight w:val="0"/>
          <w:marTop w:val="0"/>
          <w:marBottom w:val="0"/>
          <w:divBdr>
            <w:top w:val="none" w:sz="0" w:space="0" w:color="auto"/>
            <w:left w:val="none" w:sz="0" w:space="0" w:color="auto"/>
            <w:bottom w:val="none" w:sz="0" w:space="0" w:color="auto"/>
            <w:right w:val="none" w:sz="0" w:space="0" w:color="auto"/>
          </w:divBdr>
        </w:div>
        <w:div w:id="356974793">
          <w:marLeft w:val="360"/>
          <w:marRight w:val="0"/>
          <w:marTop w:val="0"/>
          <w:marBottom w:val="0"/>
          <w:divBdr>
            <w:top w:val="none" w:sz="0" w:space="0" w:color="auto"/>
            <w:left w:val="none" w:sz="0" w:space="0" w:color="auto"/>
            <w:bottom w:val="none" w:sz="0" w:space="0" w:color="auto"/>
            <w:right w:val="none" w:sz="0" w:space="0" w:color="auto"/>
          </w:divBdr>
        </w:div>
        <w:div w:id="455954696">
          <w:marLeft w:val="360"/>
          <w:marRight w:val="0"/>
          <w:marTop w:val="0"/>
          <w:marBottom w:val="0"/>
          <w:divBdr>
            <w:top w:val="none" w:sz="0" w:space="0" w:color="auto"/>
            <w:left w:val="none" w:sz="0" w:space="0" w:color="auto"/>
            <w:bottom w:val="none" w:sz="0" w:space="0" w:color="auto"/>
            <w:right w:val="none" w:sz="0" w:space="0" w:color="auto"/>
          </w:divBdr>
        </w:div>
        <w:div w:id="586816335">
          <w:marLeft w:val="360"/>
          <w:marRight w:val="0"/>
          <w:marTop w:val="0"/>
          <w:marBottom w:val="0"/>
          <w:divBdr>
            <w:top w:val="none" w:sz="0" w:space="0" w:color="auto"/>
            <w:left w:val="none" w:sz="0" w:space="0" w:color="auto"/>
            <w:bottom w:val="none" w:sz="0" w:space="0" w:color="auto"/>
            <w:right w:val="none" w:sz="0" w:space="0" w:color="auto"/>
          </w:divBdr>
        </w:div>
        <w:div w:id="742457768">
          <w:marLeft w:val="360"/>
          <w:marRight w:val="0"/>
          <w:marTop w:val="0"/>
          <w:marBottom w:val="0"/>
          <w:divBdr>
            <w:top w:val="none" w:sz="0" w:space="0" w:color="auto"/>
            <w:left w:val="none" w:sz="0" w:space="0" w:color="auto"/>
            <w:bottom w:val="none" w:sz="0" w:space="0" w:color="auto"/>
            <w:right w:val="none" w:sz="0" w:space="0" w:color="auto"/>
          </w:divBdr>
        </w:div>
        <w:div w:id="1106073010">
          <w:marLeft w:val="360"/>
          <w:marRight w:val="0"/>
          <w:marTop w:val="0"/>
          <w:marBottom w:val="0"/>
          <w:divBdr>
            <w:top w:val="none" w:sz="0" w:space="0" w:color="auto"/>
            <w:left w:val="none" w:sz="0" w:space="0" w:color="auto"/>
            <w:bottom w:val="none" w:sz="0" w:space="0" w:color="auto"/>
            <w:right w:val="none" w:sz="0" w:space="0" w:color="auto"/>
          </w:divBdr>
        </w:div>
        <w:div w:id="1197350239">
          <w:marLeft w:val="360"/>
          <w:marRight w:val="0"/>
          <w:marTop w:val="0"/>
          <w:marBottom w:val="0"/>
          <w:divBdr>
            <w:top w:val="none" w:sz="0" w:space="0" w:color="auto"/>
            <w:left w:val="none" w:sz="0" w:space="0" w:color="auto"/>
            <w:bottom w:val="none" w:sz="0" w:space="0" w:color="auto"/>
            <w:right w:val="none" w:sz="0" w:space="0" w:color="auto"/>
          </w:divBdr>
        </w:div>
        <w:div w:id="1535851121">
          <w:marLeft w:val="360"/>
          <w:marRight w:val="0"/>
          <w:marTop w:val="0"/>
          <w:marBottom w:val="0"/>
          <w:divBdr>
            <w:top w:val="none" w:sz="0" w:space="0" w:color="auto"/>
            <w:left w:val="none" w:sz="0" w:space="0" w:color="auto"/>
            <w:bottom w:val="none" w:sz="0" w:space="0" w:color="auto"/>
            <w:right w:val="none" w:sz="0" w:space="0" w:color="auto"/>
          </w:divBdr>
        </w:div>
        <w:div w:id="2116248703">
          <w:marLeft w:val="360"/>
          <w:marRight w:val="0"/>
          <w:marTop w:val="0"/>
          <w:marBottom w:val="0"/>
          <w:divBdr>
            <w:top w:val="none" w:sz="0" w:space="0" w:color="auto"/>
            <w:left w:val="none" w:sz="0" w:space="0" w:color="auto"/>
            <w:bottom w:val="none" w:sz="0" w:space="0" w:color="auto"/>
            <w:right w:val="none" w:sz="0" w:space="0" w:color="auto"/>
          </w:divBdr>
        </w:div>
      </w:divsChild>
    </w:div>
    <w:div w:id="731779346">
      <w:bodyDiv w:val="1"/>
      <w:marLeft w:val="0"/>
      <w:marRight w:val="0"/>
      <w:marTop w:val="0"/>
      <w:marBottom w:val="0"/>
      <w:divBdr>
        <w:top w:val="none" w:sz="0" w:space="0" w:color="auto"/>
        <w:left w:val="none" w:sz="0" w:space="0" w:color="auto"/>
        <w:bottom w:val="none" w:sz="0" w:space="0" w:color="auto"/>
        <w:right w:val="none" w:sz="0" w:space="0" w:color="auto"/>
      </w:divBdr>
    </w:div>
    <w:div w:id="738792298">
      <w:bodyDiv w:val="1"/>
      <w:marLeft w:val="0"/>
      <w:marRight w:val="0"/>
      <w:marTop w:val="0"/>
      <w:marBottom w:val="0"/>
      <w:divBdr>
        <w:top w:val="none" w:sz="0" w:space="0" w:color="auto"/>
        <w:left w:val="none" w:sz="0" w:space="0" w:color="auto"/>
        <w:bottom w:val="none" w:sz="0" w:space="0" w:color="auto"/>
        <w:right w:val="none" w:sz="0" w:space="0" w:color="auto"/>
      </w:divBdr>
    </w:div>
    <w:div w:id="739324792">
      <w:bodyDiv w:val="1"/>
      <w:marLeft w:val="0"/>
      <w:marRight w:val="0"/>
      <w:marTop w:val="0"/>
      <w:marBottom w:val="0"/>
      <w:divBdr>
        <w:top w:val="none" w:sz="0" w:space="0" w:color="auto"/>
        <w:left w:val="none" w:sz="0" w:space="0" w:color="auto"/>
        <w:bottom w:val="none" w:sz="0" w:space="0" w:color="auto"/>
        <w:right w:val="none" w:sz="0" w:space="0" w:color="auto"/>
      </w:divBdr>
    </w:div>
    <w:div w:id="742682151">
      <w:bodyDiv w:val="1"/>
      <w:marLeft w:val="0"/>
      <w:marRight w:val="0"/>
      <w:marTop w:val="0"/>
      <w:marBottom w:val="0"/>
      <w:divBdr>
        <w:top w:val="none" w:sz="0" w:space="0" w:color="auto"/>
        <w:left w:val="none" w:sz="0" w:space="0" w:color="auto"/>
        <w:bottom w:val="none" w:sz="0" w:space="0" w:color="auto"/>
        <w:right w:val="none" w:sz="0" w:space="0" w:color="auto"/>
      </w:divBdr>
    </w:div>
    <w:div w:id="751387678">
      <w:bodyDiv w:val="1"/>
      <w:marLeft w:val="0"/>
      <w:marRight w:val="0"/>
      <w:marTop w:val="0"/>
      <w:marBottom w:val="0"/>
      <w:divBdr>
        <w:top w:val="none" w:sz="0" w:space="0" w:color="auto"/>
        <w:left w:val="none" w:sz="0" w:space="0" w:color="auto"/>
        <w:bottom w:val="none" w:sz="0" w:space="0" w:color="auto"/>
        <w:right w:val="none" w:sz="0" w:space="0" w:color="auto"/>
      </w:divBdr>
    </w:div>
    <w:div w:id="761879136">
      <w:bodyDiv w:val="1"/>
      <w:marLeft w:val="0"/>
      <w:marRight w:val="0"/>
      <w:marTop w:val="0"/>
      <w:marBottom w:val="0"/>
      <w:divBdr>
        <w:top w:val="none" w:sz="0" w:space="0" w:color="auto"/>
        <w:left w:val="none" w:sz="0" w:space="0" w:color="auto"/>
        <w:bottom w:val="none" w:sz="0" w:space="0" w:color="auto"/>
        <w:right w:val="none" w:sz="0" w:space="0" w:color="auto"/>
      </w:divBdr>
    </w:div>
    <w:div w:id="779451610">
      <w:bodyDiv w:val="1"/>
      <w:marLeft w:val="0"/>
      <w:marRight w:val="0"/>
      <w:marTop w:val="0"/>
      <w:marBottom w:val="0"/>
      <w:divBdr>
        <w:top w:val="none" w:sz="0" w:space="0" w:color="auto"/>
        <w:left w:val="none" w:sz="0" w:space="0" w:color="auto"/>
        <w:bottom w:val="none" w:sz="0" w:space="0" w:color="auto"/>
        <w:right w:val="none" w:sz="0" w:space="0" w:color="auto"/>
      </w:divBdr>
    </w:div>
    <w:div w:id="816065967">
      <w:bodyDiv w:val="1"/>
      <w:marLeft w:val="0"/>
      <w:marRight w:val="0"/>
      <w:marTop w:val="0"/>
      <w:marBottom w:val="0"/>
      <w:divBdr>
        <w:top w:val="none" w:sz="0" w:space="0" w:color="auto"/>
        <w:left w:val="none" w:sz="0" w:space="0" w:color="auto"/>
        <w:bottom w:val="none" w:sz="0" w:space="0" w:color="auto"/>
        <w:right w:val="none" w:sz="0" w:space="0" w:color="auto"/>
      </w:divBdr>
    </w:div>
    <w:div w:id="831600870">
      <w:bodyDiv w:val="1"/>
      <w:marLeft w:val="0"/>
      <w:marRight w:val="0"/>
      <w:marTop w:val="0"/>
      <w:marBottom w:val="0"/>
      <w:divBdr>
        <w:top w:val="none" w:sz="0" w:space="0" w:color="auto"/>
        <w:left w:val="none" w:sz="0" w:space="0" w:color="auto"/>
        <w:bottom w:val="none" w:sz="0" w:space="0" w:color="auto"/>
        <w:right w:val="none" w:sz="0" w:space="0" w:color="auto"/>
      </w:divBdr>
    </w:div>
    <w:div w:id="834879292">
      <w:bodyDiv w:val="1"/>
      <w:marLeft w:val="0"/>
      <w:marRight w:val="0"/>
      <w:marTop w:val="0"/>
      <w:marBottom w:val="0"/>
      <w:divBdr>
        <w:top w:val="none" w:sz="0" w:space="0" w:color="auto"/>
        <w:left w:val="none" w:sz="0" w:space="0" w:color="auto"/>
        <w:bottom w:val="none" w:sz="0" w:space="0" w:color="auto"/>
        <w:right w:val="none" w:sz="0" w:space="0" w:color="auto"/>
      </w:divBdr>
    </w:div>
    <w:div w:id="858012576">
      <w:bodyDiv w:val="1"/>
      <w:marLeft w:val="0"/>
      <w:marRight w:val="0"/>
      <w:marTop w:val="0"/>
      <w:marBottom w:val="0"/>
      <w:divBdr>
        <w:top w:val="none" w:sz="0" w:space="0" w:color="auto"/>
        <w:left w:val="none" w:sz="0" w:space="0" w:color="auto"/>
        <w:bottom w:val="none" w:sz="0" w:space="0" w:color="auto"/>
        <w:right w:val="none" w:sz="0" w:space="0" w:color="auto"/>
      </w:divBdr>
    </w:div>
    <w:div w:id="867333184">
      <w:bodyDiv w:val="1"/>
      <w:marLeft w:val="0"/>
      <w:marRight w:val="0"/>
      <w:marTop w:val="0"/>
      <w:marBottom w:val="0"/>
      <w:divBdr>
        <w:top w:val="none" w:sz="0" w:space="0" w:color="auto"/>
        <w:left w:val="none" w:sz="0" w:space="0" w:color="auto"/>
        <w:bottom w:val="none" w:sz="0" w:space="0" w:color="auto"/>
        <w:right w:val="none" w:sz="0" w:space="0" w:color="auto"/>
      </w:divBdr>
    </w:div>
    <w:div w:id="877203787">
      <w:bodyDiv w:val="1"/>
      <w:marLeft w:val="0"/>
      <w:marRight w:val="0"/>
      <w:marTop w:val="0"/>
      <w:marBottom w:val="0"/>
      <w:divBdr>
        <w:top w:val="none" w:sz="0" w:space="0" w:color="auto"/>
        <w:left w:val="none" w:sz="0" w:space="0" w:color="auto"/>
        <w:bottom w:val="none" w:sz="0" w:space="0" w:color="auto"/>
        <w:right w:val="none" w:sz="0" w:space="0" w:color="auto"/>
      </w:divBdr>
    </w:div>
    <w:div w:id="962154843">
      <w:bodyDiv w:val="1"/>
      <w:marLeft w:val="0"/>
      <w:marRight w:val="0"/>
      <w:marTop w:val="0"/>
      <w:marBottom w:val="0"/>
      <w:divBdr>
        <w:top w:val="none" w:sz="0" w:space="0" w:color="auto"/>
        <w:left w:val="none" w:sz="0" w:space="0" w:color="auto"/>
        <w:bottom w:val="none" w:sz="0" w:space="0" w:color="auto"/>
        <w:right w:val="none" w:sz="0" w:space="0" w:color="auto"/>
      </w:divBdr>
    </w:div>
    <w:div w:id="970785766">
      <w:bodyDiv w:val="1"/>
      <w:marLeft w:val="0"/>
      <w:marRight w:val="0"/>
      <w:marTop w:val="0"/>
      <w:marBottom w:val="0"/>
      <w:divBdr>
        <w:top w:val="none" w:sz="0" w:space="0" w:color="auto"/>
        <w:left w:val="none" w:sz="0" w:space="0" w:color="auto"/>
        <w:bottom w:val="none" w:sz="0" w:space="0" w:color="auto"/>
        <w:right w:val="none" w:sz="0" w:space="0" w:color="auto"/>
      </w:divBdr>
    </w:div>
    <w:div w:id="977342671">
      <w:bodyDiv w:val="1"/>
      <w:marLeft w:val="0"/>
      <w:marRight w:val="0"/>
      <w:marTop w:val="0"/>
      <w:marBottom w:val="0"/>
      <w:divBdr>
        <w:top w:val="none" w:sz="0" w:space="0" w:color="auto"/>
        <w:left w:val="none" w:sz="0" w:space="0" w:color="auto"/>
        <w:bottom w:val="none" w:sz="0" w:space="0" w:color="auto"/>
        <w:right w:val="none" w:sz="0" w:space="0" w:color="auto"/>
      </w:divBdr>
    </w:div>
    <w:div w:id="984971892">
      <w:bodyDiv w:val="1"/>
      <w:marLeft w:val="0"/>
      <w:marRight w:val="0"/>
      <w:marTop w:val="0"/>
      <w:marBottom w:val="0"/>
      <w:divBdr>
        <w:top w:val="none" w:sz="0" w:space="0" w:color="auto"/>
        <w:left w:val="none" w:sz="0" w:space="0" w:color="auto"/>
        <w:bottom w:val="none" w:sz="0" w:space="0" w:color="auto"/>
        <w:right w:val="none" w:sz="0" w:space="0" w:color="auto"/>
      </w:divBdr>
    </w:div>
    <w:div w:id="1008673955">
      <w:bodyDiv w:val="1"/>
      <w:marLeft w:val="0"/>
      <w:marRight w:val="0"/>
      <w:marTop w:val="0"/>
      <w:marBottom w:val="0"/>
      <w:divBdr>
        <w:top w:val="none" w:sz="0" w:space="0" w:color="auto"/>
        <w:left w:val="none" w:sz="0" w:space="0" w:color="auto"/>
        <w:bottom w:val="none" w:sz="0" w:space="0" w:color="auto"/>
        <w:right w:val="none" w:sz="0" w:space="0" w:color="auto"/>
      </w:divBdr>
      <w:divsChild>
        <w:div w:id="1419980503">
          <w:marLeft w:val="0"/>
          <w:marRight w:val="0"/>
          <w:marTop w:val="0"/>
          <w:marBottom w:val="0"/>
          <w:divBdr>
            <w:top w:val="none" w:sz="0" w:space="0" w:color="auto"/>
            <w:left w:val="none" w:sz="0" w:space="0" w:color="auto"/>
            <w:bottom w:val="none" w:sz="0" w:space="0" w:color="auto"/>
            <w:right w:val="none" w:sz="0" w:space="0" w:color="auto"/>
          </w:divBdr>
        </w:div>
        <w:div w:id="1528710264">
          <w:marLeft w:val="0"/>
          <w:marRight w:val="0"/>
          <w:marTop w:val="0"/>
          <w:marBottom w:val="0"/>
          <w:divBdr>
            <w:top w:val="none" w:sz="0" w:space="0" w:color="auto"/>
            <w:left w:val="none" w:sz="0" w:space="0" w:color="auto"/>
            <w:bottom w:val="none" w:sz="0" w:space="0" w:color="auto"/>
            <w:right w:val="none" w:sz="0" w:space="0" w:color="auto"/>
          </w:divBdr>
          <w:divsChild>
            <w:div w:id="608314119">
              <w:marLeft w:val="-75"/>
              <w:marRight w:val="0"/>
              <w:marTop w:val="30"/>
              <w:marBottom w:val="30"/>
              <w:divBdr>
                <w:top w:val="none" w:sz="0" w:space="0" w:color="auto"/>
                <w:left w:val="none" w:sz="0" w:space="0" w:color="auto"/>
                <w:bottom w:val="none" w:sz="0" w:space="0" w:color="auto"/>
                <w:right w:val="none" w:sz="0" w:space="0" w:color="auto"/>
              </w:divBdr>
              <w:divsChild>
                <w:div w:id="9576482">
                  <w:marLeft w:val="0"/>
                  <w:marRight w:val="0"/>
                  <w:marTop w:val="0"/>
                  <w:marBottom w:val="0"/>
                  <w:divBdr>
                    <w:top w:val="none" w:sz="0" w:space="0" w:color="auto"/>
                    <w:left w:val="none" w:sz="0" w:space="0" w:color="auto"/>
                    <w:bottom w:val="none" w:sz="0" w:space="0" w:color="auto"/>
                    <w:right w:val="none" w:sz="0" w:space="0" w:color="auto"/>
                  </w:divBdr>
                  <w:divsChild>
                    <w:div w:id="1273509151">
                      <w:marLeft w:val="0"/>
                      <w:marRight w:val="0"/>
                      <w:marTop w:val="0"/>
                      <w:marBottom w:val="0"/>
                      <w:divBdr>
                        <w:top w:val="none" w:sz="0" w:space="0" w:color="auto"/>
                        <w:left w:val="none" w:sz="0" w:space="0" w:color="auto"/>
                        <w:bottom w:val="none" w:sz="0" w:space="0" w:color="auto"/>
                        <w:right w:val="none" w:sz="0" w:space="0" w:color="auto"/>
                      </w:divBdr>
                    </w:div>
                  </w:divsChild>
                </w:div>
                <w:div w:id="50620126">
                  <w:marLeft w:val="0"/>
                  <w:marRight w:val="0"/>
                  <w:marTop w:val="0"/>
                  <w:marBottom w:val="0"/>
                  <w:divBdr>
                    <w:top w:val="none" w:sz="0" w:space="0" w:color="auto"/>
                    <w:left w:val="none" w:sz="0" w:space="0" w:color="auto"/>
                    <w:bottom w:val="none" w:sz="0" w:space="0" w:color="auto"/>
                    <w:right w:val="none" w:sz="0" w:space="0" w:color="auto"/>
                  </w:divBdr>
                  <w:divsChild>
                    <w:div w:id="1321271836">
                      <w:marLeft w:val="0"/>
                      <w:marRight w:val="0"/>
                      <w:marTop w:val="0"/>
                      <w:marBottom w:val="0"/>
                      <w:divBdr>
                        <w:top w:val="none" w:sz="0" w:space="0" w:color="auto"/>
                        <w:left w:val="none" w:sz="0" w:space="0" w:color="auto"/>
                        <w:bottom w:val="none" w:sz="0" w:space="0" w:color="auto"/>
                        <w:right w:val="none" w:sz="0" w:space="0" w:color="auto"/>
                      </w:divBdr>
                    </w:div>
                  </w:divsChild>
                </w:div>
                <w:div w:id="142889908">
                  <w:marLeft w:val="0"/>
                  <w:marRight w:val="0"/>
                  <w:marTop w:val="0"/>
                  <w:marBottom w:val="0"/>
                  <w:divBdr>
                    <w:top w:val="none" w:sz="0" w:space="0" w:color="auto"/>
                    <w:left w:val="none" w:sz="0" w:space="0" w:color="auto"/>
                    <w:bottom w:val="none" w:sz="0" w:space="0" w:color="auto"/>
                    <w:right w:val="none" w:sz="0" w:space="0" w:color="auto"/>
                  </w:divBdr>
                  <w:divsChild>
                    <w:div w:id="941257453">
                      <w:marLeft w:val="0"/>
                      <w:marRight w:val="0"/>
                      <w:marTop w:val="0"/>
                      <w:marBottom w:val="0"/>
                      <w:divBdr>
                        <w:top w:val="none" w:sz="0" w:space="0" w:color="auto"/>
                        <w:left w:val="none" w:sz="0" w:space="0" w:color="auto"/>
                        <w:bottom w:val="none" w:sz="0" w:space="0" w:color="auto"/>
                        <w:right w:val="none" w:sz="0" w:space="0" w:color="auto"/>
                      </w:divBdr>
                    </w:div>
                  </w:divsChild>
                </w:div>
                <w:div w:id="268395270">
                  <w:marLeft w:val="0"/>
                  <w:marRight w:val="0"/>
                  <w:marTop w:val="0"/>
                  <w:marBottom w:val="0"/>
                  <w:divBdr>
                    <w:top w:val="none" w:sz="0" w:space="0" w:color="auto"/>
                    <w:left w:val="none" w:sz="0" w:space="0" w:color="auto"/>
                    <w:bottom w:val="none" w:sz="0" w:space="0" w:color="auto"/>
                    <w:right w:val="none" w:sz="0" w:space="0" w:color="auto"/>
                  </w:divBdr>
                  <w:divsChild>
                    <w:div w:id="769349338">
                      <w:marLeft w:val="0"/>
                      <w:marRight w:val="0"/>
                      <w:marTop w:val="0"/>
                      <w:marBottom w:val="0"/>
                      <w:divBdr>
                        <w:top w:val="none" w:sz="0" w:space="0" w:color="auto"/>
                        <w:left w:val="none" w:sz="0" w:space="0" w:color="auto"/>
                        <w:bottom w:val="none" w:sz="0" w:space="0" w:color="auto"/>
                        <w:right w:val="none" w:sz="0" w:space="0" w:color="auto"/>
                      </w:divBdr>
                    </w:div>
                  </w:divsChild>
                </w:div>
                <w:div w:id="309210499">
                  <w:marLeft w:val="0"/>
                  <w:marRight w:val="0"/>
                  <w:marTop w:val="0"/>
                  <w:marBottom w:val="0"/>
                  <w:divBdr>
                    <w:top w:val="none" w:sz="0" w:space="0" w:color="auto"/>
                    <w:left w:val="none" w:sz="0" w:space="0" w:color="auto"/>
                    <w:bottom w:val="none" w:sz="0" w:space="0" w:color="auto"/>
                    <w:right w:val="none" w:sz="0" w:space="0" w:color="auto"/>
                  </w:divBdr>
                  <w:divsChild>
                    <w:div w:id="930310582">
                      <w:marLeft w:val="0"/>
                      <w:marRight w:val="0"/>
                      <w:marTop w:val="0"/>
                      <w:marBottom w:val="0"/>
                      <w:divBdr>
                        <w:top w:val="none" w:sz="0" w:space="0" w:color="auto"/>
                        <w:left w:val="none" w:sz="0" w:space="0" w:color="auto"/>
                        <w:bottom w:val="none" w:sz="0" w:space="0" w:color="auto"/>
                        <w:right w:val="none" w:sz="0" w:space="0" w:color="auto"/>
                      </w:divBdr>
                    </w:div>
                  </w:divsChild>
                </w:div>
                <w:div w:id="396511285">
                  <w:marLeft w:val="0"/>
                  <w:marRight w:val="0"/>
                  <w:marTop w:val="0"/>
                  <w:marBottom w:val="0"/>
                  <w:divBdr>
                    <w:top w:val="none" w:sz="0" w:space="0" w:color="auto"/>
                    <w:left w:val="none" w:sz="0" w:space="0" w:color="auto"/>
                    <w:bottom w:val="none" w:sz="0" w:space="0" w:color="auto"/>
                    <w:right w:val="none" w:sz="0" w:space="0" w:color="auto"/>
                  </w:divBdr>
                  <w:divsChild>
                    <w:div w:id="166555443">
                      <w:marLeft w:val="0"/>
                      <w:marRight w:val="0"/>
                      <w:marTop w:val="0"/>
                      <w:marBottom w:val="0"/>
                      <w:divBdr>
                        <w:top w:val="none" w:sz="0" w:space="0" w:color="auto"/>
                        <w:left w:val="none" w:sz="0" w:space="0" w:color="auto"/>
                        <w:bottom w:val="none" w:sz="0" w:space="0" w:color="auto"/>
                        <w:right w:val="none" w:sz="0" w:space="0" w:color="auto"/>
                      </w:divBdr>
                    </w:div>
                  </w:divsChild>
                </w:div>
                <w:div w:id="413817821">
                  <w:marLeft w:val="0"/>
                  <w:marRight w:val="0"/>
                  <w:marTop w:val="0"/>
                  <w:marBottom w:val="0"/>
                  <w:divBdr>
                    <w:top w:val="none" w:sz="0" w:space="0" w:color="auto"/>
                    <w:left w:val="none" w:sz="0" w:space="0" w:color="auto"/>
                    <w:bottom w:val="none" w:sz="0" w:space="0" w:color="auto"/>
                    <w:right w:val="none" w:sz="0" w:space="0" w:color="auto"/>
                  </w:divBdr>
                  <w:divsChild>
                    <w:div w:id="1525438444">
                      <w:marLeft w:val="0"/>
                      <w:marRight w:val="0"/>
                      <w:marTop w:val="0"/>
                      <w:marBottom w:val="0"/>
                      <w:divBdr>
                        <w:top w:val="none" w:sz="0" w:space="0" w:color="auto"/>
                        <w:left w:val="none" w:sz="0" w:space="0" w:color="auto"/>
                        <w:bottom w:val="none" w:sz="0" w:space="0" w:color="auto"/>
                        <w:right w:val="none" w:sz="0" w:space="0" w:color="auto"/>
                      </w:divBdr>
                    </w:div>
                  </w:divsChild>
                </w:div>
                <w:div w:id="453445334">
                  <w:marLeft w:val="0"/>
                  <w:marRight w:val="0"/>
                  <w:marTop w:val="0"/>
                  <w:marBottom w:val="0"/>
                  <w:divBdr>
                    <w:top w:val="none" w:sz="0" w:space="0" w:color="auto"/>
                    <w:left w:val="none" w:sz="0" w:space="0" w:color="auto"/>
                    <w:bottom w:val="none" w:sz="0" w:space="0" w:color="auto"/>
                    <w:right w:val="none" w:sz="0" w:space="0" w:color="auto"/>
                  </w:divBdr>
                  <w:divsChild>
                    <w:div w:id="1292134455">
                      <w:marLeft w:val="0"/>
                      <w:marRight w:val="0"/>
                      <w:marTop w:val="0"/>
                      <w:marBottom w:val="0"/>
                      <w:divBdr>
                        <w:top w:val="none" w:sz="0" w:space="0" w:color="auto"/>
                        <w:left w:val="none" w:sz="0" w:space="0" w:color="auto"/>
                        <w:bottom w:val="none" w:sz="0" w:space="0" w:color="auto"/>
                        <w:right w:val="none" w:sz="0" w:space="0" w:color="auto"/>
                      </w:divBdr>
                    </w:div>
                  </w:divsChild>
                </w:div>
                <w:div w:id="500464967">
                  <w:marLeft w:val="0"/>
                  <w:marRight w:val="0"/>
                  <w:marTop w:val="0"/>
                  <w:marBottom w:val="0"/>
                  <w:divBdr>
                    <w:top w:val="none" w:sz="0" w:space="0" w:color="auto"/>
                    <w:left w:val="none" w:sz="0" w:space="0" w:color="auto"/>
                    <w:bottom w:val="none" w:sz="0" w:space="0" w:color="auto"/>
                    <w:right w:val="none" w:sz="0" w:space="0" w:color="auto"/>
                  </w:divBdr>
                  <w:divsChild>
                    <w:div w:id="219022023">
                      <w:marLeft w:val="0"/>
                      <w:marRight w:val="0"/>
                      <w:marTop w:val="0"/>
                      <w:marBottom w:val="0"/>
                      <w:divBdr>
                        <w:top w:val="none" w:sz="0" w:space="0" w:color="auto"/>
                        <w:left w:val="none" w:sz="0" w:space="0" w:color="auto"/>
                        <w:bottom w:val="none" w:sz="0" w:space="0" w:color="auto"/>
                        <w:right w:val="none" w:sz="0" w:space="0" w:color="auto"/>
                      </w:divBdr>
                    </w:div>
                  </w:divsChild>
                </w:div>
                <w:div w:id="610555467">
                  <w:marLeft w:val="0"/>
                  <w:marRight w:val="0"/>
                  <w:marTop w:val="0"/>
                  <w:marBottom w:val="0"/>
                  <w:divBdr>
                    <w:top w:val="none" w:sz="0" w:space="0" w:color="auto"/>
                    <w:left w:val="none" w:sz="0" w:space="0" w:color="auto"/>
                    <w:bottom w:val="none" w:sz="0" w:space="0" w:color="auto"/>
                    <w:right w:val="none" w:sz="0" w:space="0" w:color="auto"/>
                  </w:divBdr>
                  <w:divsChild>
                    <w:div w:id="895703564">
                      <w:marLeft w:val="0"/>
                      <w:marRight w:val="0"/>
                      <w:marTop w:val="0"/>
                      <w:marBottom w:val="0"/>
                      <w:divBdr>
                        <w:top w:val="none" w:sz="0" w:space="0" w:color="auto"/>
                        <w:left w:val="none" w:sz="0" w:space="0" w:color="auto"/>
                        <w:bottom w:val="none" w:sz="0" w:space="0" w:color="auto"/>
                        <w:right w:val="none" w:sz="0" w:space="0" w:color="auto"/>
                      </w:divBdr>
                    </w:div>
                  </w:divsChild>
                </w:div>
                <w:div w:id="669867361">
                  <w:marLeft w:val="0"/>
                  <w:marRight w:val="0"/>
                  <w:marTop w:val="0"/>
                  <w:marBottom w:val="0"/>
                  <w:divBdr>
                    <w:top w:val="none" w:sz="0" w:space="0" w:color="auto"/>
                    <w:left w:val="none" w:sz="0" w:space="0" w:color="auto"/>
                    <w:bottom w:val="none" w:sz="0" w:space="0" w:color="auto"/>
                    <w:right w:val="none" w:sz="0" w:space="0" w:color="auto"/>
                  </w:divBdr>
                  <w:divsChild>
                    <w:div w:id="395864009">
                      <w:marLeft w:val="0"/>
                      <w:marRight w:val="0"/>
                      <w:marTop w:val="0"/>
                      <w:marBottom w:val="0"/>
                      <w:divBdr>
                        <w:top w:val="none" w:sz="0" w:space="0" w:color="auto"/>
                        <w:left w:val="none" w:sz="0" w:space="0" w:color="auto"/>
                        <w:bottom w:val="none" w:sz="0" w:space="0" w:color="auto"/>
                        <w:right w:val="none" w:sz="0" w:space="0" w:color="auto"/>
                      </w:divBdr>
                    </w:div>
                  </w:divsChild>
                </w:div>
                <w:div w:id="778915417">
                  <w:marLeft w:val="0"/>
                  <w:marRight w:val="0"/>
                  <w:marTop w:val="0"/>
                  <w:marBottom w:val="0"/>
                  <w:divBdr>
                    <w:top w:val="none" w:sz="0" w:space="0" w:color="auto"/>
                    <w:left w:val="none" w:sz="0" w:space="0" w:color="auto"/>
                    <w:bottom w:val="none" w:sz="0" w:space="0" w:color="auto"/>
                    <w:right w:val="none" w:sz="0" w:space="0" w:color="auto"/>
                  </w:divBdr>
                  <w:divsChild>
                    <w:div w:id="1484082099">
                      <w:marLeft w:val="0"/>
                      <w:marRight w:val="0"/>
                      <w:marTop w:val="0"/>
                      <w:marBottom w:val="0"/>
                      <w:divBdr>
                        <w:top w:val="none" w:sz="0" w:space="0" w:color="auto"/>
                        <w:left w:val="none" w:sz="0" w:space="0" w:color="auto"/>
                        <w:bottom w:val="none" w:sz="0" w:space="0" w:color="auto"/>
                        <w:right w:val="none" w:sz="0" w:space="0" w:color="auto"/>
                      </w:divBdr>
                    </w:div>
                  </w:divsChild>
                </w:div>
                <w:div w:id="779378536">
                  <w:marLeft w:val="0"/>
                  <w:marRight w:val="0"/>
                  <w:marTop w:val="0"/>
                  <w:marBottom w:val="0"/>
                  <w:divBdr>
                    <w:top w:val="none" w:sz="0" w:space="0" w:color="auto"/>
                    <w:left w:val="none" w:sz="0" w:space="0" w:color="auto"/>
                    <w:bottom w:val="none" w:sz="0" w:space="0" w:color="auto"/>
                    <w:right w:val="none" w:sz="0" w:space="0" w:color="auto"/>
                  </w:divBdr>
                  <w:divsChild>
                    <w:div w:id="518275398">
                      <w:marLeft w:val="0"/>
                      <w:marRight w:val="0"/>
                      <w:marTop w:val="0"/>
                      <w:marBottom w:val="0"/>
                      <w:divBdr>
                        <w:top w:val="none" w:sz="0" w:space="0" w:color="auto"/>
                        <w:left w:val="none" w:sz="0" w:space="0" w:color="auto"/>
                        <w:bottom w:val="none" w:sz="0" w:space="0" w:color="auto"/>
                        <w:right w:val="none" w:sz="0" w:space="0" w:color="auto"/>
                      </w:divBdr>
                    </w:div>
                  </w:divsChild>
                </w:div>
                <w:div w:id="860898862">
                  <w:marLeft w:val="0"/>
                  <w:marRight w:val="0"/>
                  <w:marTop w:val="0"/>
                  <w:marBottom w:val="0"/>
                  <w:divBdr>
                    <w:top w:val="none" w:sz="0" w:space="0" w:color="auto"/>
                    <w:left w:val="none" w:sz="0" w:space="0" w:color="auto"/>
                    <w:bottom w:val="none" w:sz="0" w:space="0" w:color="auto"/>
                    <w:right w:val="none" w:sz="0" w:space="0" w:color="auto"/>
                  </w:divBdr>
                  <w:divsChild>
                    <w:div w:id="952244924">
                      <w:marLeft w:val="0"/>
                      <w:marRight w:val="0"/>
                      <w:marTop w:val="0"/>
                      <w:marBottom w:val="0"/>
                      <w:divBdr>
                        <w:top w:val="none" w:sz="0" w:space="0" w:color="auto"/>
                        <w:left w:val="none" w:sz="0" w:space="0" w:color="auto"/>
                        <w:bottom w:val="none" w:sz="0" w:space="0" w:color="auto"/>
                        <w:right w:val="none" w:sz="0" w:space="0" w:color="auto"/>
                      </w:divBdr>
                    </w:div>
                  </w:divsChild>
                </w:div>
                <w:div w:id="1028025583">
                  <w:marLeft w:val="0"/>
                  <w:marRight w:val="0"/>
                  <w:marTop w:val="0"/>
                  <w:marBottom w:val="0"/>
                  <w:divBdr>
                    <w:top w:val="none" w:sz="0" w:space="0" w:color="auto"/>
                    <w:left w:val="none" w:sz="0" w:space="0" w:color="auto"/>
                    <w:bottom w:val="none" w:sz="0" w:space="0" w:color="auto"/>
                    <w:right w:val="none" w:sz="0" w:space="0" w:color="auto"/>
                  </w:divBdr>
                  <w:divsChild>
                    <w:div w:id="81420103">
                      <w:marLeft w:val="0"/>
                      <w:marRight w:val="0"/>
                      <w:marTop w:val="0"/>
                      <w:marBottom w:val="0"/>
                      <w:divBdr>
                        <w:top w:val="none" w:sz="0" w:space="0" w:color="auto"/>
                        <w:left w:val="none" w:sz="0" w:space="0" w:color="auto"/>
                        <w:bottom w:val="none" w:sz="0" w:space="0" w:color="auto"/>
                        <w:right w:val="none" w:sz="0" w:space="0" w:color="auto"/>
                      </w:divBdr>
                    </w:div>
                  </w:divsChild>
                </w:div>
                <w:div w:id="1073088530">
                  <w:marLeft w:val="0"/>
                  <w:marRight w:val="0"/>
                  <w:marTop w:val="0"/>
                  <w:marBottom w:val="0"/>
                  <w:divBdr>
                    <w:top w:val="none" w:sz="0" w:space="0" w:color="auto"/>
                    <w:left w:val="none" w:sz="0" w:space="0" w:color="auto"/>
                    <w:bottom w:val="none" w:sz="0" w:space="0" w:color="auto"/>
                    <w:right w:val="none" w:sz="0" w:space="0" w:color="auto"/>
                  </w:divBdr>
                  <w:divsChild>
                    <w:div w:id="1106459871">
                      <w:marLeft w:val="0"/>
                      <w:marRight w:val="0"/>
                      <w:marTop w:val="0"/>
                      <w:marBottom w:val="0"/>
                      <w:divBdr>
                        <w:top w:val="none" w:sz="0" w:space="0" w:color="auto"/>
                        <w:left w:val="none" w:sz="0" w:space="0" w:color="auto"/>
                        <w:bottom w:val="none" w:sz="0" w:space="0" w:color="auto"/>
                        <w:right w:val="none" w:sz="0" w:space="0" w:color="auto"/>
                      </w:divBdr>
                    </w:div>
                  </w:divsChild>
                </w:div>
                <w:div w:id="1108544879">
                  <w:marLeft w:val="0"/>
                  <w:marRight w:val="0"/>
                  <w:marTop w:val="0"/>
                  <w:marBottom w:val="0"/>
                  <w:divBdr>
                    <w:top w:val="none" w:sz="0" w:space="0" w:color="auto"/>
                    <w:left w:val="none" w:sz="0" w:space="0" w:color="auto"/>
                    <w:bottom w:val="none" w:sz="0" w:space="0" w:color="auto"/>
                    <w:right w:val="none" w:sz="0" w:space="0" w:color="auto"/>
                  </w:divBdr>
                  <w:divsChild>
                    <w:div w:id="812985138">
                      <w:marLeft w:val="0"/>
                      <w:marRight w:val="0"/>
                      <w:marTop w:val="0"/>
                      <w:marBottom w:val="0"/>
                      <w:divBdr>
                        <w:top w:val="none" w:sz="0" w:space="0" w:color="auto"/>
                        <w:left w:val="none" w:sz="0" w:space="0" w:color="auto"/>
                        <w:bottom w:val="none" w:sz="0" w:space="0" w:color="auto"/>
                        <w:right w:val="none" w:sz="0" w:space="0" w:color="auto"/>
                      </w:divBdr>
                    </w:div>
                  </w:divsChild>
                </w:div>
                <w:div w:id="1426532075">
                  <w:marLeft w:val="0"/>
                  <w:marRight w:val="0"/>
                  <w:marTop w:val="0"/>
                  <w:marBottom w:val="0"/>
                  <w:divBdr>
                    <w:top w:val="none" w:sz="0" w:space="0" w:color="auto"/>
                    <w:left w:val="none" w:sz="0" w:space="0" w:color="auto"/>
                    <w:bottom w:val="none" w:sz="0" w:space="0" w:color="auto"/>
                    <w:right w:val="none" w:sz="0" w:space="0" w:color="auto"/>
                  </w:divBdr>
                  <w:divsChild>
                    <w:div w:id="904070990">
                      <w:marLeft w:val="0"/>
                      <w:marRight w:val="0"/>
                      <w:marTop w:val="0"/>
                      <w:marBottom w:val="0"/>
                      <w:divBdr>
                        <w:top w:val="none" w:sz="0" w:space="0" w:color="auto"/>
                        <w:left w:val="none" w:sz="0" w:space="0" w:color="auto"/>
                        <w:bottom w:val="none" w:sz="0" w:space="0" w:color="auto"/>
                        <w:right w:val="none" w:sz="0" w:space="0" w:color="auto"/>
                      </w:divBdr>
                    </w:div>
                  </w:divsChild>
                </w:div>
                <w:div w:id="1488548790">
                  <w:marLeft w:val="0"/>
                  <w:marRight w:val="0"/>
                  <w:marTop w:val="0"/>
                  <w:marBottom w:val="0"/>
                  <w:divBdr>
                    <w:top w:val="none" w:sz="0" w:space="0" w:color="auto"/>
                    <w:left w:val="none" w:sz="0" w:space="0" w:color="auto"/>
                    <w:bottom w:val="none" w:sz="0" w:space="0" w:color="auto"/>
                    <w:right w:val="none" w:sz="0" w:space="0" w:color="auto"/>
                  </w:divBdr>
                  <w:divsChild>
                    <w:div w:id="1670669668">
                      <w:marLeft w:val="0"/>
                      <w:marRight w:val="0"/>
                      <w:marTop w:val="0"/>
                      <w:marBottom w:val="0"/>
                      <w:divBdr>
                        <w:top w:val="none" w:sz="0" w:space="0" w:color="auto"/>
                        <w:left w:val="none" w:sz="0" w:space="0" w:color="auto"/>
                        <w:bottom w:val="none" w:sz="0" w:space="0" w:color="auto"/>
                        <w:right w:val="none" w:sz="0" w:space="0" w:color="auto"/>
                      </w:divBdr>
                    </w:div>
                  </w:divsChild>
                </w:div>
                <w:div w:id="1645085907">
                  <w:marLeft w:val="0"/>
                  <w:marRight w:val="0"/>
                  <w:marTop w:val="0"/>
                  <w:marBottom w:val="0"/>
                  <w:divBdr>
                    <w:top w:val="none" w:sz="0" w:space="0" w:color="auto"/>
                    <w:left w:val="none" w:sz="0" w:space="0" w:color="auto"/>
                    <w:bottom w:val="none" w:sz="0" w:space="0" w:color="auto"/>
                    <w:right w:val="none" w:sz="0" w:space="0" w:color="auto"/>
                  </w:divBdr>
                  <w:divsChild>
                    <w:div w:id="1772553422">
                      <w:marLeft w:val="0"/>
                      <w:marRight w:val="0"/>
                      <w:marTop w:val="0"/>
                      <w:marBottom w:val="0"/>
                      <w:divBdr>
                        <w:top w:val="none" w:sz="0" w:space="0" w:color="auto"/>
                        <w:left w:val="none" w:sz="0" w:space="0" w:color="auto"/>
                        <w:bottom w:val="none" w:sz="0" w:space="0" w:color="auto"/>
                        <w:right w:val="none" w:sz="0" w:space="0" w:color="auto"/>
                      </w:divBdr>
                    </w:div>
                  </w:divsChild>
                </w:div>
                <w:div w:id="1796369973">
                  <w:marLeft w:val="0"/>
                  <w:marRight w:val="0"/>
                  <w:marTop w:val="0"/>
                  <w:marBottom w:val="0"/>
                  <w:divBdr>
                    <w:top w:val="none" w:sz="0" w:space="0" w:color="auto"/>
                    <w:left w:val="none" w:sz="0" w:space="0" w:color="auto"/>
                    <w:bottom w:val="none" w:sz="0" w:space="0" w:color="auto"/>
                    <w:right w:val="none" w:sz="0" w:space="0" w:color="auto"/>
                  </w:divBdr>
                  <w:divsChild>
                    <w:div w:id="194082493">
                      <w:marLeft w:val="0"/>
                      <w:marRight w:val="0"/>
                      <w:marTop w:val="0"/>
                      <w:marBottom w:val="0"/>
                      <w:divBdr>
                        <w:top w:val="none" w:sz="0" w:space="0" w:color="auto"/>
                        <w:left w:val="none" w:sz="0" w:space="0" w:color="auto"/>
                        <w:bottom w:val="none" w:sz="0" w:space="0" w:color="auto"/>
                        <w:right w:val="none" w:sz="0" w:space="0" w:color="auto"/>
                      </w:divBdr>
                    </w:div>
                  </w:divsChild>
                </w:div>
                <w:div w:id="1911303927">
                  <w:marLeft w:val="0"/>
                  <w:marRight w:val="0"/>
                  <w:marTop w:val="0"/>
                  <w:marBottom w:val="0"/>
                  <w:divBdr>
                    <w:top w:val="none" w:sz="0" w:space="0" w:color="auto"/>
                    <w:left w:val="none" w:sz="0" w:space="0" w:color="auto"/>
                    <w:bottom w:val="none" w:sz="0" w:space="0" w:color="auto"/>
                    <w:right w:val="none" w:sz="0" w:space="0" w:color="auto"/>
                  </w:divBdr>
                  <w:divsChild>
                    <w:div w:id="2103869305">
                      <w:marLeft w:val="0"/>
                      <w:marRight w:val="0"/>
                      <w:marTop w:val="0"/>
                      <w:marBottom w:val="0"/>
                      <w:divBdr>
                        <w:top w:val="none" w:sz="0" w:space="0" w:color="auto"/>
                        <w:left w:val="none" w:sz="0" w:space="0" w:color="auto"/>
                        <w:bottom w:val="none" w:sz="0" w:space="0" w:color="auto"/>
                        <w:right w:val="none" w:sz="0" w:space="0" w:color="auto"/>
                      </w:divBdr>
                    </w:div>
                  </w:divsChild>
                </w:div>
                <w:div w:id="1973054653">
                  <w:marLeft w:val="0"/>
                  <w:marRight w:val="0"/>
                  <w:marTop w:val="0"/>
                  <w:marBottom w:val="0"/>
                  <w:divBdr>
                    <w:top w:val="none" w:sz="0" w:space="0" w:color="auto"/>
                    <w:left w:val="none" w:sz="0" w:space="0" w:color="auto"/>
                    <w:bottom w:val="none" w:sz="0" w:space="0" w:color="auto"/>
                    <w:right w:val="none" w:sz="0" w:space="0" w:color="auto"/>
                  </w:divBdr>
                  <w:divsChild>
                    <w:div w:id="717896604">
                      <w:marLeft w:val="0"/>
                      <w:marRight w:val="0"/>
                      <w:marTop w:val="0"/>
                      <w:marBottom w:val="0"/>
                      <w:divBdr>
                        <w:top w:val="none" w:sz="0" w:space="0" w:color="auto"/>
                        <w:left w:val="none" w:sz="0" w:space="0" w:color="auto"/>
                        <w:bottom w:val="none" w:sz="0" w:space="0" w:color="auto"/>
                        <w:right w:val="none" w:sz="0" w:space="0" w:color="auto"/>
                      </w:divBdr>
                    </w:div>
                  </w:divsChild>
                </w:div>
                <w:div w:id="2066447934">
                  <w:marLeft w:val="0"/>
                  <w:marRight w:val="0"/>
                  <w:marTop w:val="0"/>
                  <w:marBottom w:val="0"/>
                  <w:divBdr>
                    <w:top w:val="none" w:sz="0" w:space="0" w:color="auto"/>
                    <w:left w:val="none" w:sz="0" w:space="0" w:color="auto"/>
                    <w:bottom w:val="none" w:sz="0" w:space="0" w:color="auto"/>
                    <w:right w:val="none" w:sz="0" w:space="0" w:color="auto"/>
                  </w:divBdr>
                  <w:divsChild>
                    <w:div w:id="1036278690">
                      <w:marLeft w:val="0"/>
                      <w:marRight w:val="0"/>
                      <w:marTop w:val="0"/>
                      <w:marBottom w:val="0"/>
                      <w:divBdr>
                        <w:top w:val="none" w:sz="0" w:space="0" w:color="auto"/>
                        <w:left w:val="none" w:sz="0" w:space="0" w:color="auto"/>
                        <w:bottom w:val="none" w:sz="0" w:space="0" w:color="auto"/>
                        <w:right w:val="none" w:sz="0" w:space="0" w:color="auto"/>
                      </w:divBdr>
                    </w:div>
                  </w:divsChild>
                </w:div>
                <w:div w:id="2125532890">
                  <w:marLeft w:val="0"/>
                  <w:marRight w:val="0"/>
                  <w:marTop w:val="0"/>
                  <w:marBottom w:val="0"/>
                  <w:divBdr>
                    <w:top w:val="none" w:sz="0" w:space="0" w:color="auto"/>
                    <w:left w:val="none" w:sz="0" w:space="0" w:color="auto"/>
                    <w:bottom w:val="none" w:sz="0" w:space="0" w:color="auto"/>
                    <w:right w:val="none" w:sz="0" w:space="0" w:color="auto"/>
                  </w:divBdr>
                  <w:divsChild>
                    <w:div w:id="750004503">
                      <w:marLeft w:val="0"/>
                      <w:marRight w:val="0"/>
                      <w:marTop w:val="0"/>
                      <w:marBottom w:val="0"/>
                      <w:divBdr>
                        <w:top w:val="none" w:sz="0" w:space="0" w:color="auto"/>
                        <w:left w:val="none" w:sz="0" w:space="0" w:color="auto"/>
                        <w:bottom w:val="none" w:sz="0" w:space="0" w:color="auto"/>
                        <w:right w:val="none" w:sz="0" w:space="0" w:color="auto"/>
                      </w:divBdr>
                    </w:div>
                  </w:divsChild>
                </w:div>
                <w:div w:id="2128740540">
                  <w:marLeft w:val="0"/>
                  <w:marRight w:val="0"/>
                  <w:marTop w:val="0"/>
                  <w:marBottom w:val="0"/>
                  <w:divBdr>
                    <w:top w:val="none" w:sz="0" w:space="0" w:color="auto"/>
                    <w:left w:val="none" w:sz="0" w:space="0" w:color="auto"/>
                    <w:bottom w:val="none" w:sz="0" w:space="0" w:color="auto"/>
                    <w:right w:val="none" w:sz="0" w:space="0" w:color="auto"/>
                  </w:divBdr>
                  <w:divsChild>
                    <w:div w:id="2124880004">
                      <w:marLeft w:val="0"/>
                      <w:marRight w:val="0"/>
                      <w:marTop w:val="0"/>
                      <w:marBottom w:val="0"/>
                      <w:divBdr>
                        <w:top w:val="none" w:sz="0" w:space="0" w:color="auto"/>
                        <w:left w:val="none" w:sz="0" w:space="0" w:color="auto"/>
                        <w:bottom w:val="none" w:sz="0" w:space="0" w:color="auto"/>
                        <w:right w:val="none" w:sz="0" w:space="0" w:color="auto"/>
                      </w:divBdr>
                    </w:div>
                  </w:divsChild>
                </w:div>
                <w:div w:id="2137095766">
                  <w:marLeft w:val="0"/>
                  <w:marRight w:val="0"/>
                  <w:marTop w:val="0"/>
                  <w:marBottom w:val="0"/>
                  <w:divBdr>
                    <w:top w:val="none" w:sz="0" w:space="0" w:color="auto"/>
                    <w:left w:val="none" w:sz="0" w:space="0" w:color="auto"/>
                    <w:bottom w:val="none" w:sz="0" w:space="0" w:color="auto"/>
                    <w:right w:val="none" w:sz="0" w:space="0" w:color="auto"/>
                  </w:divBdr>
                  <w:divsChild>
                    <w:div w:id="118288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366130">
          <w:marLeft w:val="0"/>
          <w:marRight w:val="0"/>
          <w:marTop w:val="0"/>
          <w:marBottom w:val="0"/>
          <w:divBdr>
            <w:top w:val="none" w:sz="0" w:space="0" w:color="auto"/>
            <w:left w:val="none" w:sz="0" w:space="0" w:color="auto"/>
            <w:bottom w:val="none" w:sz="0" w:space="0" w:color="auto"/>
            <w:right w:val="none" w:sz="0" w:space="0" w:color="auto"/>
          </w:divBdr>
        </w:div>
        <w:div w:id="1973486392">
          <w:marLeft w:val="0"/>
          <w:marRight w:val="0"/>
          <w:marTop w:val="0"/>
          <w:marBottom w:val="0"/>
          <w:divBdr>
            <w:top w:val="none" w:sz="0" w:space="0" w:color="auto"/>
            <w:left w:val="none" w:sz="0" w:space="0" w:color="auto"/>
            <w:bottom w:val="none" w:sz="0" w:space="0" w:color="auto"/>
            <w:right w:val="none" w:sz="0" w:space="0" w:color="auto"/>
          </w:divBdr>
        </w:div>
      </w:divsChild>
    </w:div>
    <w:div w:id="1042824678">
      <w:bodyDiv w:val="1"/>
      <w:marLeft w:val="0"/>
      <w:marRight w:val="0"/>
      <w:marTop w:val="0"/>
      <w:marBottom w:val="0"/>
      <w:divBdr>
        <w:top w:val="none" w:sz="0" w:space="0" w:color="auto"/>
        <w:left w:val="none" w:sz="0" w:space="0" w:color="auto"/>
        <w:bottom w:val="none" w:sz="0" w:space="0" w:color="auto"/>
        <w:right w:val="none" w:sz="0" w:space="0" w:color="auto"/>
      </w:divBdr>
    </w:div>
    <w:div w:id="1114519764">
      <w:bodyDiv w:val="1"/>
      <w:marLeft w:val="0"/>
      <w:marRight w:val="0"/>
      <w:marTop w:val="0"/>
      <w:marBottom w:val="0"/>
      <w:divBdr>
        <w:top w:val="none" w:sz="0" w:space="0" w:color="auto"/>
        <w:left w:val="none" w:sz="0" w:space="0" w:color="auto"/>
        <w:bottom w:val="none" w:sz="0" w:space="0" w:color="auto"/>
        <w:right w:val="none" w:sz="0" w:space="0" w:color="auto"/>
      </w:divBdr>
    </w:div>
    <w:div w:id="1185558601">
      <w:bodyDiv w:val="1"/>
      <w:marLeft w:val="0"/>
      <w:marRight w:val="0"/>
      <w:marTop w:val="0"/>
      <w:marBottom w:val="0"/>
      <w:divBdr>
        <w:top w:val="none" w:sz="0" w:space="0" w:color="auto"/>
        <w:left w:val="none" w:sz="0" w:space="0" w:color="auto"/>
        <w:bottom w:val="none" w:sz="0" w:space="0" w:color="auto"/>
        <w:right w:val="none" w:sz="0" w:space="0" w:color="auto"/>
      </w:divBdr>
    </w:div>
    <w:div w:id="1244533414">
      <w:bodyDiv w:val="1"/>
      <w:marLeft w:val="0"/>
      <w:marRight w:val="0"/>
      <w:marTop w:val="0"/>
      <w:marBottom w:val="0"/>
      <w:divBdr>
        <w:top w:val="none" w:sz="0" w:space="0" w:color="auto"/>
        <w:left w:val="none" w:sz="0" w:space="0" w:color="auto"/>
        <w:bottom w:val="none" w:sz="0" w:space="0" w:color="auto"/>
        <w:right w:val="none" w:sz="0" w:space="0" w:color="auto"/>
      </w:divBdr>
      <w:divsChild>
        <w:div w:id="833647492">
          <w:marLeft w:val="0"/>
          <w:marRight w:val="0"/>
          <w:marTop w:val="0"/>
          <w:marBottom w:val="0"/>
          <w:divBdr>
            <w:top w:val="none" w:sz="0" w:space="0" w:color="auto"/>
            <w:left w:val="none" w:sz="0" w:space="0" w:color="auto"/>
            <w:bottom w:val="none" w:sz="0" w:space="0" w:color="auto"/>
            <w:right w:val="none" w:sz="0" w:space="0" w:color="auto"/>
          </w:divBdr>
          <w:divsChild>
            <w:div w:id="524171296">
              <w:marLeft w:val="0"/>
              <w:marRight w:val="0"/>
              <w:marTop w:val="0"/>
              <w:marBottom w:val="0"/>
              <w:divBdr>
                <w:top w:val="none" w:sz="0" w:space="0" w:color="auto"/>
                <w:left w:val="none" w:sz="0" w:space="0" w:color="auto"/>
                <w:bottom w:val="none" w:sz="0" w:space="0" w:color="auto"/>
                <w:right w:val="none" w:sz="0" w:space="0" w:color="auto"/>
              </w:divBdr>
              <w:divsChild>
                <w:div w:id="1205606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731238">
          <w:marLeft w:val="0"/>
          <w:marRight w:val="0"/>
          <w:marTop w:val="0"/>
          <w:marBottom w:val="0"/>
          <w:divBdr>
            <w:top w:val="none" w:sz="0" w:space="0" w:color="auto"/>
            <w:left w:val="none" w:sz="0" w:space="0" w:color="auto"/>
            <w:bottom w:val="none" w:sz="0" w:space="0" w:color="auto"/>
            <w:right w:val="none" w:sz="0" w:space="0" w:color="auto"/>
          </w:divBdr>
          <w:divsChild>
            <w:div w:id="1381437926">
              <w:marLeft w:val="0"/>
              <w:marRight w:val="0"/>
              <w:marTop w:val="0"/>
              <w:marBottom w:val="0"/>
              <w:divBdr>
                <w:top w:val="none" w:sz="0" w:space="0" w:color="auto"/>
                <w:left w:val="none" w:sz="0" w:space="0" w:color="auto"/>
                <w:bottom w:val="none" w:sz="0" w:space="0" w:color="auto"/>
                <w:right w:val="none" w:sz="0" w:space="0" w:color="auto"/>
              </w:divBdr>
              <w:divsChild>
                <w:div w:id="1968774308">
                  <w:marLeft w:val="0"/>
                  <w:marRight w:val="0"/>
                  <w:marTop w:val="0"/>
                  <w:marBottom w:val="0"/>
                  <w:divBdr>
                    <w:top w:val="none" w:sz="0" w:space="0" w:color="auto"/>
                    <w:left w:val="none" w:sz="0" w:space="0" w:color="auto"/>
                    <w:bottom w:val="none" w:sz="0" w:space="0" w:color="auto"/>
                    <w:right w:val="none" w:sz="0" w:space="0" w:color="auto"/>
                  </w:divBdr>
                  <w:divsChild>
                    <w:div w:id="1161192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572393">
      <w:bodyDiv w:val="1"/>
      <w:marLeft w:val="0"/>
      <w:marRight w:val="0"/>
      <w:marTop w:val="0"/>
      <w:marBottom w:val="0"/>
      <w:divBdr>
        <w:top w:val="none" w:sz="0" w:space="0" w:color="auto"/>
        <w:left w:val="none" w:sz="0" w:space="0" w:color="auto"/>
        <w:bottom w:val="none" w:sz="0" w:space="0" w:color="auto"/>
        <w:right w:val="none" w:sz="0" w:space="0" w:color="auto"/>
      </w:divBdr>
    </w:div>
    <w:div w:id="1253665287">
      <w:bodyDiv w:val="1"/>
      <w:marLeft w:val="0"/>
      <w:marRight w:val="0"/>
      <w:marTop w:val="0"/>
      <w:marBottom w:val="0"/>
      <w:divBdr>
        <w:top w:val="none" w:sz="0" w:space="0" w:color="auto"/>
        <w:left w:val="none" w:sz="0" w:space="0" w:color="auto"/>
        <w:bottom w:val="none" w:sz="0" w:space="0" w:color="auto"/>
        <w:right w:val="none" w:sz="0" w:space="0" w:color="auto"/>
      </w:divBdr>
    </w:div>
    <w:div w:id="1264849562">
      <w:bodyDiv w:val="1"/>
      <w:marLeft w:val="0"/>
      <w:marRight w:val="0"/>
      <w:marTop w:val="0"/>
      <w:marBottom w:val="0"/>
      <w:divBdr>
        <w:top w:val="none" w:sz="0" w:space="0" w:color="auto"/>
        <w:left w:val="none" w:sz="0" w:space="0" w:color="auto"/>
        <w:bottom w:val="none" w:sz="0" w:space="0" w:color="auto"/>
        <w:right w:val="none" w:sz="0" w:space="0" w:color="auto"/>
      </w:divBdr>
      <w:divsChild>
        <w:div w:id="117185299">
          <w:marLeft w:val="360"/>
          <w:marRight w:val="0"/>
          <w:marTop w:val="0"/>
          <w:marBottom w:val="0"/>
          <w:divBdr>
            <w:top w:val="none" w:sz="0" w:space="0" w:color="auto"/>
            <w:left w:val="none" w:sz="0" w:space="0" w:color="auto"/>
            <w:bottom w:val="none" w:sz="0" w:space="0" w:color="auto"/>
            <w:right w:val="none" w:sz="0" w:space="0" w:color="auto"/>
          </w:divBdr>
        </w:div>
        <w:div w:id="275872568">
          <w:marLeft w:val="360"/>
          <w:marRight w:val="0"/>
          <w:marTop w:val="0"/>
          <w:marBottom w:val="0"/>
          <w:divBdr>
            <w:top w:val="none" w:sz="0" w:space="0" w:color="auto"/>
            <w:left w:val="none" w:sz="0" w:space="0" w:color="auto"/>
            <w:bottom w:val="none" w:sz="0" w:space="0" w:color="auto"/>
            <w:right w:val="none" w:sz="0" w:space="0" w:color="auto"/>
          </w:divBdr>
        </w:div>
        <w:div w:id="425998257">
          <w:marLeft w:val="360"/>
          <w:marRight w:val="0"/>
          <w:marTop w:val="0"/>
          <w:marBottom w:val="0"/>
          <w:divBdr>
            <w:top w:val="none" w:sz="0" w:space="0" w:color="auto"/>
            <w:left w:val="none" w:sz="0" w:space="0" w:color="auto"/>
            <w:bottom w:val="none" w:sz="0" w:space="0" w:color="auto"/>
            <w:right w:val="none" w:sz="0" w:space="0" w:color="auto"/>
          </w:divBdr>
        </w:div>
        <w:div w:id="522010730">
          <w:marLeft w:val="360"/>
          <w:marRight w:val="0"/>
          <w:marTop w:val="0"/>
          <w:marBottom w:val="0"/>
          <w:divBdr>
            <w:top w:val="none" w:sz="0" w:space="0" w:color="auto"/>
            <w:left w:val="none" w:sz="0" w:space="0" w:color="auto"/>
            <w:bottom w:val="none" w:sz="0" w:space="0" w:color="auto"/>
            <w:right w:val="none" w:sz="0" w:space="0" w:color="auto"/>
          </w:divBdr>
        </w:div>
        <w:div w:id="786197533">
          <w:marLeft w:val="360"/>
          <w:marRight w:val="0"/>
          <w:marTop w:val="0"/>
          <w:marBottom w:val="0"/>
          <w:divBdr>
            <w:top w:val="none" w:sz="0" w:space="0" w:color="auto"/>
            <w:left w:val="none" w:sz="0" w:space="0" w:color="auto"/>
            <w:bottom w:val="none" w:sz="0" w:space="0" w:color="auto"/>
            <w:right w:val="none" w:sz="0" w:space="0" w:color="auto"/>
          </w:divBdr>
        </w:div>
        <w:div w:id="882795153">
          <w:marLeft w:val="360"/>
          <w:marRight w:val="0"/>
          <w:marTop w:val="0"/>
          <w:marBottom w:val="0"/>
          <w:divBdr>
            <w:top w:val="none" w:sz="0" w:space="0" w:color="auto"/>
            <w:left w:val="none" w:sz="0" w:space="0" w:color="auto"/>
            <w:bottom w:val="none" w:sz="0" w:space="0" w:color="auto"/>
            <w:right w:val="none" w:sz="0" w:space="0" w:color="auto"/>
          </w:divBdr>
        </w:div>
        <w:div w:id="962929361">
          <w:marLeft w:val="360"/>
          <w:marRight w:val="0"/>
          <w:marTop w:val="0"/>
          <w:marBottom w:val="0"/>
          <w:divBdr>
            <w:top w:val="none" w:sz="0" w:space="0" w:color="auto"/>
            <w:left w:val="none" w:sz="0" w:space="0" w:color="auto"/>
            <w:bottom w:val="none" w:sz="0" w:space="0" w:color="auto"/>
            <w:right w:val="none" w:sz="0" w:space="0" w:color="auto"/>
          </w:divBdr>
        </w:div>
        <w:div w:id="969092807">
          <w:marLeft w:val="360"/>
          <w:marRight w:val="0"/>
          <w:marTop w:val="0"/>
          <w:marBottom w:val="0"/>
          <w:divBdr>
            <w:top w:val="none" w:sz="0" w:space="0" w:color="auto"/>
            <w:left w:val="none" w:sz="0" w:space="0" w:color="auto"/>
            <w:bottom w:val="none" w:sz="0" w:space="0" w:color="auto"/>
            <w:right w:val="none" w:sz="0" w:space="0" w:color="auto"/>
          </w:divBdr>
        </w:div>
        <w:div w:id="1115440770">
          <w:marLeft w:val="360"/>
          <w:marRight w:val="0"/>
          <w:marTop w:val="0"/>
          <w:marBottom w:val="0"/>
          <w:divBdr>
            <w:top w:val="none" w:sz="0" w:space="0" w:color="auto"/>
            <w:left w:val="none" w:sz="0" w:space="0" w:color="auto"/>
            <w:bottom w:val="none" w:sz="0" w:space="0" w:color="auto"/>
            <w:right w:val="none" w:sz="0" w:space="0" w:color="auto"/>
          </w:divBdr>
        </w:div>
        <w:div w:id="1231160651">
          <w:marLeft w:val="360"/>
          <w:marRight w:val="0"/>
          <w:marTop w:val="0"/>
          <w:marBottom w:val="0"/>
          <w:divBdr>
            <w:top w:val="none" w:sz="0" w:space="0" w:color="auto"/>
            <w:left w:val="none" w:sz="0" w:space="0" w:color="auto"/>
            <w:bottom w:val="none" w:sz="0" w:space="0" w:color="auto"/>
            <w:right w:val="none" w:sz="0" w:space="0" w:color="auto"/>
          </w:divBdr>
        </w:div>
        <w:div w:id="1964536670">
          <w:marLeft w:val="360"/>
          <w:marRight w:val="0"/>
          <w:marTop w:val="0"/>
          <w:marBottom w:val="0"/>
          <w:divBdr>
            <w:top w:val="none" w:sz="0" w:space="0" w:color="auto"/>
            <w:left w:val="none" w:sz="0" w:space="0" w:color="auto"/>
            <w:bottom w:val="none" w:sz="0" w:space="0" w:color="auto"/>
            <w:right w:val="none" w:sz="0" w:space="0" w:color="auto"/>
          </w:divBdr>
        </w:div>
      </w:divsChild>
    </w:div>
    <w:div w:id="1286497018">
      <w:bodyDiv w:val="1"/>
      <w:marLeft w:val="0"/>
      <w:marRight w:val="0"/>
      <w:marTop w:val="0"/>
      <w:marBottom w:val="0"/>
      <w:divBdr>
        <w:top w:val="none" w:sz="0" w:space="0" w:color="auto"/>
        <w:left w:val="none" w:sz="0" w:space="0" w:color="auto"/>
        <w:bottom w:val="none" w:sz="0" w:space="0" w:color="auto"/>
        <w:right w:val="none" w:sz="0" w:space="0" w:color="auto"/>
      </w:divBdr>
    </w:div>
    <w:div w:id="1295991084">
      <w:bodyDiv w:val="1"/>
      <w:marLeft w:val="0"/>
      <w:marRight w:val="0"/>
      <w:marTop w:val="0"/>
      <w:marBottom w:val="0"/>
      <w:divBdr>
        <w:top w:val="none" w:sz="0" w:space="0" w:color="auto"/>
        <w:left w:val="none" w:sz="0" w:space="0" w:color="auto"/>
        <w:bottom w:val="none" w:sz="0" w:space="0" w:color="auto"/>
        <w:right w:val="none" w:sz="0" w:space="0" w:color="auto"/>
      </w:divBdr>
    </w:div>
    <w:div w:id="1345088891">
      <w:bodyDiv w:val="1"/>
      <w:marLeft w:val="0"/>
      <w:marRight w:val="0"/>
      <w:marTop w:val="0"/>
      <w:marBottom w:val="0"/>
      <w:divBdr>
        <w:top w:val="none" w:sz="0" w:space="0" w:color="auto"/>
        <w:left w:val="none" w:sz="0" w:space="0" w:color="auto"/>
        <w:bottom w:val="none" w:sz="0" w:space="0" w:color="auto"/>
        <w:right w:val="none" w:sz="0" w:space="0" w:color="auto"/>
      </w:divBdr>
    </w:div>
    <w:div w:id="1359311440">
      <w:bodyDiv w:val="1"/>
      <w:marLeft w:val="0"/>
      <w:marRight w:val="0"/>
      <w:marTop w:val="0"/>
      <w:marBottom w:val="0"/>
      <w:divBdr>
        <w:top w:val="none" w:sz="0" w:space="0" w:color="auto"/>
        <w:left w:val="none" w:sz="0" w:space="0" w:color="auto"/>
        <w:bottom w:val="none" w:sz="0" w:space="0" w:color="auto"/>
        <w:right w:val="none" w:sz="0" w:space="0" w:color="auto"/>
      </w:divBdr>
    </w:div>
    <w:div w:id="1364133686">
      <w:bodyDiv w:val="1"/>
      <w:marLeft w:val="0"/>
      <w:marRight w:val="0"/>
      <w:marTop w:val="0"/>
      <w:marBottom w:val="0"/>
      <w:divBdr>
        <w:top w:val="none" w:sz="0" w:space="0" w:color="auto"/>
        <w:left w:val="none" w:sz="0" w:space="0" w:color="auto"/>
        <w:bottom w:val="none" w:sz="0" w:space="0" w:color="auto"/>
        <w:right w:val="none" w:sz="0" w:space="0" w:color="auto"/>
      </w:divBdr>
    </w:div>
    <w:div w:id="1394885768">
      <w:bodyDiv w:val="1"/>
      <w:marLeft w:val="0"/>
      <w:marRight w:val="0"/>
      <w:marTop w:val="0"/>
      <w:marBottom w:val="0"/>
      <w:divBdr>
        <w:top w:val="none" w:sz="0" w:space="0" w:color="auto"/>
        <w:left w:val="none" w:sz="0" w:space="0" w:color="auto"/>
        <w:bottom w:val="none" w:sz="0" w:space="0" w:color="auto"/>
        <w:right w:val="none" w:sz="0" w:space="0" w:color="auto"/>
      </w:divBdr>
    </w:div>
    <w:div w:id="1419519764">
      <w:bodyDiv w:val="1"/>
      <w:marLeft w:val="0"/>
      <w:marRight w:val="0"/>
      <w:marTop w:val="0"/>
      <w:marBottom w:val="0"/>
      <w:divBdr>
        <w:top w:val="none" w:sz="0" w:space="0" w:color="auto"/>
        <w:left w:val="none" w:sz="0" w:space="0" w:color="auto"/>
        <w:bottom w:val="none" w:sz="0" w:space="0" w:color="auto"/>
        <w:right w:val="none" w:sz="0" w:space="0" w:color="auto"/>
      </w:divBdr>
    </w:div>
    <w:div w:id="1440950753">
      <w:bodyDiv w:val="1"/>
      <w:marLeft w:val="0"/>
      <w:marRight w:val="0"/>
      <w:marTop w:val="0"/>
      <w:marBottom w:val="0"/>
      <w:divBdr>
        <w:top w:val="none" w:sz="0" w:space="0" w:color="auto"/>
        <w:left w:val="none" w:sz="0" w:space="0" w:color="auto"/>
        <w:bottom w:val="none" w:sz="0" w:space="0" w:color="auto"/>
        <w:right w:val="none" w:sz="0" w:space="0" w:color="auto"/>
      </w:divBdr>
    </w:div>
    <w:div w:id="1450926625">
      <w:bodyDiv w:val="1"/>
      <w:marLeft w:val="0"/>
      <w:marRight w:val="0"/>
      <w:marTop w:val="0"/>
      <w:marBottom w:val="0"/>
      <w:divBdr>
        <w:top w:val="none" w:sz="0" w:space="0" w:color="auto"/>
        <w:left w:val="none" w:sz="0" w:space="0" w:color="auto"/>
        <w:bottom w:val="none" w:sz="0" w:space="0" w:color="auto"/>
        <w:right w:val="none" w:sz="0" w:space="0" w:color="auto"/>
      </w:divBdr>
    </w:div>
    <w:div w:id="1451969744">
      <w:bodyDiv w:val="1"/>
      <w:marLeft w:val="0"/>
      <w:marRight w:val="0"/>
      <w:marTop w:val="0"/>
      <w:marBottom w:val="0"/>
      <w:divBdr>
        <w:top w:val="none" w:sz="0" w:space="0" w:color="auto"/>
        <w:left w:val="none" w:sz="0" w:space="0" w:color="auto"/>
        <w:bottom w:val="none" w:sz="0" w:space="0" w:color="auto"/>
        <w:right w:val="none" w:sz="0" w:space="0" w:color="auto"/>
      </w:divBdr>
    </w:div>
    <w:div w:id="1479954624">
      <w:bodyDiv w:val="1"/>
      <w:marLeft w:val="0"/>
      <w:marRight w:val="0"/>
      <w:marTop w:val="0"/>
      <w:marBottom w:val="0"/>
      <w:divBdr>
        <w:top w:val="none" w:sz="0" w:space="0" w:color="auto"/>
        <w:left w:val="none" w:sz="0" w:space="0" w:color="auto"/>
        <w:bottom w:val="none" w:sz="0" w:space="0" w:color="auto"/>
        <w:right w:val="none" w:sz="0" w:space="0" w:color="auto"/>
      </w:divBdr>
    </w:div>
    <w:div w:id="1515533740">
      <w:bodyDiv w:val="1"/>
      <w:marLeft w:val="0"/>
      <w:marRight w:val="0"/>
      <w:marTop w:val="0"/>
      <w:marBottom w:val="0"/>
      <w:divBdr>
        <w:top w:val="none" w:sz="0" w:space="0" w:color="auto"/>
        <w:left w:val="none" w:sz="0" w:space="0" w:color="auto"/>
        <w:bottom w:val="none" w:sz="0" w:space="0" w:color="auto"/>
        <w:right w:val="none" w:sz="0" w:space="0" w:color="auto"/>
      </w:divBdr>
    </w:div>
    <w:div w:id="1544366809">
      <w:bodyDiv w:val="1"/>
      <w:marLeft w:val="0"/>
      <w:marRight w:val="0"/>
      <w:marTop w:val="0"/>
      <w:marBottom w:val="0"/>
      <w:divBdr>
        <w:top w:val="none" w:sz="0" w:space="0" w:color="auto"/>
        <w:left w:val="none" w:sz="0" w:space="0" w:color="auto"/>
        <w:bottom w:val="none" w:sz="0" w:space="0" w:color="auto"/>
        <w:right w:val="none" w:sz="0" w:space="0" w:color="auto"/>
      </w:divBdr>
    </w:div>
    <w:div w:id="1638104957">
      <w:bodyDiv w:val="1"/>
      <w:marLeft w:val="0"/>
      <w:marRight w:val="0"/>
      <w:marTop w:val="0"/>
      <w:marBottom w:val="0"/>
      <w:divBdr>
        <w:top w:val="none" w:sz="0" w:space="0" w:color="auto"/>
        <w:left w:val="none" w:sz="0" w:space="0" w:color="auto"/>
        <w:bottom w:val="none" w:sz="0" w:space="0" w:color="auto"/>
        <w:right w:val="none" w:sz="0" w:space="0" w:color="auto"/>
      </w:divBdr>
    </w:div>
    <w:div w:id="1641419513">
      <w:bodyDiv w:val="1"/>
      <w:marLeft w:val="0"/>
      <w:marRight w:val="0"/>
      <w:marTop w:val="0"/>
      <w:marBottom w:val="0"/>
      <w:divBdr>
        <w:top w:val="none" w:sz="0" w:space="0" w:color="auto"/>
        <w:left w:val="none" w:sz="0" w:space="0" w:color="auto"/>
        <w:bottom w:val="none" w:sz="0" w:space="0" w:color="auto"/>
        <w:right w:val="none" w:sz="0" w:space="0" w:color="auto"/>
      </w:divBdr>
    </w:div>
    <w:div w:id="1769351998">
      <w:bodyDiv w:val="1"/>
      <w:marLeft w:val="0"/>
      <w:marRight w:val="0"/>
      <w:marTop w:val="0"/>
      <w:marBottom w:val="0"/>
      <w:divBdr>
        <w:top w:val="none" w:sz="0" w:space="0" w:color="auto"/>
        <w:left w:val="none" w:sz="0" w:space="0" w:color="auto"/>
        <w:bottom w:val="none" w:sz="0" w:space="0" w:color="auto"/>
        <w:right w:val="none" w:sz="0" w:space="0" w:color="auto"/>
      </w:divBdr>
    </w:div>
    <w:div w:id="1770351242">
      <w:bodyDiv w:val="1"/>
      <w:marLeft w:val="0"/>
      <w:marRight w:val="0"/>
      <w:marTop w:val="0"/>
      <w:marBottom w:val="0"/>
      <w:divBdr>
        <w:top w:val="none" w:sz="0" w:space="0" w:color="auto"/>
        <w:left w:val="none" w:sz="0" w:space="0" w:color="auto"/>
        <w:bottom w:val="none" w:sz="0" w:space="0" w:color="auto"/>
        <w:right w:val="none" w:sz="0" w:space="0" w:color="auto"/>
      </w:divBdr>
    </w:div>
    <w:div w:id="1797529531">
      <w:bodyDiv w:val="1"/>
      <w:marLeft w:val="0"/>
      <w:marRight w:val="0"/>
      <w:marTop w:val="0"/>
      <w:marBottom w:val="0"/>
      <w:divBdr>
        <w:top w:val="none" w:sz="0" w:space="0" w:color="auto"/>
        <w:left w:val="none" w:sz="0" w:space="0" w:color="auto"/>
        <w:bottom w:val="none" w:sz="0" w:space="0" w:color="auto"/>
        <w:right w:val="none" w:sz="0" w:space="0" w:color="auto"/>
      </w:divBdr>
    </w:div>
    <w:div w:id="1807625032">
      <w:bodyDiv w:val="1"/>
      <w:marLeft w:val="0"/>
      <w:marRight w:val="0"/>
      <w:marTop w:val="0"/>
      <w:marBottom w:val="0"/>
      <w:divBdr>
        <w:top w:val="none" w:sz="0" w:space="0" w:color="auto"/>
        <w:left w:val="none" w:sz="0" w:space="0" w:color="auto"/>
        <w:bottom w:val="none" w:sz="0" w:space="0" w:color="auto"/>
        <w:right w:val="none" w:sz="0" w:space="0" w:color="auto"/>
      </w:divBdr>
    </w:div>
    <w:div w:id="1844314622">
      <w:bodyDiv w:val="1"/>
      <w:marLeft w:val="0"/>
      <w:marRight w:val="0"/>
      <w:marTop w:val="0"/>
      <w:marBottom w:val="0"/>
      <w:divBdr>
        <w:top w:val="none" w:sz="0" w:space="0" w:color="auto"/>
        <w:left w:val="none" w:sz="0" w:space="0" w:color="auto"/>
        <w:bottom w:val="none" w:sz="0" w:space="0" w:color="auto"/>
        <w:right w:val="none" w:sz="0" w:space="0" w:color="auto"/>
      </w:divBdr>
    </w:div>
    <w:div w:id="1849904082">
      <w:bodyDiv w:val="1"/>
      <w:marLeft w:val="0"/>
      <w:marRight w:val="0"/>
      <w:marTop w:val="0"/>
      <w:marBottom w:val="0"/>
      <w:divBdr>
        <w:top w:val="none" w:sz="0" w:space="0" w:color="auto"/>
        <w:left w:val="none" w:sz="0" w:space="0" w:color="auto"/>
        <w:bottom w:val="none" w:sz="0" w:space="0" w:color="auto"/>
        <w:right w:val="none" w:sz="0" w:space="0" w:color="auto"/>
      </w:divBdr>
      <w:divsChild>
        <w:div w:id="11927">
          <w:marLeft w:val="0"/>
          <w:marRight w:val="0"/>
          <w:marTop w:val="0"/>
          <w:marBottom w:val="0"/>
          <w:divBdr>
            <w:top w:val="none" w:sz="0" w:space="0" w:color="auto"/>
            <w:left w:val="none" w:sz="0" w:space="0" w:color="auto"/>
            <w:bottom w:val="none" w:sz="0" w:space="0" w:color="auto"/>
            <w:right w:val="none" w:sz="0" w:space="0" w:color="auto"/>
          </w:divBdr>
          <w:divsChild>
            <w:div w:id="1880506182">
              <w:marLeft w:val="0"/>
              <w:marRight w:val="0"/>
              <w:marTop w:val="0"/>
              <w:marBottom w:val="0"/>
              <w:divBdr>
                <w:top w:val="none" w:sz="0" w:space="0" w:color="auto"/>
                <w:left w:val="none" w:sz="0" w:space="0" w:color="auto"/>
                <w:bottom w:val="none" w:sz="0" w:space="0" w:color="auto"/>
                <w:right w:val="none" w:sz="0" w:space="0" w:color="auto"/>
              </w:divBdr>
            </w:div>
          </w:divsChild>
        </w:div>
        <w:div w:id="17633282">
          <w:marLeft w:val="0"/>
          <w:marRight w:val="0"/>
          <w:marTop w:val="0"/>
          <w:marBottom w:val="0"/>
          <w:divBdr>
            <w:top w:val="none" w:sz="0" w:space="0" w:color="auto"/>
            <w:left w:val="none" w:sz="0" w:space="0" w:color="auto"/>
            <w:bottom w:val="none" w:sz="0" w:space="0" w:color="auto"/>
            <w:right w:val="none" w:sz="0" w:space="0" w:color="auto"/>
          </w:divBdr>
          <w:divsChild>
            <w:div w:id="1445802371">
              <w:marLeft w:val="0"/>
              <w:marRight w:val="0"/>
              <w:marTop w:val="0"/>
              <w:marBottom w:val="0"/>
              <w:divBdr>
                <w:top w:val="none" w:sz="0" w:space="0" w:color="auto"/>
                <w:left w:val="none" w:sz="0" w:space="0" w:color="auto"/>
                <w:bottom w:val="none" w:sz="0" w:space="0" w:color="auto"/>
                <w:right w:val="none" w:sz="0" w:space="0" w:color="auto"/>
              </w:divBdr>
            </w:div>
          </w:divsChild>
        </w:div>
        <w:div w:id="20595850">
          <w:marLeft w:val="0"/>
          <w:marRight w:val="0"/>
          <w:marTop w:val="0"/>
          <w:marBottom w:val="0"/>
          <w:divBdr>
            <w:top w:val="none" w:sz="0" w:space="0" w:color="auto"/>
            <w:left w:val="none" w:sz="0" w:space="0" w:color="auto"/>
            <w:bottom w:val="none" w:sz="0" w:space="0" w:color="auto"/>
            <w:right w:val="none" w:sz="0" w:space="0" w:color="auto"/>
          </w:divBdr>
          <w:divsChild>
            <w:div w:id="714352643">
              <w:marLeft w:val="0"/>
              <w:marRight w:val="0"/>
              <w:marTop w:val="0"/>
              <w:marBottom w:val="0"/>
              <w:divBdr>
                <w:top w:val="none" w:sz="0" w:space="0" w:color="auto"/>
                <w:left w:val="none" w:sz="0" w:space="0" w:color="auto"/>
                <w:bottom w:val="none" w:sz="0" w:space="0" w:color="auto"/>
                <w:right w:val="none" w:sz="0" w:space="0" w:color="auto"/>
              </w:divBdr>
            </w:div>
          </w:divsChild>
        </w:div>
        <w:div w:id="33626012">
          <w:marLeft w:val="0"/>
          <w:marRight w:val="0"/>
          <w:marTop w:val="0"/>
          <w:marBottom w:val="0"/>
          <w:divBdr>
            <w:top w:val="none" w:sz="0" w:space="0" w:color="auto"/>
            <w:left w:val="none" w:sz="0" w:space="0" w:color="auto"/>
            <w:bottom w:val="none" w:sz="0" w:space="0" w:color="auto"/>
            <w:right w:val="none" w:sz="0" w:space="0" w:color="auto"/>
          </w:divBdr>
          <w:divsChild>
            <w:div w:id="2065399416">
              <w:marLeft w:val="0"/>
              <w:marRight w:val="0"/>
              <w:marTop w:val="0"/>
              <w:marBottom w:val="0"/>
              <w:divBdr>
                <w:top w:val="none" w:sz="0" w:space="0" w:color="auto"/>
                <w:left w:val="none" w:sz="0" w:space="0" w:color="auto"/>
                <w:bottom w:val="none" w:sz="0" w:space="0" w:color="auto"/>
                <w:right w:val="none" w:sz="0" w:space="0" w:color="auto"/>
              </w:divBdr>
            </w:div>
          </w:divsChild>
        </w:div>
        <w:div w:id="36125742">
          <w:marLeft w:val="0"/>
          <w:marRight w:val="0"/>
          <w:marTop w:val="0"/>
          <w:marBottom w:val="0"/>
          <w:divBdr>
            <w:top w:val="none" w:sz="0" w:space="0" w:color="auto"/>
            <w:left w:val="none" w:sz="0" w:space="0" w:color="auto"/>
            <w:bottom w:val="none" w:sz="0" w:space="0" w:color="auto"/>
            <w:right w:val="none" w:sz="0" w:space="0" w:color="auto"/>
          </w:divBdr>
          <w:divsChild>
            <w:div w:id="1889298759">
              <w:marLeft w:val="0"/>
              <w:marRight w:val="0"/>
              <w:marTop w:val="0"/>
              <w:marBottom w:val="0"/>
              <w:divBdr>
                <w:top w:val="none" w:sz="0" w:space="0" w:color="auto"/>
                <w:left w:val="none" w:sz="0" w:space="0" w:color="auto"/>
                <w:bottom w:val="none" w:sz="0" w:space="0" w:color="auto"/>
                <w:right w:val="none" w:sz="0" w:space="0" w:color="auto"/>
              </w:divBdr>
            </w:div>
          </w:divsChild>
        </w:div>
        <w:div w:id="37781467">
          <w:marLeft w:val="0"/>
          <w:marRight w:val="0"/>
          <w:marTop w:val="0"/>
          <w:marBottom w:val="0"/>
          <w:divBdr>
            <w:top w:val="none" w:sz="0" w:space="0" w:color="auto"/>
            <w:left w:val="none" w:sz="0" w:space="0" w:color="auto"/>
            <w:bottom w:val="none" w:sz="0" w:space="0" w:color="auto"/>
            <w:right w:val="none" w:sz="0" w:space="0" w:color="auto"/>
          </w:divBdr>
          <w:divsChild>
            <w:div w:id="1809467991">
              <w:marLeft w:val="0"/>
              <w:marRight w:val="0"/>
              <w:marTop w:val="0"/>
              <w:marBottom w:val="0"/>
              <w:divBdr>
                <w:top w:val="none" w:sz="0" w:space="0" w:color="auto"/>
                <w:left w:val="none" w:sz="0" w:space="0" w:color="auto"/>
                <w:bottom w:val="none" w:sz="0" w:space="0" w:color="auto"/>
                <w:right w:val="none" w:sz="0" w:space="0" w:color="auto"/>
              </w:divBdr>
            </w:div>
          </w:divsChild>
        </w:div>
        <w:div w:id="43021249">
          <w:marLeft w:val="0"/>
          <w:marRight w:val="0"/>
          <w:marTop w:val="0"/>
          <w:marBottom w:val="0"/>
          <w:divBdr>
            <w:top w:val="none" w:sz="0" w:space="0" w:color="auto"/>
            <w:left w:val="none" w:sz="0" w:space="0" w:color="auto"/>
            <w:bottom w:val="none" w:sz="0" w:space="0" w:color="auto"/>
            <w:right w:val="none" w:sz="0" w:space="0" w:color="auto"/>
          </w:divBdr>
          <w:divsChild>
            <w:div w:id="1814327431">
              <w:marLeft w:val="0"/>
              <w:marRight w:val="0"/>
              <w:marTop w:val="0"/>
              <w:marBottom w:val="0"/>
              <w:divBdr>
                <w:top w:val="none" w:sz="0" w:space="0" w:color="auto"/>
                <w:left w:val="none" w:sz="0" w:space="0" w:color="auto"/>
                <w:bottom w:val="none" w:sz="0" w:space="0" w:color="auto"/>
                <w:right w:val="none" w:sz="0" w:space="0" w:color="auto"/>
              </w:divBdr>
            </w:div>
          </w:divsChild>
        </w:div>
        <w:div w:id="45108406">
          <w:marLeft w:val="0"/>
          <w:marRight w:val="0"/>
          <w:marTop w:val="0"/>
          <w:marBottom w:val="0"/>
          <w:divBdr>
            <w:top w:val="none" w:sz="0" w:space="0" w:color="auto"/>
            <w:left w:val="none" w:sz="0" w:space="0" w:color="auto"/>
            <w:bottom w:val="none" w:sz="0" w:space="0" w:color="auto"/>
            <w:right w:val="none" w:sz="0" w:space="0" w:color="auto"/>
          </w:divBdr>
          <w:divsChild>
            <w:div w:id="1646542022">
              <w:marLeft w:val="0"/>
              <w:marRight w:val="0"/>
              <w:marTop w:val="0"/>
              <w:marBottom w:val="0"/>
              <w:divBdr>
                <w:top w:val="none" w:sz="0" w:space="0" w:color="auto"/>
                <w:left w:val="none" w:sz="0" w:space="0" w:color="auto"/>
                <w:bottom w:val="none" w:sz="0" w:space="0" w:color="auto"/>
                <w:right w:val="none" w:sz="0" w:space="0" w:color="auto"/>
              </w:divBdr>
            </w:div>
          </w:divsChild>
        </w:div>
        <w:div w:id="47337644">
          <w:marLeft w:val="0"/>
          <w:marRight w:val="0"/>
          <w:marTop w:val="0"/>
          <w:marBottom w:val="0"/>
          <w:divBdr>
            <w:top w:val="none" w:sz="0" w:space="0" w:color="auto"/>
            <w:left w:val="none" w:sz="0" w:space="0" w:color="auto"/>
            <w:bottom w:val="none" w:sz="0" w:space="0" w:color="auto"/>
            <w:right w:val="none" w:sz="0" w:space="0" w:color="auto"/>
          </w:divBdr>
          <w:divsChild>
            <w:div w:id="1050885054">
              <w:marLeft w:val="0"/>
              <w:marRight w:val="0"/>
              <w:marTop w:val="0"/>
              <w:marBottom w:val="0"/>
              <w:divBdr>
                <w:top w:val="none" w:sz="0" w:space="0" w:color="auto"/>
                <w:left w:val="none" w:sz="0" w:space="0" w:color="auto"/>
                <w:bottom w:val="none" w:sz="0" w:space="0" w:color="auto"/>
                <w:right w:val="none" w:sz="0" w:space="0" w:color="auto"/>
              </w:divBdr>
            </w:div>
          </w:divsChild>
        </w:div>
        <w:div w:id="75790496">
          <w:marLeft w:val="0"/>
          <w:marRight w:val="0"/>
          <w:marTop w:val="0"/>
          <w:marBottom w:val="0"/>
          <w:divBdr>
            <w:top w:val="none" w:sz="0" w:space="0" w:color="auto"/>
            <w:left w:val="none" w:sz="0" w:space="0" w:color="auto"/>
            <w:bottom w:val="none" w:sz="0" w:space="0" w:color="auto"/>
            <w:right w:val="none" w:sz="0" w:space="0" w:color="auto"/>
          </w:divBdr>
          <w:divsChild>
            <w:div w:id="1852796108">
              <w:marLeft w:val="0"/>
              <w:marRight w:val="0"/>
              <w:marTop w:val="0"/>
              <w:marBottom w:val="0"/>
              <w:divBdr>
                <w:top w:val="none" w:sz="0" w:space="0" w:color="auto"/>
                <w:left w:val="none" w:sz="0" w:space="0" w:color="auto"/>
                <w:bottom w:val="none" w:sz="0" w:space="0" w:color="auto"/>
                <w:right w:val="none" w:sz="0" w:space="0" w:color="auto"/>
              </w:divBdr>
            </w:div>
          </w:divsChild>
        </w:div>
        <w:div w:id="91974829">
          <w:marLeft w:val="0"/>
          <w:marRight w:val="0"/>
          <w:marTop w:val="0"/>
          <w:marBottom w:val="0"/>
          <w:divBdr>
            <w:top w:val="none" w:sz="0" w:space="0" w:color="auto"/>
            <w:left w:val="none" w:sz="0" w:space="0" w:color="auto"/>
            <w:bottom w:val="none" w:sz="0" w:space="0" w:color="auto"/>
            <w:right w:val="none" w:sz="0" w:space="0" w:color="auto"/>
          </w:divBdr>
          <w:divsChild>
            <w:div w:id="1711606461">
              <w:marLeft w:val="0"/>
              <w:marRight w:val="0"/>
              <w:marTop w:val="0"/>
              <w:marBottom w:val="0"/>
              <w:divBdr>
                <w:top w:val="none" w:sz="0" w:space="0" w:color="auto"/>
                <w:left w:val="none" w:sz="0" w:space="0" w:color="auto"/>
                <w:bottom w:val="none" w:sz="0" w:space="0" w:color="auto"/>
                <w:right w:val="none" w:sz="0" w:space="0" w:color="auto"/>
              </w:divBdr>
            </w:div>
          </w:divsChild>
        </w:div>
        <w:div w:id="99031499">
          <w:marLeft w:val="0"/>
          <w:marRight w:val="0"/>
          <w:marTop w:val="0"/>
          <w:marBottom w:val="0"/>
          <w:divBdr>
            <w:top w:val="none" w:sz="0" w:space="0" w:color="auto"/>
            <w:left w:val="none" w:sz="0" w:space="0" w:color="auto"/>
            <w:bottom w:val="none" w:sz="0" w:space="0" w:color="auto"/>
            <w:right w:val="none" w:sz="0" w:space="0" w:color="auto"/>
          </w:divBdr>
          <w:divsChild>
            <w:div w:id="1084574745">
              <w:marLeft w:val="0"/>
              <w:marRight w:val="0"/>
              <w:marTop w:val="0"/>
              <w:marBottom w:val="0"/>
              <w:divBdr>
                <w:top w:val="none" w:sz="0" w:space="0" w:color="auto"/>
                <w:left w:val="none" w:sz="0" w:space="0" w:color="auto"/>
                <w:bottom w:val="none" w:sz="0" w:space="0" w:color="auto"/>
                <w:right w:val="none" w:sz="0" w:space="0" w:color="auto"/>
              </w:divBdr>
            </w:div>
          </w:divsChild>
        </w:div>
        <w:div w:id="116677585">
          <w:marLeft w:val="0"/>
          <w:marRight w:val="0"/>
          <w:marTop w:val="0"/>
          <w:marBottom w:val="0"/>
          <w:divBdr>
            <w:top w:val="none" w:sz="0" w:space="0" w:color="auto"/>
            <w:left w:val="none" w:sz="0" w:space="0" w:color="auto"/>
            <w:bottom w:val="none" w:sz="0" w:space="0" w:color="auto"/>
            <w:right w:val="none" w:sz="0" w:space="0" w:color="auto"/>
          </w:divBdr>
          <w:divsChild>
            <w:div w:id="336541456">
              <w:marLeft w:val="0"/>
              <w:marRight w:val="0"/>
              <w:marTop w:val="0"/>
              <w:marBottom w:val="0"/>
              <w:divBdr>
                <w:top w:val="none" w:sz="0" w:space="0" w:color="auto"/>
                <w:left w:val="none" w:sz="0" w:space="0" w:color="auto"/>
                <w:bottom w:val="none" w:sz="0" w:space="0" w:color="auto"/>
                <w:right w:val="none" w:sz="0" w:space="0" w:color="auto"/>
              </w:divBdr>
            </w:div>
          </w:divsChild>
        </w:div>
        <w:div w:id="119225534">
          <w:marLeft w:val="0"/>
          <w:marRight w:val="0"/>
          <w:marTop w:val="0"/>
          <w:marBottom w:val="0"/>
          <w:divBdr>
            <w:top w:val="none" w:sz="0" w:space="0" w:color="auto"/>
            <w:left w:val="none" w:sz="0" w:space="0" w:color="auto"/>
            <w:bottom w:val="none" w:sz="0" w:space="0" w:color="auto"/>
            <w:right w:val="none" w:sz="0" w:space="0" w:color="auto"/>
          </w:divBdr>
          <w:divsChild>
            <w:div w:id="567619924">
              <w:marLeft w:val="0"/>
              <w:marRight w:val="0"/>
              <w:marTop w:val="0"/>
              <w:marBottom w:val="0"/>
              <w:divBdr>
                <w:top w:val="none" w:sz="0" w:space="0" w:color="auto"/>
                <w:left w:val="none" w:sz="0" w:space="0" w:color="auto"/>
                <w:bottom w:val="none" w:sz="0" w:space="0" w:color="auto"/>
                <w:right w:val="none" w:sz="0" w:space="0" w:color="auto"/>
              </w:divBdr>
            </w:div>
          </w:divsChild>
        </w:div>
        <w:div w:id="130367696">
          <w:marLeft w:val="0"/>
          <w:marRight w:val="0"/>
          <w:marTop w:val="0"/>
          <w:marBottom w:val="0"/>
          <w:divBdr>
            <w:top w:val="none" w:sz="0" w:space="0" w:color="auto"/>
            <w:left w:val="none" w:sz="0" w:space="0" w:color="auto"/>
            <w:bottom w:val="none" w:sz="0" w:space="0" w:color="auto"/>
            <w:right w:val="none" w:sz="0" w:space="0" w:color="auto"/>
          </w:divBdr>
          <w:divsChild>
            <w:div w:id="166018596">
              <w:marLeft w:val="0"/>
              <w:marRight w:val="0"/>
              <w:marTop w:val="0"/>
              <w:marBottom w:val="0"/>
              <w:divBdr>
                <w:top w:val="none" w:sz="0" w:space="0" w:color="auto"/>
                <w:left w:val="none" w:sz="0" w:space="0" w:color="auto"/>
                <w:bottom w:val="none" w:sz="0" w:space="0" w:color="auto"/>
                <w:right w:val="none" w:sz="0" w:space="0" w:color="auto"/>
              </w:divBdr>
            </w:div>
          </w:divsChild>
        </w:div>
        <w:div w:id="134879149">
          <w:marLeft w:val="0"/>
          <w:marRight w:val="0"/>
          <w:marTop w:val="0"/>
          <w:marBottom w:val="0"/>
          <w:divBdr>
            <w:top w:val="none" w:sz="0" w:space="0" w:color="auto"/>
            <w:left w:val="none" w:sz="0" w:space="0" w:color="auto"/>
            <w:bottom w:val="none" w:sz="0" w:space="0" w:color="auto"/>
            <w:right w:val="none" w:sz="0" w:space="0" w:color="auto"/>
          </w:divBdr>
          <w:divsChild>
            <w:div w:id="2132507490">
              <w:marLeft w:val="0"/>
              <w:marRight w:val="0"/>
              <w:marTop w:val="0"/>
              <w:marBottom w:val="0"/>
              <w:divBdr>
                <w:top w:val="none" w:sz="0" w:space="0" w:color="auto"/>
                <w:left w:val="none" w:sz="0" w:space="0" w:color="auto"/>
                <w:bottom w:val="none" w:sz="0" w:space="0" w:color="auto"/>
                <w:right w:val="none" w:sz="0" w:space="0" w:color="auto"/>
              </w:divBdr>
            </w:div>
          </w:divsChild>
        </w:div>
        <w:div w:id="152576432">
          <w:marLeft w:val="0"/>
          <w:marRight w:val="0"/>
          <w:marTop w:val="0"/>
          <w:marBottom w:val="0"/>
          <w:divBdr>
            <w:top w:val="none" w:sz="0" w:space="0" w:color="auto"/>
            <w:left w:val="none" w:sz="0" w:space="0" w:color="auto"/>
            <w:bottom w:val="none" w:sz="0" w:space="0" w:color="auto"/>
            <w:right w:val="none" w:sz="0" w:space="0" w:color="auto"/>
          </w:divBdr>
          <w:divsChild>
            <w:div w:id="1188638263">
              <w:marLeft w:val="0"/>
              <w:marRight w:val="0"/>
              <w:marTop w:val="0"/>
              <w:marBottom w:val="0"/>
              <w:divBdr>
                <w:top w:val="none" w:sz="0" w:space="0" w:color="auto"/>
                <w:left w:val="none" w:sz="0" w:space="0" w:color="auto"/>
                <w:bottom w:val="none" w:sz="0" w:space="0" w:color="auto"/>
                <w:right w:val="none" w:sz="0" w:space="0" w:color="auto"/>
              </w:divBdr>
            </w:div>
          </w:divsChild>
        </w:div>
        <w:div w:id="160854396">
          <w:marLeft w:val="0"/>
          <w:marRight w:val="0"/>
          <w:marTop w:val="0"/>
          <w:marBottom w:val="0"/>
          <w:divBdr>
            <w:top w:val="none" w:sz="0" w:space="0" w:color="auto"/>
            <w:left w:val="none" w:sz="0" w:space="0" w:color="auto"/>
            <w:bottom w:val="none" w:sz="0" w:space="0" w:color="auto"/>
            <w:right w:val="none" w:sz="0" w:space="0" w:color="auto"/>
          </w:divBdr>
          <w:divsChild>
            <w:div w:id="1414931535">
              <w:marLeft w:val="0"/>
              <w:marRight w:val="0"/>
              <w:marTop w:val="0"/>
              <w:marBottom w:val="0"/>
              <w:divBdr>
                <w:top w:val="none" w:sz="0" w:space="0" w:color="auto"/>
                <w:left w:val="none" w:sz="0" w:space="0" w:color="auto"/>
                <w:bottom w:val="none" w:sz="0" w:space="0" w:color="auto"/>
                <w:right w:val="none" w:sz="0" w:space="0" w:color="auto"/>
              </w:divBdr>
            </w:div>
          </w:divsChild>
        </w:div>
        <w:div w:id="174393646">
          <w:marLeft w:val="0"/>
          <w:marRight w:val="0"/>
          <w:marTop w:val="0"/>
          <w:marBottom w:val="0"/>
          <w:divBdr>
            <w:top w:val="none" w:sz="0" w:space="0" w:color="auto"/>
            <w:left w:val="none" w:sz="0" w:space="0" w:color="auto"/>
            <w:bottom w:val="none" w:sz="0" w:space="0" w:color="auto"/>
            <w:right w:val="none" w:sz="0" w:space="0" w:color="auto"/>
          </w:divBdr>
          <w:divsChild>
            <w:div w:id="225576147">
              <w:marLeft w:val="0"/>
              <w:marRight w:val="0"/>
              <w:marTop w:val="0"/>
              <w:marBottom w:val="0"/>
              <w:divBdr>
                <w:top w:val="none" w:sz="0" w:space="0" w:color="auto"/>
                <w:left w:val="none" w:sz="0" w:space="0" w:color="auto"/>
                <w:bottom w:val="none" w:sz="0" w:space="0" w:color="auto"/>
                <w:right w:val="none" w:sz="0" w:space="0" w:color="auto"/>
              </w:divBdr>
            </w:div>
          </w:divsChild>
        </w:div>
        <w:div w:id="185027818">
          <w:marLeft w:val="0"/>
          <w:marRight w:val="0"/>
          <w:marTop w:val="0"/>
          <w:marBottom w:val="0"/>
          <w:divBdr>
            <w:top w:val="none" w:sz="0" w:space="0" w:color="auto"/>
            <w:left w:val="none" w:sz="0" w:space="0" w:color="auto"/>
            <w:bottom w:val="none" w:sz="0" w:space="0" w:color="auto"/>
            <w:right w:val="none" w:sz="0" w:space="0" w:color="auto"/>
          </w:divBdr>
          <w:divsChild>
            <w:div w:id="1065494457">
              <w:marLeft w:val="0"/>
              <w:marRight w:val="0"/>
              <w:marTop w:val="0"/>
              <w:marBottom w:val="0"/>
              <w:divBdr>
                <w:top w:val="none" w:sz="0" w:space="0" w:color="auto"/>
                <w:left w:val="none" w:sz="0" w:space="0" w:color="auto"/>
                <w:bottom w:val="none" w:sz="0" w:space="0" w:color="auto"/>
                <w:right w:val="none" w:sz="0" w:space="0" w:color="auto"/>
              </w:divBdr>
            </w:div>
          </w:divsChild>
        </w:div>
        <w:div w:id="188027231">
          <w:marLeft w:val="0"/>
          <w:marRight w:val="0"/>
          <w:marTop w:val="0"/>
          <w:marBottom w:val="0"/>
          <w:divBdr>
            <w:top w:val="none" w:sz="0" w:space="0" w:color="auto"/>
            <w:left w:val="none" w:sz="0" w:space="0" w:color="auto"/>
            <w:bottom w:val="none" w:sz="0" w:space="0" w:color="auto"/>
            <w:right w:val="none" w:sz="0" w:space="0" w:color="auto"/>
          </w:divBdr>
          <w:divsChild>
            <w:div w:id="1216701237">
              <w:marLeft w:val="0"/>
              <w:marRight w:val="0"/>
              <w:marTop w:val="0"/>
              <w:marBottom w:val="0"/>
              <w:divBdr>
                <w:top w:val="none" w:sz="0" w:space="0" w:color="auto"/>
                <w:left w:val="none" w:sz="0" w:space="0" w:color="auto"/>
                <w:bottom w:val="none" w:sz="0" w:space="0" w:color="auto"/>
                <w:right w:val="none" w:sz="0" w:space="0" w:color="auto"/>
              </w:divBdr>
            </w:div>
          </w:divsChild>
        </w:div>
        <w:div w:id="189874493">
          <w:marLeft w:val="0"/>
          <w:marRight w:val="0"/>
          <w:marTop w:val="0"/>
          <w:marBottom w:val="0"/>
          <w:divBdr>
            <w:top w:val="none" w:sz="0" w:space="0" w:color="auto"/>
            <w:left w:val="none" w:sz="0" w:space="0" w:color="auto"/>
            <w:bottom w:val="none" w:sz="0" w:space="0" w:color="auto"/>
            <w:right w:val="none" w:sz="0" w:space="0" w:color="auto"/>
          </w:divBdr>
          <w:divsChild>
            <w:div w:id="468935227">
              <w:marLeft w:val="0"/>
              <w:marRight w:val="0"/>
              <w:marTop w:val="0"/>
              <w:marBottom w:val="0"/>
              <w:divBdr>
                <w:top w:val="none" w:sz="0" w:space="0" w:color="auto"/>
                <w:left w:val="none" w:sz="0" w:space="0" w:color="auto"/>
                <w:bottom w:val="none" w:sz="0" w:space="0" w:color="auto"/>
                <w:right w:val="none" w:sz="0" w:space="0" w:color="auto"/>
              </w:divBdr>
            </w:div>
          </w:divsChild>
        </w:div>
        <w:div w:id="208762251">
          <w:marLeft w:val="0"/>
          <w:marRight w:val="0"/>
          <w:marTop w:val="0"/>
          <w:marBottom w:val="0"/>
          <w:divBdr>
            <w:top w:val="none" w:sz="0" w:space="0" w:color="auto"/>
            <w:left w:val="none" w:sz="0" w:space="0" w:color="auto"/>
            <w:bottom w:val="none" w:sz="0" w:space="0" w:color="auto"/>
            <w:right w:val="none" w:sz="0" w:space="0" w:color="auto"/>
          </w:divBdr>
          <w:divsChild>
            <w:div w:id="2099868704">
              <w:marLeft w:val="0"/>
              <w:marRight w:val="0"/>
              <w:marTop w:val="0"/>
              <w:marBottom w:val="0"/>
              <w:divBdr>
                <w:top w:val="none" w:sz="0" w:space="0" w:color="auto"/>
                <w:left w:val="none" w:sz="0" w:space="0" w:color="auto"/>
                <w:bottom w:val="none" w:sz="0" w:space="0" w:color="auto"/>
                <w:right w:val="none" w:sz="0" w:space="0" w:color="auto"/>
              </w:divBdr>
            </w:div>
          </w:divsChild>
        </w:div>
        <w:div w:id="216089237">
          <w:marLeft w:val="0"/>
          <w:marRight w:val="0"/>
          <w:marTop w:val="0"/>
          <w:marBottom w:val="0"/>
          <w:divBdr>
            <w:top w:val="none" w:sz="0" w:space="0" w:color="auto"/>
            <w:left w:val="none" w:sz="0" w:space="0" w:color="auto"/>
            <w:bottom w:val="none" w:sz="0" w:space="0" w:color="auto"/>
            <w:right w:val="none" w:sz="0" w:space="0" w:color="auto"/>
          </w:divBdr>
          <w:divsChild>
            <w:div w:id="1429691138">
              <w:marLeft w:val="0"/>
              <w:marRight w:val="0"/>
              <w:marTop w:val="0"/>
              <w:marBottom w:val="0"/>
              <w:divBdr>
                <w:top w:val="none" w:sz="0" w:space="0" w:color="auto"/>
                <w:left w:val="none" w:sz="0" w:space="0" w:color="auto"/>
                <w:bottom w:val="none" w:sz="0" w:space="0" w:color="auto"/>
                <w:right w:val="none" w:sz="0" w:space="0" w:color="auto"/>
              </w:divBdr>
            </w:div>
          </w:divsChild>
        </w:div>
        <w:div w:id="225264030">
          <w:marLeft w:val="0"/>
          <w:marRight w:val="0"/>
          <w:marTop w:val="0"/>
          <w:marBottom w:val="0"/>
          <w:divBdr>
            <w:top w:val="none" w:sz="0" w:space="0" w:color="auto"/>
            <w:left w:val="none" w:sz="0" w:space="0" w:color="auto"/>
            <w:bottom w:val="none" w:sz="0" w:space="0" w:color="auto"/>
            <w:right w:val="none" w:sz="0" w:space="0" w:color="auto"/>
          </w:divBdr>
          <w:divsChild>
            <w:div w:id="950865084">
              <w:marLeft w:val="0"/>
              <w:marRight w:val="0"/>
              <w:marTop w:val="0"/>
              <w:marBottom w:val="0"/>
              <w:divBdr>
                <w:top w:val="none" w:sz="0" w:space="0" w:color="auto"/>
                <w:left w:val="none" w:sz="0" w:space="0" w:color="auto"/>
                <w:bottom w:val="none" w:sz="0" w:space="0" w:color="auto"/>
                <w:right w:val="none" w:sz="0" w:space="0" w:color="auto"/>
              </w:divBdr>
            </w:div>
          </w:divsChild>
        </w:div>
        <w:div w:id="227765499">
          <w:marLeft w:val="0"/>
          <w:marRight w:val="0"/>
          <w:marTop w:val="0"/>
          <w:marBottom w:val="0"/>
          <w:divBdr>
            <w:top w:val="none" w:sz="0" w:space="0" w:color="auto"/>
            <w:left w:val="none" w:sz="0" w:space="0" w:color="auto"/>
            <w:bottom w:val="none" w:sz="0" w:space="0" w:color="auto"/>
            <w:right w:val="none" w:sz="0" w:space="0" w:color="auto"/>
          </w:divBdr>
          <w:divsChild>
            <w:div w:id="1422332753">
              <w:marLeft w:val="0"/>
              <w:marRight w:val="0"/>
              <w:marTop w:val="0"/>
              <w:marBottom w:val="0"/>
              <w:divBdr>
                <w:top w:val="none" w:sz="0" w:space="0" w:color="auto"/>
                <w:left w:val="none" w:sz="0" w:space="0" w:color="auto"/>
                <w:bottom w:val="none" w:sz="0" w:space="0" w:color="auto"/>
                <w:right w:val="none" w:sz="0" w:space="0" w:color="auto"/>
              </w:divBdr>
            </w:div>
          </w:divsChild>
        </w:div>
        <w:div w:id="248462436">
          <w:marLeft w:val="0"/>
          <w:marRight w:val="0"/>
          <w:marTop w:val="0"/>
          <w:marBottom w:val="0"/>
          <w:divBdr>
            <w:top w:val="none" w:sz="0" w:space="0" w:color="auto"/>
            <w:left w:val="none" w:sz="0" w:space="0" w:color="auto"/>
            <w:bottom w:val="none" w:sz="0" w:space="0" w:color="auto"/>
            <w:right w:val="none" w:sz="0" w:space="0" w:color="auto"/>
          </w:divBdr>
          <w:divsChild>
            <w:div w:id="1024014490">
              <w:marLeft w:val="0"/>
              <w:marRight w:val="0"/>
              <w:marTop w:val="0"/>
              <w:marBottom w:val="0"/>
              <w:divBdr>
                <w:top w:val="none" w:sz="0" w:space="0" w:color="auto"/>
                <w:left w:val="none" w:sz="0" w:space="0" w:color="auto"/>
                <w:bottom w:val="none" w:sz="0" w:space="0" w:color="auto"/>
                <w:right w:val="none" w:sz="0" w:space="0" w:color="auto"/>
              </w:divBdr>
            </w:div>
          </w:divsChild>
        </w:div>
        <w:div w:id="262882687">
          <w:marLeft w:val="0"/>
          <w:marRight w:val="0"/>
          <w:marTop w:val="0"/>
          <w:marBottom w:val="0"/>
          <w:divBdr>
            <w:top w:val="none" w:sz="0" w:space="0" w:color="auto"/>
            <w:left w:val="none" w:sz="0" w:space="0" w:color="auto"/>
            <w:bottom w:val="none" w:sz="0" w:space="0" w:color="auto"/>
            <w:right w:val="none" w:sz="0" w:space="0" w:color="auto"/>
          </w:divBdr>
          <w:divsChild>
            <w:div w:id="2115859588">
              <w:marLeft w:val="0"/>
              <w:marRight w:val="0"/>
              <w:marTop w:val="0"/>
              <w:marBottom w:val="0"/>
              <w:divBdr>
                <w:top w:val="none" w:sz="0" w:space="0" w:color="auto"/>
                <w:left w:val="none" w:sz="0" w:space="0" w:color="auto"/>
                <w:bottom w:val="none" w:sz="0" w:space="0" w:color="auto"/>
                <w:right w:val="none" w:sz="0" w:space="0" w:color="auto"/>
              </w:divBdr>
            </w:div>
          </w:divsChild>
        </w:div>
        <w:div w:id="270363190">
          <w:marLeft w:val="0"/>
          <w:marRight w:val="0"/>
          <w:marTop w:val="0"/>
          <w:marBottom w:val="0"/>
          <w:divBdr>
            <w:top w:val="none" w:sz="0" w:space="0" w:color="auto"/>
            <w:left w:val="none" w:sz="0" w:space="0" w:color="auto"/>
            <w:bottom w:val="none" w:sz="0" w:space="0" w:color="auto"/>
            <w:right w:val="none" w:sz="0" w:space="0" w:color="auto"/>
          </w:divBdr>
          <w:divsChild>
            <w:div w:id="1425298158">
              <w:marLeft w:val="0"/>
              <w:marRight w:val="0"/>
              <w:marTop w:val="0"/>
              <w:marBottom w:val="0"/>
              <w:divBdr>
                <w:top w:val="none" w:sz="0" w:space="0" w:color="auto"/>
                <w:left w:val="none" w:sz="0" w:space="0" w:color="auto"/>
                <w:bottom w:val="none" w:sz="0" w:space="0" w:color="auto"/>
                <w:right w:val="none" w:sz="0" w:space="0" w:color="auto"/>
              </w:divBdr>
            </w:div>
          </w:divsChild>
        </w:div>
        <w:div w:id="284166125">
          <w:marLeft w:val="0"/>
          <w:marRight w:val="0"/>
          <w:marTop w:val="0"/>
          <w:marBottom w:val="0"/>
          <w:divBdr>
            <w:top w:val="none" w:sz="0" w:space="0" w:color="auto"/>
            <w:left w:val="none" w:sz="0" w:space="0" w:color="auto"/>
            <w:bottom w:val="none" w:sz="0" w:space="0" w:color="auto"/>
            <w:right w:val="none" w:sz="0" w:space="0" w:color="auto"/>
          </w:divBdr>
          <w:divsChild>
            <w:div w:id="1660422171">
              <w:marLeft w:val="0"/>
              <w:marRight w:val="0"/>
              <w:marTop w:val="0"/>
              <w:marBottom w:val="0"/>
              <w:divBdr>
                <w:top w:val="none" w:sz="0" w:space="0" w:color="auto"/>
                <w:left w:val="none" w:sz="0" w:space="0" w:color="auto"/>
                <w:bottom w:val="none" w:sz="0" w:space="0" w:color="auto"/>
                <w:right w:val="none" w:sz="0" w:space="0" w:color="auto"/>
              </w:divBdr>
            </w:div>
          </w:divsChild>
        </w:div>
        <w:div w:id="292256654">
          <w:marLeft w:val="0"/>
          <w:marRight w:val="0"/>
          <w:marTop w:val="0"/>
          <w:marBottom w:val="0"/>
          <w:divBdr>
            <w:top w:val="none" w:sz="0" w:space="0" w:color="auto"/>
            <w:left w:val="none" w:sz="0" w:space="0" w:color="auto"/>
            <w:bottom w:val="none" w:sz="0" w:space="0" w:color="auto"/>
            <w:right w:val="none" w:sz="0" w:space="0" w:color="auto"/>
          </w:divBdr>
          <w:divsChild>
            <w:div w:id="1394234594">
              <w:marLeft w:val="0"/>
              <w:marRight w:val="0"/>
              <w:marTop w:val="0"/>
              <w:marBottom w:val="0"/>
              <w:divBdr>
                <w:top w:val="none" w:sz="0" w:space="0" w:color="auto"/>
                <w:left w:val="none" w:sz="0" w:space="0" w:color="auto"/>
                <w:bottom w:val="none" w:sz="0" w:space="0" w:color="auto"/>
                <w:right w:val="none" w:sz="0" w:space="0" w:color="auto"/>
              </w:divBdr>
            </w:div>
          </w:divsChild>
        </w:div>
        <w:div w:id="313487739">
          <w:marLeft w:val="0"/>
          <w:marRight w:val="0"/>
          <w:marTop w:val="0"/>
          <w:marBottom w:val="0"/>
          <w:divBdr>
            <w:top w:val="none" w:sz="0" w:space="0" w:color="auto"/>
            <w:left w:val="none" w:sz="0" w:space="0" w:color="auto"/>
            <w:bottom w:val="none" w:sz="0" w:space="0" w:color="auto"/>
            <w:right w:val="none" w:sz="0" w:space="0" w:color="auto"/>
          </w:divBdr>
          <w:divsChild>
            <w:div w:id="1709337728">
              <w:marLeft w:val="0"/>
              <w:marRight w:val="0"/>
              <w:marTop w:val="0"/>
              <w:marBottom w:val="0"/>
              <w:divBdr>
                <w:top w:val="none" w:sz="0" w:space="0" w:color="auto"/>
                <w:left w:val="none" w:sz="0" w:space="0" w:color="auto"/>
                <w:bottom w:val="none" w:sz="0" w:space="0" w:color="auto"/>
                <w:right w:val="none" w:sz="0" w:space="0" w:color="auto"/>
              </w:divBdr>
            </w:div>
          </w:divsChild>
        </w:div>
        <w:div w:id="334000592">
          <w:marLeft w:val="0"/>
          <w:marRight w:val="0"/>
          <w:marTop w:val="0"/>
          <w:marBottom w:val="0"/>
          <w:divBdr>
            <w:top w:val="none" w:sz="0" w:space="0" w:color="auto"/>
            <w:left w:val="none" w:sz="0" w:space="0" w:color="auto"/>
            <w:bottom w:val="none" w:sz="0" w:space="0" w:color="auto"/>
            <w:right w:val="none" w:sz="0" w:space="0" w:color="auto"/>
          </w:divBdr>
          <w:divsChild>
            <w:div w:id="1731147974">
              <w:marLeft w:val="0"/>
              <w:marRight w:val="0"/>
              <w:marTop w:val="0"/>
              <w:marBottom w:val="0"/>
              <w:divBdr>
                <w:top w:val="none" w:sz="0" w:space="0" w:color="auto"/>
                <w:left w:val="none" w:sz="0" w:space="0" w:color="auto"/>
                <w:bottom w:val="none" w:sz="0" w:space="0" w:color="auto"/>
                <w:right w:val="none" w:sz="0" w:space="0" w:color="auto"/>
              </w:divBdr>
            </w:div>
          </w:divsChild>
        </w:div>
        <w:div w:id="344601722">
          <w:marLeft w:val="0"/>
          <w:marRight w:val="0"/>
          <w:marTop w:val="0"/>
          <w:marBottom w:val="0"/>
          <w:divBdr>
            <w:top w:val="none" w:sz="0" w:space="0" w:color="auto"/>
            <w:left w:val="none" w:sz="0" w:space="0" w:color="auto"/>
            <w:bottom w:val="none" w:sz="0" w:space="0" w:color="auto"/>
            <w:right w:val="none" w:sz="0" w:space="0" w:color="auto"/>
          </w:divBdr>
          <w:divsChild>
            <w:div w:id="1951861327">
              <w:marLeft w:val="0"/>
              <w:marRight w:val="0"/>
              <w:marTop w:val="0"/>
              <w:marBottom w:val="0"/>
              <w:divBdr>
                <w:top w:val="none" w:sz="0" w:space="0" w:color="auto"/>
                <w:left w:val="none" w:sz="0" w:space="0" w:color="auto"/>
                <w:bottom w:val="none" w:sz="0" w:space="0" w:color="auto"/>
                <w:right w:val="none" w:sz="0" w:space="0" w:color="auto"/>
              </w:divBdr>
            </w:div>
          </w:divsChild>
        </w:div>
        <w:div w:id="356200579">
          <w:marLeft w:val="0"/>
          <w:marRight w:val="0"/>
          <w:marTop w:val="0"/>
          <w:marBottom w:val="0"/>
          <w:divBdr>
            <w:top w:val="none" w:sz="0" w:space="0" w:color="auto"/>
            <w:left w:val="none" w:sz="0" w:space="0" w:color="auto"/>
            <w:bottom w:val="none" w:sz="0" w:space="0" w:color="auto"/>
            <w:right w:val="none" w:sz="0" w:space="0" w:color="auto"/>
          </w:divBdr>
          <w:divsChild>
            <w:div w:id="396435435">
              <w:marLeft w:val="0"/>
              <w:marRight w:val="0"/>
              <w:marTop w:val="0"/>
              <w:marBottom w:val="0"/>
              <w:divBdr>
                <w:top w:val="none" w:sz="0" w:space="0" w:color="auto"/>
                <w:left w:val="none" w:sz="0" w:space="0" w:color="auto"/>
                <w:bottom w:val="none" w:sz="0" w:space="0" w:color="auto"/>
                <w:right w:val="none" w:sz="0" w:space="0" w:color="auto"/>
              </w:divBdr>
            </w:div>
          </w:divsChild>
        </w:div>
        <w:div w:id="367681044">
          <w:marLeft w:val="0"/>
          <w:marRight w:val="0"/>
          <w:marTop w:val="0"/>
          <w:marBottom w:val="0"/>
          <w:divBdr>
            <w:top w:val="none" w:sz="0" w:space="0" w:color="auto"/>
            <w:left w:val="none" w:sz="0" w:space="0" w:color="auto"/>
            <w:bottom w:val="none" w:sz="0" w:space="0" w:color="auto"/>
            <w:right w:val="none" w:sz="0" w:space="0" w:color="auto"/>
          </w:divBdr>
          <w:divsChild>
            <w:div w:id="364867269">
              <w:marLeft w:val="0"/>
              <w:marRight w:val="0"/>
              <w:marTop w:val="0"/>
              <w:marBottom w:val="0"/>
              <w:divBdr>
                <w:top w:val="none" w:sz="0" w:space="0" w:color="auto"/>
                <w:left w:val="none" w:sz="0" w:space="0" w:color="auto"/>
                <w:bottom w:val="none" w:sz="0" w:space="0" w:color="auto"/>
                <w:right w:val="none" w:sz="0" w:space="0" w:color="auto"/>
              </w:divBdr>
            </w:div>
          </w:divsChild>
        </w:div>
        <w:div w:id="379788873">
          <w:marLeft w:val="0"/>
          <w:marRight w:val="0"/>
          <w:marTop w:val="0"/>
          <w:marBottom w:val="0"/>
          <w:divBdr>
            <w:top w:val="none" w:sz="0" w:space="0" w:color="auto"/>
            <w:left w:val="none" w:sz="0" w:space="0" w:color="auto"/>
            <w:bottom w:val="none" w:sz="0" w:space="0" w:color="auto"/>
            <w:right w:val="none" w:sz="0" w:space="0" w:color="auto"/>
          </w:divBdr>
          <w:divsChild>
            <w:div w:id="736126083">
              <w:marLeft w:val="0"/>
              <w:marRight w:val="0"/>
              <w:marTop w:val="0"/>
              <w:marBottom w:val="0"/>
              <w:divBdr>
                <w:top w:val="none" w:sz="0" w:space="0" w:color="auto"/>
                <w:left w:val="none" w:sz="0" w:space="0" w:color="auto"/>
                <w:bottom w:val="none" w:sz="0" w:space="0" w:color="auto"/>
                <w:right w:val="none" w:sz="0" w:space="0" w:color="auto"/>
              </w:divBdr>
            </w:div>
          </w:divsChild>
        </w:div>
        <w:div w:id="393434797">
          <w:marLeft w:val="0"/>
          <w:marRight w:val="0"/>
          <w:marTop w:val="0"/>
          <w:marBottom w:val="0"/>
          <w:divBdr>
            <w:top w:val="none" w:sz="0" w:space="0" w:color="auto"/>
            <w:left w:val="none" w:sz="0" w:space="0" w:color="auto"/>
            <w:bottom w:val="none" w:sz="0" w:space="0" w:color="auto"/>
            <w:right w:val="none" w:sz="0" w:space="0" w:color="auto"/>
          </w:divBdr>
          <w:divsChild>
            <w:div w:id="1266769076">
              <w:marLeft w:val="0"/>
              <w:marRight w:val="0"/>
              <w:marTop w:val="0"/>
              <w:marBottom w:val="0"/>
              <w:divBdr>
                <w:top w:val="none" w:sz="0" w:space="0" w:color="auto"/>
                <w:left w:val="none" w:sz="0" w:space="0" w:color="auto"/>
                <w:bottom w:val="none" w:sz="0" w:space="0" w:color="auto"/>
                <w:right w:val="none" w:sz="0" w:space="0" w:color="auto"/>
              </w:divBdr>
            </w:div>
          </w:divsChild>
        </w:div>
        <w:div w:id="407264161">
          <w:marLeft w:val="0"/>
          <w:marRight w:val="0"/>
          <w:marTop w:val="0"/>
          <w:marBottom w:val="0"/>
          <w:divBdr>
            <w:top w:val="none" w:sz="0" w:space="0" w:color="auto"/>
            <w:left w:val="none" w:sz="0" w:space="0" w:color="auto"/>
            <w:bottom w:val="none" w:sz="0" w:space="0" w:color="auto"/>
            <w:right w:val="none" w:sz="0" w:space="0" w:color="auto"/>
          </w:divBdr>
          <w:divsChild>
            <w:div w:id="1023749741">
              <w:marLeft w:val="0"/>
              <w:marRight w:val="0"/>
              <w:marTop w:val="0"/>
              <w:marBottom w:val="0"/>
              <w:divBdr>
                <w:top w:val="none" w:sz="0" w:space="0" w:color="auto"/>
                <w:left w:val="none" w:sz="0" w:space="0" w:color="auto"/>
                <w:bottom w:val="none" w:sz="0" w:space="0" w:color="auto"/>
                <w:right w:val="none" w:sz="0" w:space="0" w:color="auto"/>
              </w:divBdr>
            </w:div>
          </w:divsChild>
        </w:div>
        <w:div w:id="416752992">
          <w:marLeft w:val="0"/>
          <w:marRight w:val="0"/>
          <w:marTop w:val="0"/>
          <w:marBottom w:val="0"/>
          <w:divBdr>
            <w:top w:val="none" w:sz="0" w:space="0" w:color="auto"/>
            <w:left w:val="none" w:sz="0" w:space="0" w:color="auto"/>
            <w:bottom w:val="none" w:sz="0" w:space="0" w:color="auto"/>
            <w:right w:val="none" w:sz="0" w:space="0" w:color="auto"/>
          </w:divBdr>
          <w:divsChild>
            <w:div w:id="37827868">
              <w:marLeft w:val="0"/>
              <w:marRight w:val="0"/>
              <w:marTop w:val="0"/>
              <w:marBottom w:val="0"/>
              <w:divBdr>
                <w:top w:val="none" w:sz="0" w:space="0" w:color="auto"/>
                <w:left w:val="none" w:sz="0" w:space="0" w:color="auto"/>
                <w:bottom w:val="none" w:sz="0" w:space="0" w:color="auto"/>
                <w:right w:val="none" w:sz="0" w:space="0" w:color="auto"/>
              </w:divBdr>
            </w:div>
          </w:divsChild>
        </w:div>
        <w:div w:id="446966281">
          <w:marLeft w:val="0"/>
          <w:marRight w:val="0"/>
          <w:marTop w:val="0"/>
          <w:marBottom w:val="0"/>
          <w:divBdr>
            <w:top w:val="none" w:sz="0" w:space="0" w:color="auto"/>
            <w:left w:val="none" w:sz="0" w:space="0" w:color="auto"/>
            <w:bottom w:val="none" w:sz="0" w:space="0" w:color="auto"/>
            <w:right w:val="none" w:sz="0" w:space="0" w:color="auto"/>
          </w:divBdr>
          <w:divsChild>
            <w:div w:id="1443306572">
              <w:marLeft w:val="0"/>
              <w:marRight w:val="0"/>
              <w:marTop w:val="0"/>
              <w:marBottom w:val="0"/>
              <w:divBdr>
                <w:top w:val="none" w:sz="0" w:space="0" w:color="auto"/>
                <w:left w:val="none" w:sz="0" w:space="0" w:color="auto"/>
                <w:bottom w:val="none" w:sz="0" w:space="0" w:color="auto"/>
                <w:right w:val="none" w:sz="0" w:space="0" w:color="auto"/>
              </w:divBdr>
            </w:div>
          </w:divsChild>
        </w:div>
        <w:div w:id="451559085">
          <w:marLeft w:val="0"/>
          <w:marRight w:val="0"/>
          <w:marTop w:val="0"/>
          <w:marBottom w:val="0"/>
          <w:divBdr>
            <w:top w:val="none" w:sz="0" w:space="0" w:color="auto"/>
            <w:left w:val="none" w:sz="0" w:space="0" w:color="auto"/>
            <w:bottom w:val="none" w:sz="0" w:space="0" w:color="auto"/>
            <w:right w:val="none" w:sz="0" w:space="0" w:color="auto"/>
          </w:divBdr>
          <w:divsChild>
            <w:div w:id="1785004513">
              <w:marLeft w:val="0"/>
              <w:marRight w:val="0"/>
              <w:marTop w:val="0"/>
              <w:marBottom w:val="0"/>
              <w:divBdr>
                <w:top w:val="none" w:sz="0" w:space="0" w:color="auto"/>
                <w:left w:val="none" w:sz="0" w:space="0" w:color="auto"/>
                <w:bottom w:val="none" w:sz="0" w:space="0" w:color="auto"/>
                <w:right w:val="none" w:sz="0" w:space="0" w:color="auto"/>
              </w:divBdr>
            </w:div>
          </w:divsChild>
        </w:div>
        <w:div w:id="469909431">
          <w:marLeft w:val="0"/>
          <w:marRight w:val="0"/>
          <w:marTop w:val="0"/>
          <w:marBottom w:val="0"/>
          <w:divBdr>
            <w:top w:val="none" w:sz="0" w:space="0" w:color="auto"/>
            <w:left w:val="none" w:sz="0" w:space="0" w:color="auto"/>
            <w:bottom w:val="none" w:sz="0" w:space="0" w:color="auto"/>
            <w:right w:val="none" w:sz="0" w:space="0" w:color="auto"/>
          </w:divBdr>
          <w:divsChild>
            <w:div w:id="589899109">
              <w:marLeft w:val="0"/>
              <w:marRight w:val="0"/>
              <w:marTop w:val="0"/>
              <w:marBottom w:val="0"/>
              <w:divBdr>
                <w:top w:val="none" w:sz="0" w:space="0" w:color="auto"/>
                <w:left w:val="none" w:sz="0" w:space="0" w:color="auto"/>
                <w:bottom w:val="none" w:sz="0" w:space="0" w:color="auto"/>
                <w:right w:val="none" w:sz="0" w:space="0" w:color="auto"/>
              </w:divBdr>
            </w:div>
          </w:divsChild>
        </w:div>
        <w:div w:id="478114792">
          <w:marLeft w:val="0"/>
          <w:marRight w:val="0"/>
          <w:marTop w:val="0"/>
          <w:marBottom w:val="0"/>
          <w:divBdr>
            <w:top w:val="none" w:sz="0" w:space="0" w:color="auto"/>
            <w:left w:val="none" w:sz="0" w:space="0" w:color="auto"/>
            <w:bottom w:val="none" w:sz="0" w:space="0" w:color="auto"/>
            <w:right w:val="none" w:sz="0" w:space="0" w:color="auto"/>
          </w:divBdr>
          <w:divsChild>
            <w:div w:id="1412461590">
              <w:marLeft w:val="0"/>
              <w:marRight w:val="0"/>
              <w:marTop w:val="0"/>
              <w:marBottom w:val="0"/>
              <w:divBdr>
                <w:top w:val="none" w:sz="0" w:space="0" w:color="auto"/>
                <w:left w:val="none" w:sz="0" w:space="0" w:color="auto"/>
                <w:bottom w:val="none" w:sz="0" w:space="0" w:color="auto"/>
                <w:right w:val="none" w:sz="0" w:space="0" w:color="auto"/>
              </w:divBdr>
            </w:div>
          </w:divsChild>
        </w:div>
        <w:div w:id="483593914">
          <w:marLeft w:val="0"/>
          <w:marRight w:val="0"/>
          <w:marTop w:val="0"/>
          <w:marBottom w:val="0"/>
          <w:divBdr>
            <w:top w:val="none" w:sz="0" w:space="0" w:color="auto"/>
            <w:left w:val="none" w:sz="0" w:space="0" w:color="auto"/>
            <w:bottom w:val="none" w:sz="0" w:space="0" w:color="auto"/>
            <w:right w:val="none" w:sz="0" w:space="0" w:color="auto"/>
          </w:divBdr>
          <w:divsChild>
            <w:div w:id="1551573846">
              <w:marLeft w:val="0"/>
              <w:marRight w:val="0"/>
              <w:marTop w:val="0"/>
              <w:marBottom w:val="0"/>
              <w:divBdr>
                <w:top w:val="none" w:sz="0" w:space="0" w:color="auto"/>
                <w:left w:val="none" w:sz="0" w:space="0" w:color="auto"/>
                <w:bottom w:val="none" w:sz="0" w:space="0" w:color="auto"/>
                <w:right w:val="none" w:sz="0" w:space="0" w:color="auto"/>
              </w:divBdr>
            </w:div>
          </w:divsChild>
        </w:div>
        <w:div w:id="491065533">
          <w:marLeft w:val="0"/>
          <w:marRight w:val="0"/>
          <w:marTop w:val="0"/>
          <w:marBottom w:val="0"/>
          <w:divBdr>
            <w:top w:val="none" w:sz="0" w:space="0" w:color="auto"/>
            <w:left w:val="none" w:sz="0" w:space="0" w:color="auto"/>
            <w:bottom w:val="none" w:sz="0" w:space="0" w:color="auto"/>
            <w:right w:val="none" w:sz="0" w:space="0" w:color="auto"/>
          </w:divBdr>
          <w:divsChild>
            <w:div w:id="478151190">
              <w:marLeft w:val="0"/>
              <w:marRight w:val="0"/>
              <w:marTop w:val="0"/>
              <w:marBottom w:val="0"/>
              <w:divBdr>
                <w:top w:val="none" w:sz="0" w:space="0" w:color="auto"/>
                <w:left w:val="none" w:sz="0" w:space="0" w:color="auto"/>
                <w:bottom w:val="none" w:sz="0" w:space="0" w:color="auto"/>
                <w:right w:val="none" w:sz="0" w:space="0" w:color="auto"/>
              </w:divBdr>
            </w:div>
          </w:divsChild>
        </w:div>
        <w:div w:id="503976631">
          <w:marLeft w:val="0"/>
          <w:marRight w:val="0"/>
          <w:marTop w:val="0"/>
          <w:marBottom w:val="0"/>
          <w:divBdr>
            <w:top w:val="none" w:sz="0" w:space="0" w:color="auto"/>
            <w:left w:val="none" w:sz="0" w:space="0" w:color="auto"/>
            <w:bottom w:val="none" w:sz="0" w:space="0" w:color="auto"/>
            <w:right w:val="none" w:sz="0" w:space="0" w:color="auto"/>
          </w:divBdr>
          <w:divsChild>
            <w:div w:id="1275211747">
              <w:marLeft w:val="0"/>
              <w:marRight w:val="0"/>
              <w:marTop w:val="0"/>
              <w:marBottom w:val="0"/>
              <w:divBdr>
                <w:top w:val="none" w:sz="0" w:space="0" w:color="auto"/>
                <w:left w:val="none" w:sz="0" w:space="0" w:color="auto"/>
                <w:bottom w:val="none" w:sz="0" w:space="0" w:color="auto"/>
                <w:right w:val="none" w:sz="0" w:space="0" w:color="auto"/>
              </w:divBdr>
            </w:div>
          </w:divsChild>
        </w:div>
        <w:div w:id="510073424">
          <w:marLeft w:val="0"/>
          <w:marRight w:val="0"/>
          <w:marTop w:val="0"/>
          <w:marBottom w:val="0"/>
          <w:divBdr>
            <w:top w:val="none" w:sz="0" w:space="0" w:color="auto"/>
            <w:left w:val="none" w:sz="0" w:space="0" w:color="auto"/>
            <w:bottom w:val="none" w:sz="0" w:space="0" w:color="auto"/>
            <w:right w:val="none" w:sz="0" w:space="0" w:color="auto"/>
          </w:divBdr>
          <w:divsChild>
            <w:div w:id="1692490786">
              <w:marLeft w:val="0"/>
              <w:marRight w:val="0"/>
              <w:marTop w:val="0"/>
              <w:marBottom w:val="0"/>
              <w:divBdr>
                <w:top w:val="none" w:sz="0" w:space="0" w:color="auto"/>
                <w:left w:val="none" w:sz="0" w:space="0" w:color="auto"/>
                <w:bottom w:val="none" w:sz="0" w:space="0" w:color="auto"/>
                <w:right w:val="none" w:sz="0" w:space="0" w:color="auto"/>
              </w:divBdr>
            </w:div>
          </w:divsChild>
        </w:div>
        <w:div w:id="533349285">
          <w:marLeft w:val="0"/>
          <w:marRight w:val="0"/>
          <w:marTop w:val="0"/>
          <w:marBottom w:val="0"/>
          <w:divBdr>
            <w:top w:val="none" w:sz="0" w:space="0" w:color="auto"/>
            <w:left w:val="none" w:sz="0" w:space="0" w:color="auto"/>
            <w:bottom w:val="none" w:sz="0" w:space="0" w:color="auto"/>
            <w:right w:val="none" w:sz="0" w:space="0" w:color="auto"/>
          </w:divBdr>
          <w:divsChild>
            <w:div w:id="488446535">
              <w:marLeft w:val="0"/>
              <w:marRight w:val="0"/>
              <w:marTop w:val="0"/>
              <w:marBottom w:val="0"/>
              <w:divBdr>
                <w:top w:val="none" w:sz="0" w:space="0" w:color="auto"/>
                <w:left w:val="none" w:sz="0" w:space="0" w:color="auto"/>
                <w:bottom w:val="none" w:sz="0" w:space="0" w:color="auto"/>
                <w:right w:val="none" w:sz="0" w:space="0" w:color="auto"/>
              </w:divBdr>
            </w:div>
          </w:divsChild>
        </w:div>
        <w:div w:id="547377446">
          <w:marLeft w:val="0"/>
          <w:marRight w:val="0"/>
          <w:marTop w:val="0"/>
          <w:marBottom w:val="0"/>
          <w:divBdr>
            <w:top w:val="none" w:sz="0" w:space="0" w:color="auto"/>
            <w:left w:val="none" w:sz="0" w:space="0" w:color="auto"/>
            <w:bottom w:val="none" w:sz="0" w:space="0" w:color="auto"/>
            <w:right w:val="none" w:sz="0" w:space="0" w:color="auto"/>
          </w:divBdr>
          <w:divsChild>
            <w:div w:id="1555507644">
              <w:marLeft w:val="0"/>
              <w:marRight w:val="0"/>
              <w:marTop w:val="0"/>
              <w:marBottom w:val="0"/>
              <w:divBdr>
                <w:top w:val="none" w:sz="0" w:space="0" w:color="auto"/>
                <w:left w:val="none" w:sz="0" w:space="0" w:color="auto"/>
                <w:bottom w:val="none" w:sz="0" w:space="0" w:color="auto"/>
                <w:right w:val="none" w:sz="0" w:space="0" w:color="auto"/>
              </w:divBdr>
            </w:div>
          </w:divsChild>
        </w:div>
        <w:div w:id="610284040">
          <w:marLeft w:val="0"/>
          <w:marRight w:val="0"/>
          <w:marTop w:val="0"/>
          <w:marBottom w:val="0"/>
          <w:divBdr>
            <w:top w:val="none" w:sz="0" w:space="0" w:color="auto"/>
            <w:left w:val="none" w:sz="0" w:space="0" w:color="auto"/>
            <w:bottom w:val="none" w:sz="0" w:space="0" w:color="auto"/>
            <w:right w:val="none" w:sz="0" w:space="0" w:color="auto"/>
          </w:divBdr>
          <w:divsChild>
            <w:div w:id="2011441199">
              <w:marLeft w:val="0"/>
              <w:marRight w:val="0"/>
              <w:marTop w:val="0"/>
              <w:marBottom w:val="0"/>
              <w:divBdr>
                <w:top w:val="none" w:sz="0" w:space="0" w:color="auto"/>
                <w:left w:val="none" w:sz="0" w:space="0" w:color="auto"/>
                <w:bottom w:val="none" w:sz="0" w:space="0" w:color="auto"/>
                <w:right w:val="none" w:sz="0" w:space="0" w:color="auto"/>
              </w:divBdr>
            </w:div>
          </w:divsChild>
        </w:div>
        <w:div w:id="645011962">
          <w:marLeft w:val="0"/>
          <w:marRight w:val="0"/>
          <w:marTop w:val="0"/>
          <w:marBottom w:val="0"/>
          <w:divBdr>
            <w:top w:val="none" w:sz="0" w:space="0" w:color="auto"/>
            <w:left w:val="none" w:sz="0" w:space="0" w:color="auto"/>
            <w:bottom w:val="none" w:sz="0" w:space="0" w:color="auto"/>
            <w:right w:val="none" w:sz="0" w:space="0" w:color="auto"/>
          </w:divBdr>
          <w:divsChild>
            <w:div w:id="1475100724">
              <w:marLeft w:val="0"/>
              <w:marRight w:val="0"/>
              <w:marTop w:val="0"/>
              <w:marBottom w:val="0"/>
              <w:divBdr>
                <w:top w:val="none" w:sz="0" w:space="0" w:color="auto"/>
                <w:left w:val="none" w:sz="0" w:space="0" w:color="auto"/>
                <w:bottom w:val="none" w:sz="0" w:space="0" w:color="auto"/>
                <w:right w:val="none" w:sz="0" w:space="0" w:color="auto"/>
              </w:divBdr>
            </w:div>
          </w:divsChild>
        </w:div>
        <w:div w:id="650135575">
          <w:marLeft w:val="0"/>
          <w:marRight w:val="0"/>
          <w:marTop w:val="0"/>
          <w:marBottom w:val="0"/>
          <w:divBdr>
            <w:top w:val="none" w:sz="0" w:space="0" w:color="auto"/>
            <w:left w:val="none" w:sz="0" w:space="0" w:color="auto"/>
            <w:bottom w:val="none" w:sz="0" w:space="0" w:color="auto"/>
            <w:right w:val="none" w:sz="0" w:space="0" w:color="auto"/>
          </w:divBdr>
          <w:divsChild>
            <w:div w:id="1754739463">
              <w:marLeft w:val="0"/>
              <w:marRight w:val="0"/>
              <w:marTop w:val="0"/>
              <w:marBottom w:val="0"/>
              <w:divBdr>
                <w:top w:val="none" w:sz="0" w:space="0" w:color="auto"/>
                <w:left w:val="none" w:sz="0" w:space="0" w:color="auto"/>
                <w:bottom w:val="none" w:sz="0" w:space="0" w:color="auto"/>
                <w:right w:val="none" w:sz="0" w:space="0" w:color="auto"/>
              </w:divBdr>
            </w:div>
          </w:divsChild>
        </w:div>
        <w:div w:id="664405323">
          <w:marLeft w:val="0"/>
          <w:marRight w:val="0"/>
          <w:marTop w:val="0"/>
          <w:marBottom w:val="0"/>
          <w:divBdr>
            <w:top w:val="none" w:sz="0" w:space="0" w:color="auto"/>
            <w:left w:val="none" w:sz="0" w:space="0" w:color="auto"/>
            <w:bottom w:val="none" w:sz="0" w:space="0" w:color="auto"/>
            <w:right w:val="none" w:sz="0" w:space="0" w:color="auto"/>
          </w:divBdr>
          <w:divsChild>
            <w:div w:id="393433155">
              <w:marLeft w:val="0"/>
              <w:marRight w:val="0"/>
              <w:marTop w:val="0"/>
              <w:marBottom w:val="0"/>
              <w:divBdr>
                <w:top w:val="none" w:sz="0" w:space="0" w:color="auto"/>
                <w:left w:val="none" w:sz="0" w:space="0" w:color="auto"/>
                <w:bottom w:val="none" w:sz="0" w:space="0" w:color="auto"/>
                <w:right w:val="none" w:sz="0" w:space="0" w:color="auto"/>
              </w:divBdr>
            </w:div>
          </w:divsChild>
        </w:div>
        <w:div w:id="677777107">
          <w:marLeft w:val="0"/>
          <w:marRight w:val="0"/>
          <w:marTop w:val="0"/>
          <w:marBottom w:val="0"/>
          <w:divBdr>
            <w:top w:val="none" w:sz="0" w:space="0" w:color="auto"/>
            <w:left w:val="none" w:sz="0" w:space="0" w:color="auto"/>
            <w:bottom w:val="none" w:sz="0" w:space="0" w:color="auto"/>
            <w:right w:val="none" w:sz="0" w:space="0" w:color="auto"/>
          </w:divBdr>
          <w:divsChild>
            <w:div w:id="596333041">
              <w:marLeft w:val="0"/>
              <w:marRight w:val="0"/>
              <w:marTop w:val="0"/>
              <w:marBottom w:val="0"/>
              <w:divBdr>
                <w:top w:val="none" w:sz="0" w:space="0" w:color="auto"/>
                <w:left w:val="none" w:sz="0" w:space="0" w:color="auto"/>
                <w:bottom w:val="none" w:sz="0" w:space="0" w:color="auto"/>
                <w:right w:val="none" w:sz="0" w:space="0" w:color="auto"/>
              </w:divBdr>
            </w:div>
          </w:divsChild>
        </w:div>
        <w:div w:id="683634269">
          <w:marLeft w:val="0"/>
          <w:marRight w:val="0"/>
          <w:marTop w:val="0"/>
          <w:marBottom w:val="0"/>
          <w:divBdr>
            <w:top w:val="none" w:sz="0" w:space="0" w:color="auto"/>
            <w:left w:val="none" w:sz="0" w:space="0" w:color="auto"/>
            <w:bottom w:val="none" w:sz="0" w:space="0" w:color="auto"/>
            <w:right w:val="none" w:sz="0" w:space="0" w:color="auto"/>
          </w:divBdr>
          <w:divsChild>
            <w:div w:id="1811437201">
              <w:marLeft w:val="0"/>
              <w:marRight w:val="0"/>
              <w:marTop w:val="0"/>
              <w:marBottom w:val="0"/>
              <w:divBdr>
                <w:top w:val="none" w:sz="0" w:space="0" w:color="auto"/>
                <w:left w:val="none" w:sz="0" w:space="0" w:color="auto"/>
                <w:bottom w:val="none" w:sz="0" w:space="0" w:color="auto"/>
                <w:right w:val="none" w:sz="0" w:space="0" w:color="auto"/>
              </w:divBdr>
            </w:div>
          </w:divsChild>
        </w:div>
        <w:div w:id="683937483">
          <w:marLeft w:val="0"/>
          <w:marRight w:val="0"/>
          <w:marTop w:val="0"/>
          <w:marBottom w:val="0"/>
          <w:divBdr>
            <w:top w:val="none" w:sz="0" w:space="0" w:color="auto"/>
            <w:left w:val="none" w:sz="0" w:space="0" w:color="auto"/>
            <w:bottom w:val="none" w:sz="0" w:space="0" w:color="auto"/>
            <w:right w:val="none" w:sz="0" w:space="0" w:color="auto"/>
          </w:divBdr>
          <w:divsChild>
            <w:div w:id="783504985">
              <w:marLeft w:val="0"/>
              <w:marRight w:val="0"/>
              <w:marTop w:val="0"/>
              <w:marBottom w:val="0"/>
              <w:divBdr>
                <w:top w:val="none" w:sz="0" w:space="0" w:color="auto"/>
                <w:left w:val="none" w:sz="0" w:space="0" w:color="auto"/>
                <w:bottom w:val="none" w:sz="0" w:space="0" w:color="auto"/>
                <w:right w:val="none" w:sz="0" w:space="0" w:color="auto"/>
              </w:divBdr>
            </w:div>
          </w:divsChild>
        </w:div>
        <w:div w:id="685600498">
          <w:marLeft w:val="0"/>
          <w:marRight w:val="0"/>
          <w:marTop w:val="0"/>
          <w:marBottom w:val="0"/>
          <w:divBdr>
            <w:top w:val="none" w:sz="0" w:space="0" w:color="auto"/>
            <w:left w:val="none" w:sz="0" w:space="0" w:color="auto"/>
            <w:bottom w:val="none" w:sz="0" w:space="0" w:color="auto"/>
            <w:right w:val="none" w:sz="0" w:space="0" w:color="auto"/>
          </w:divBdr>
          <w:divsChild>
            <w:div w:id="2135710073">
              <w:marLeft w:val="0"/>
              <w:marRight w:val="0"/>
              <w:marTop w:val="0"/>
              <w:marBottom w:val="0"/>
              <w:divBdr>
                <w:top w:val="none" w:sz="0" w:space="0" w:color="auto"/>
                <w:left w:val="none" w:sz="0" w:space="0" w:color="auto"/>
                <w:bottom w:val="none" w:sz="0" w:space="0" w:color="auto"/>
                <w:right w:val="none" w:sz="0" w:space="0" w:color="auto"/>
              </w:divBdr>
            </w:div>
          </w:divsChild>
        </w:div>
        <w:div w:id="719936942">
          <w:marLeft w:val="0"/>
          <w:marRight w:val="0"/>
          <w:marTop w:val="0"/>
          <w:marBottom w:val="0"/>
          <w:divBdr>
            <w:top w:val="none" w:sz="0" w:space="0" w:color="auto"/>
            <w:left w:val="none" w:sz="0" w:space="0" w:color="auto"/>
            <w:bottom w:val="none" w:sz="0" w:space="0" w:color="auto"/>
            <w:right w:val="none" w:sz="0" w:space="0" w:color="auto"/>
          </w:divBdr>
          <w:divsChild>
            <w:div w:id="888765356">
              <w:marLeft w:val="0"/>
              <w:marRight w:val="0"/>
              <w:marTop w:val="0"/>
              <w:marBottom w:val="0"/>
              <w:divBdr>
                <w:top w:val="none" w:sz="0" w:space="0" w:color="auto"/>
                <w:left w:val="none" w:sz="0" w:space="0" w:color="auto"/>
                <w:bottom w:val="none" w:sz="0" w:space="0" w:color="auto"/>
                <w:right w:val="none" w:sz="0" w:space="0" w:color="auto"/>
              </w:divBdr>
            </w:div>
          </w:divsChild>
        </w:div>
        <w:div w:id="727460113">
          <w:marLeft w:val="0"/>
          <w:marRight w:val="0"/>
          <w:marTop w:val="0"/>
          <w:marBottom w:val="0"/>
          <w:divBdr>
            <w:top w:val="none" w:sz="0" w:space="0" w:color="auto"/>
            <w:left w:val="none" w:sz="0" w:space="0" w:color="auto"/>
            <w:bottom w:val="none" w:sz="0" w:space="0" w:color="auto"/>
            <w:right w:val="none" w:sz="0" w:space="0" w:color="auto"/>
          </w:divBdr>
          <w:divsChild>
            <w:div w:id="1658336347">
              <w:marLeft w:val="0"/>
              <w:marRight w:val="0"/>
              <w:marTop w:val="0"/>
              <w:marBottom w:val="0"/>
              <w:divBdr>
                <w:top w:val="none" w:sz="0" w:space="0" w:color="auto"/>
                <w:left w:val="none" w:sz="0" w:space="0" w:color="auto"/>
                <w:bottom w:val="none" w:sz="0" w:space="0" w:color="auto"/>
                <w:right w:val="none" w:sz="0" w:space="0" w:color="auto"/>
              </w:divBdr>
            </w:div>
          </w:divsChild>
        </w:div>
        <w:div w:id="736979251">
          <w:marLeft w:val="0"/>
          <w:marRight w:val="0"/>
          <w:marTop w:val="0"/>
          <w:marBottom w:val="0"/>
          <w:divBdr>
            <w:top w:val="none" w:sz="0" w:space="0" w:color="auto"/>
            <w:left w:val="none" w:sz="0" w:space="0" w:color="auto"/>
            <w:bottom w:val="none" w:sz="0" w:space="0" w:color="auto"/>
            <w:right w:val="none" w:sz="0" w:space="0" w:color="auto"/>
          </w:divBdr>
          <w:divsChild>
            <w:div w:id="1701009122">
              <w:marLeft w:val="0"/>
              <w:marRight w:val="0"/>
              <w:marTop w:val="0"/>
              <w:marBottom w:val="0"/>
              <w:divBdr>
                <w:top w:val="none" w:sz="0" w:space="0" w:color="auto"/>
                <w:left w:val="none" w:sz="0" w:space="0" w:color="auto"/>
                <w:bottom w:val="none" w:sz="0" w:space="0" w:color="auto"/>
                <w:right w:val="none" w:sz="0" w:space="0" w:color="auto"/>
              </w:divBdr>
            </w:div>
          </w:divsChild>
        </w:div>
        <w:div w:id="748578656">
          <w:marLeft w:val="0"/>
          <w:marRight w:val="0"/>
          <w:marTop w:val="0"/>
          <w:marBottom w:val="0"/>
          <w:divBdr>
            <w:top w:val="none" w:sz="0" w:space="0" w:color="auto"/>
            <w:left w:val="none" w:sz="0" w:space="0" w:color="auto"/>
            <w:bottom w:val="none" w:sz="0" w:space="0" w:color="auto"/>
            <w:right w:val="none" w:sz="0" w:space="0" w:color="auto"/>
          </w:divBdr>
          <w:divsChild>
            <w:div w:id="1280380520">
              <w:marLeft w:val="0"/>
              <w:marRight w:val="0"/>
              <w:marTop w:val="0"/>
              <w:marBottom w:val="0"/>
              <w:divBdr>
                <w:top w:val="none" w:sz="0" w:space="0" w:color="auto"/>
                <w:left w:val="none" w:sz="0" w:space="0" w:color="auto"/>
                <w:bottom w:val="none" w:sz="0" w:space="0" w:color="auto"/>
                <w:right w:val="none" w:sz="0" w:space="0" w:color="auto"/>
              </w:divBdr>
            </w:div>
          </w:divsChild>
        </w:div>
        <w:div w:id="778063614">
          <w:marLeft w:val="0"/>
          <w:marRight w:val="0"/>
          <w:marTop w:val="0"/>
          <w:marBottom w:val="0"/>
          <w:divBdr>
            <w:top w:val="none" w:sz="0" w:space="0" w:color="auto"/>
            <w:left w:val="none" w:sz="0" w:space="0" w:color="auto"/>
            <w:bottom w:val="none" w:sz="0" w:space="0" w:color="auto"/>
            <w:right w:val="none" w:sz="0" w:space="0" w:color="auto"/>
          </w:divBdr>
          <w:divsChild>
            <w:div w:id="764421884">
              <w:marLeft w:val="0"/>
              <w:marRight w:val="0"/>
              <w:marTop w:val="0"/>
              <w:marBottom w:val="0"/>
              <w:divBdr>
                <w:top w:val="none" w:sz="0" w:space="0" w:color="auto"/>
                <w:left w:val="none" w:sz="0" w:space="0" w:color="auto"/>
                <w:bottom w:val="none" w:sz="0" w:space="0" w:color="auto"/>
                <w:right w:val="none" w:sz="0" w:space="0" w:color="auto"/>
              </w:divBdr>
            </w:div>
          </w:divsChild>
        </w:div>
        <w:div w:id="804740508">
          <w:marLeft w:val="0"/>
          <w:marRight w:val="0"/>
          <w:marTop w:val="0"/>
          <w:marBottom w:val="0"/>
          <w:divBdr>
            <w:top w:val="none" w:sz="0" w:space="0" w:color="auto"/>
            <w:left w:val="none" w:sz="0" w:space="0" w:color="auto"/>
            <w:bottom w:val="none" w:sz="0" w:space="0" w:color="auto"/>
            <w:right w:val="none" w:sz="0" w:space="0" w:color="auto"/>
          </w:divBdr>
          <w:divsChild>
            <w:div w:id="1755004466">
              <w:marLeft w:val="0"/>
              <w:marRight w:val="0"/>
              <w:marTop w:val="0"/>
              <w:marBottom w:val="0"/>
              <w:divBdr>
                <w:top w:val="none" w:sz="0" w:space="0" w:color="auto"/>
                <w:left w:val="none" w:sz="0" w:space="0" w:color="auto"/>
                <w:bottom w:val="none" w:sz="0" w:space="0" w:color="auto"/>
                <w:right w:val="none" w:sz="0" w:space="0" w:color="auto"/>
              </w:divBdr>
            </w:div>
          </w:divsChild>
        </w:div>
        <w:div w:id="825710020">
          <w:marLeft w:val="0"/>
          <w:marRight w:val="0"/>
          <w:marTop w:val="0"/>
          <w:marBottom w:val="0"/>
          <w:divBdr>
            <w:top w:val="none" w:sz="0" w:space="0" w:color="auto"/>
            <w:left w:val="none" w:sz="0" w:space="0" w:color="auto"/>
            <w:bottom w:val="none" w:sz="0" w:space="0" w:color="auto"/>
            <w:right w:val="none" w:sz="0" w:space="0" w:color="auto"/>
          </w:divBdr>
          <w:divsChild>
            <w:div w:id="1246036409">
              <w:marLeft w:val="0"/>
              <w:marRight w:val="0"/>
              <w:marTop w:val="0"/>
              <w:marBottom w:val="0"/>
              <w:divBdr>
                <w:top w:val="none" w:sz="0" w:space="0" w:color="auto"/>
                <w:left w:val="none" w:sz="0" w:space="0" w:color="auto"/>
                <w:bottom w:val="none" w:sz="0" w:space="0" w:color="auto"/>
                <w:right w:val="none" w:sz="0" w:space="0" w:color="auto"/>
              </w:divBdr>
            </w:div>
          </w:divsChild>
        </w:div>
        <w:div w:id="827403586">
          <w:marLeft w:val="0"/>
          <w:marRight w:val="0"/>
          <w:marTop w:val="0"/>
          <w:marBottom w:val="0"/>
          <w:divBdr>
            <w:top w:val="none" w:sz="0" w:space="0" w:color="auto"/>
            <w:left w:val="none" w:sz="0" w:space="0" w:color="auto"/>
            <w:bottom w:val="none" w:sz="0" w:space="0" w:color="auto"/>
            <w:right w:val="none" w:sz="0" w:space="0" w:color="auto"/>
          </w:divBdr>
          <w:divsChild>
            <w:div w:id="1340155271">
              <w:marLeft w:val="0"/>
              <w:marRight w:val="0"/>
              <w:marTop w:val="0"/>
              <w:marBottom w:val="0"/>
              <w:divBdr>
                <w:top w:val="none" w:sz="0" w:space="0" w:color="auto"/>
                <w:left w:val="none" w:sz="0" w:space="0" w:color="auto"/>
                <w:bottom w:val="none" w:sz="0" w:space="0" w:color="auto"/>
                <w:right w:val="none" w:sz="0" w:space="0" w:color="auto"/>
              </w:divBdr>
            </w:div>
          </w:divsChild>
        </w:div>
        <w:div w:id="832645906">
          <w:marLeft w:val="0"/>
          <w:marRight w:val="0"/>
          <w:marTop w:val="0"/>
          <w:marBottom w:val="0"/>
          <w:divBdr>
            <w:top w:val="none" w:sz="0" w:space="0" w:color="auto"/>
            <w:left w:val="none" w:sz="0" w:space="0" w:color="auto"/>
            <w:bottom w:val="none" w:sz="0" w:space="0" w:color="auto"/>
            <w:right w:val="none" w:sz="0" w:space="0" w:color="auto"/>
          </w:divBdr>
          <w:divsChild>
            <w:div w:id="441807624">
              <w:marLeft w:val="0"/>
              <w:marRight w:val="0"/>
              <w:marTop w:val="0"/>
              <w:marBottom w:val="0"/>
              <w:divBdr>
                <w:top w:val="none" w:sz="0" w:space="0" w:color="auto"/>
                <w:left w:val="none" w:sz="0" w:space="0" w:color="auto"/>
                <w:bottom w:val="none" w:sz="0" w:space="0" w:color="auto"/>
                <w:right w:val="none" w:sz="0" w:space="0" w:color="auto"/>
              </w:divBdr>
            </w:div>
          </w:divsChild>
        </w:div>
        <w:div w:id="866260568">
          <w:marLeft w:val="0"/>
          <w:marRight w:val="0"/>
          <w:marTop w:val="0"/>
          <w:marBottom w:val="0"/>
          <w:divBdr>
            <w:top w:val="none" w:sz="0" w:space="0" w:color="auto"/>
            <w:left w:val="none" w:sz="0" w:space="0" w:color="auto"/>
            <w:bottom w:val="none" w:sz="0" w:space="0" w:color="auto"/>
            <w:right w:val="none" w:sz="0" w:space="0" w:color="auto"/>
          </w:divBdr>
          <w:divsChild>
            <w:div w:id="102845510">
              <w:marLeft w:val="0"/>
              <w:marRight w:val="0"/>
              <w:marTop w:val="0"/>
              <w:marBottom w:val="0"/>
              <w:divBdr>
                <w:top w:val="none" w:sz="0" w:space="0" w:color="auto"/>
                <w:left w:val="none" w:sz="0" w:space="0" w:color="auto"/>
                <w:bottom w:val="none" w:sz="0" w:space="0" w:color="auto"/>
                <w:right w:val="none" w:sz="0" w:space="0" w:color="auto"/>
              </w:divBdr>
            </w:div>
          </w:divsChild>
        </w:div>
        <w:div w:id="875003136">
          <w:marLeft w:val="0"/>
          <w:marRight w:val="0"/>
          <w:marTop w:val="0"/>
          <w:marBottom w:val="0"/>
          <w:divBdr>
            <w:top w:val="none" w:sz="0" w:space="0" w:color="auto"/>
            <w:left w:val="none" w:sz="0" w:space="0" w:color="auto"/>
            <w:bottom w:val="none" w:sz="0" w:space="0" w:color="auto"/>
            <w:right w:val="none" w:sz="0" w:space="0" w:color="auto"/>
          </w:divBdr>
          <w:divsChild>
            <w:div w:id="1110591081">
              <w:marLeft w:val="0"/>
              <w:marRight w:val="0"/>
              <w:marTop w:val="0"/>
              <w:marBottom w:val="0"/>
              <w:divBdr>
                <w:top w:val="none" w:sz="0" w:space="0" w:color="auto"/>
                <w:left w:val="none" w:sz="0" w:space="0" w:color="auto"/>
                <w:bottom w:val="none" w:sz="0" w:space="0" w:color="auto"/>
                <w:right w:val="none" w:sz="0" w:space="0" w:color="auto"/>
              </w:divBdr>
            </w:div>
          </w:divsChild>
        </w:div>
        <w:div w:id="877593317">
          <w:marLeft w:val="0"/>
          <w:marRight w:val="0"/>
          <w:marTop w:val="0"/>
          <w:marBottom w:val="0"/>
          <w:divBdr>
            <w:top w:val="none" w:sz="0" w:space="0" w:color="auto"/>
            <w:left w:val="none" w:sz="0" w:space="0" w:color="auto"/>
            <w:bottom w:val="none" w:sz="0" w:space="0" w:color="auto"/>
            <w:right w:val="none" w:sz="0" w:space="0" w:color="auto"/>
          </w:divBdr>
          <w:divsChild>
            <w:div w:id="869951183">
              <w:marLeft w:val="0"/>
              <w:marRight w:val="0"/>
              <w:marTop w:val="0"/>
              <w:marBottom w:val="0"/>
              <w:divBdr>
                <w:top w:val="none" w:sz="0" w:space="0" w:color="auto"/>
                <w:left w:val="none" w:sz="0" w:space="0" w:color="auto"/>
                <w:bottom w:val="none" w:sz="0" w:space="0" w:color="auto"/>
                <w:right w:val="none" w:sz="0" w:space="0" w:color="auto"/>
              </w:divBdr>
            </w:div>
          </w:divsChild>
        </w:div>
        <w:div w:id="882518898">
          <w:marLeft w:val="0"/>
          <w:marRight w:val="0"/>
          <w:marTop w:val="0"/>
          <w:marBottom w:val="0"/>
          <w:divBdr>
            <w:top w:val="none" w:sz="0" w:space="0" w:color="auto"/>
            <w:left w:val="none" w:sz="0" w:space="0" w:color="auto"/>
            <w:bottom w:val="none" w:sz="0" w:space="0" w:color="auto"/>
            <w:right w:val="none" w:sz="0" w:space="0" w:color="auto"/>
          </w:divBdr>
          <w:divsChild>
            <w:div w:id="1664167250">
              <w:marLeft w:val="0"/>
              <w:marRight w:val="0"/>
              <w:marTop w:val="0"/>
              <w:marBottom w:val="0"/>
              <w:divBdr>
                <w:top w:val="none" w:sz="0" w:space="0" w:color="auto"/>
                <w:left w:val="none" w:sz="0" w:space="0" w:color="auto"/>
                <w:bottom w:val="none" w:sz="0" w:space="0" w:color="auto"/>
                <w:right w:val="none" w:sz="0" w:space="0" w:color="auto"/>
              </w:divBdr>
            </w:div>
          </w:divsChild>
        </w:div>
        <w:div w:id="888423510">
          <w:marLeft w:val="0"/>
          <w:marRight w:val="0"/>
          <w:marTop w:val="0"/>
          <w:marBottom w:val="0"/>
          <w:divBdr>
            <w:top w:val="none" w:sz="0" w:space="0" w:color="auto"/>
            <w:left w:val="none" w:sz="0" w:space="0" w:color="auto"/>
            <w:bottom w:val="none" w:sz="0" w:space="0" w:color="auto"/>
            <w:right w:val="none" w:sz="0" w:space="0" w:color="auto"/>
          </w:divBdr>
          <w:divsChild>
            <w:div w:id="20906713">
              <w:marLeft w:val="0"/>
              <w:marRight w:val="0"/>
              <w:marTop w:val="0"/>
              <w:marBottom w:val="0"/>
              <w:divBdr>
                <w:top w:val="none" w:sz="0" w:space="0" w:color="auto"/>
                <w:left w:val="none" w:sz="0" w:space="0" w:color="auto"/>
                <w:bottom w:val="none" w:sz="0" w:space="0" w:color="auto"/>
                <w:right w:val="none" w:sz="0" w:space="0" w:color="auto"/>
              </w:divBdr>
            </w:div>
          </w:divsChild>
        </w:div>
        <w:div w:id="897204091">
          <w:marLeft w:val="0"/>
          <w:marRight w:val="0"/>
          <w:marTop w:val="0"/>
          <w:marBottom w:val="0"/>
          <w:divBdr>
            <w:top w:val="none" w:sz="0" w:space="0" w:color="auto"/>
            <w:left w:val="none" w:sz="0" w:space="0" w:color="auto"/>
            <w:bottom w:val="none" w:sz="0" w:space="0" w:color="auto"/>
            <w:right w:val="none" w:sz="0" w:space="0" w:color="auto"/>
          </w:divBdr>
          <w:divsChild>
            <w:div w:id="2061008129">
              <w:marLeft w:val="0"/>
              <w:marRight w:val="0"/>
              <w:marTop w:val="0"/>
              <w:marBottom w:val="0"/>
              <w:divBdr>
                <w:top w:val="none" w:sz="0" w:space="0" w:color="auto"/>
                <w:left w:val="none" w:sz="0" w:space="0" w:color="auto"/>
                <w:bottom w:val="none" w:sz="0" w:space="0" w:color="auto"/>
                <w:right w:val="none" w:sz="0" w:space="0" w:color="auto"/>
              </w:divBdr>
            </w:div>
          </w:divsChild>
        </w:div>
        <w:div w:id="911424314">
          <w:marLeft w:val="0"/>
          <w:marRight w:val="0"/>
          <w:marTop w:val="0"/>
          <w:marBottom w:val="0"/>
          <w:divBdr>
            <w:top w:val="none" w:sz="0" w:space="0" w:color="auto"/>
            <w:left w:val="none" w:sz="0" w:space="0" w:color="auto"/>
            <w:bottom w:val="none" w:sz="0" w:space="0" w:color="auto"/>
            <w:right w:val="none" w:sz="0" w:space="0" w:color="auto"/>
          </w:divBdr>
          <w:divsChild>
            <w:div w:id="1622766211">
              <w:marLeft w:val="0"/>
              <w:marRight w:val="0"/>
              <w:marTop w:val="0"/>
              <w:marBottom w:val="0"/>
              <w:divBdr>
                <w:top w:val="none" w:sz="0" w:space="0" w:color="auto"/>
                <w:left w:val="none" w:sz="0" w:space="0" w:color="auto"/>
                <w:bottom w:val="none" w:sz="0" w:space="0" w:color="auto"/>
                <w:right w:val="none" w:sz="0" w:space="0" w:color="auto"/>
              </w:divBdr>
            </w:div>
          </w:divsChild>
        </w:div>
        <w:div w:id="948975189">
          <w:marLeft w:val="0"/>
          <w:marRight w:val="0"/>
          <w:marTop w:val="0"/>
          <w:marBottom w:val="0"/>
          <w:divBdr>
            <w:top w:val="none" w:sz="0" w:space="0" w:color="auto"/>
            <w:left w:val="none" w:sz="0" w:space="0" w:color="auto"/>
            <w:bottom w:val="none" w:sz="0" w:space="0" w:color="auto"/>
            <w:right w:val="none" w:sz="0" w:space="0" w:color="auto"/>
          </w:divBdr>
          <w:divsChild>
            <w:div w:id="2019186195">
              <w:marLeft w:val="0"/>
              <w:marRight w:val="0"/>
              <w:marTop w:val="0"/>
              <w:marBottom w:val="0"/>
              <w:divBdr>
                <w:top w:val="none" w:sz="0" w:space="0" w:color="auto"/>
                <w:left w:val="none" w:sz="0" w:space="0" w:color="auto"/>
                <w:bottom w:val="none" w:sz="0" w:space="0" w:color="auto"/>
                <w:right w:val="none" w:sz="0" w:space="0" w:color="auto"/>
              </w:divBdr>
            </w:div>
          </w:divsChild>
        </w:div>
        <w:div w:id="950236647">
          <w:marLeft w:val="0"/>
          <w:marRight w:val="0"/>
          <w:marTop w:val="0"/>
          <w:marBottom w:val="0"/>
          <w:divBdr>
            <w:top w:val="none" w:sz="0" w:space="0" w:color="auto"/>
            <w:left w:val="none" w:sz="0" w:space="0" w:color="auto"/>
            <w:bottom w:val="none" w:sz="0" w:space="0" w:color="auto"/>
            <w:right w:val="none" w:sz="0" w:space="0" w:color="auto"/>
          </w:divBdr>
          <w:divsChild>
            <w:div w:id="1988440005">
              <w:marLeft w:val="0"/>
              <w:marRight w:val="0"/>
              <w:marTop w:val="0"/>
              <w:marBottom w:val="0"/>
              <w:divBdr>
                <w:top w:val="none" w:sz="0" w:space="0" w:color="auto"/>
                <w:left w:val="none" w:sz="0" w:space="0" w:color="auto"/>
                <w:bottom w:val="none" w:sz="0" w:space="0" w:color="auto"/>
                <w:right w:val="none" w:sz="0" w:space="0" w:color="auto"/>
              </w:divBdr>
            </w:div>
          </w:divsChild>
        </w:div>
        <w:div w:id="962030702">
          <w:marLeft w:val="0"/>
          <w:marRight w:val="0"/>
          <w:marTop w:val="0"/>
          <w:marBottom w:val="0"/>
          <w:divBdr>
            <w:top w:val="none" w:sz="0" w:space="0" w:color="auto"/>
            <w:left w:val="none" w:sz="0" w:space="0" w:color="auto"/>
            <w:bottom w:val="none" w:sz="0" w:space="0" w:color="auto"/>
            <w:right w:val="none" w:sz="0" w:space="0" w:color="auto"/>
          </w:divBdr>
          <w:divsChild>
            <w:div w:id="1999649791">
              <w:marLeft w:val="0"/>
              <w:marRight w:val="0"/>
              <w:marTop w:val="0"/>
              <w:marBottom w:val="0"/>
              <w:divBdr>
                <w:top w:val="none" w:sz="0" w:space="0" w:color="auto"/>
                <w:left w:val="none" w:sz="0" w:space="0" w:color="auto"/>
                <w:bottom w:val="none" w:sz="0" w:space="0" w:color="auto"/>
                <w:right w:val="none" w:sz="0" w:space="0" w:color="auto"/>
              </w:divBdr>
            </w:div>
          </w:divsChild>
        </w:div>
        <w:div w:id="972755809">
          <w:marLeft w:val="0"/>
          <w:marRight w:val="0"/>
          <w:marTop w:val="0"/>
          <w:marBottom w:val="0"/>
          <w:divBdr>
            <w:top w:val="none" w:sz="0" w:space="0" w:color="auto"/>
            <w:left w:val="none" w:sz="0" w:space="0" w:color="auto"/>
            <w:bottom w:val="none" w:sz="0" w:space="0" w:color="auto"/>
            <w:right w:val="none" w:sz="0" w:space="0" w:color="auto"/>
          </w:divBdr>
          <w:divsChild>
            <w:div w:id="1015500063">
              <w:marLeft w:val="0"/>
              <w:marRight w:val="0"/>
              <w:marTop w:val="0"/>
              <w:marBottom w:val="0"/>
              <w:divBdr>
                <w:top w:val="none" w:sz="0" w:space="0" w:color="auto"/>
                <w:left w:val="none" w:sz="0" w:space="0" w:color="auto"/>
                <w:bottom w:val="none" w:sz="0" w:space="0" w:color="auto"/>
                <w:right w:val="none" w:sz="0" w:space="0" w:color="auto"/>
              </w:divBdr>
            </w:div>
          </w:divsChild>
        </w:div>
        <w:div w:id="980580257">
          <w:marLeft w:val="0"/>
          <w:marRight w:val="0"/>
          <w:marTop w:val="0"/>
          <w:marBottom w:val="0"/>
          <w:divBdr>
            <w:top w:val="none" w:sz="0" w:space="0" w:color="auto"/>
            <w:left w:val="none" w:sz="0" w:space="0" w:color="auto"/>
            <w:bottom w:val="none" w:sz="0" w:space="0" w:color="auto"/>
            <w:right w:val="none" w:sz="0" w:space="0" w:color="auto"/>
          </w:divBdr>
          <w:divsChild>
            <w:div w:id="822698092">
              <w:marLeft w:val="0"/>
              <w:marRight w:val="0"/>
              <w:marTop w:val="0"/>
              <w:marBottom w:val="0"/>
              <w:divBdr>
                <w:top w:val="none" w:sz="0" w:space="0" w:color="auto"/>
                <w:left w:val="none" w:sz="0" w:space="0" w:color="auto"/>
                <w:bottom w:val="none" w:sz="0" w:space="0" w:color="auto"/>
                <w:right w:val="none" w:sz="0" w:space="0" w:color="auto"/>
              </w:divBdr>
            </w:div>
          </w:divsChild>
        </w:div>
        <w:div w:id="1003321013">
          <w:marLeft w:val="0"/>
          <w:marRight w:val="0"/>
          <w:marTop w:val="0"/>
          <w:marBottom w:val="0"/>
          <w:divBdr>
            <w:top w:val="none" w:sz="0" w:space="0" w:color="auto"/>
            <w:left w:val="none" w:sz="0" w:space="0" w:color="auto"/>
            <w:bottom w:val="none" w:sz="0" w:space="0" w:color="auto"/>
            <w:right w:val="none" w:sz="0" w:space="0" w:color="auto"/>
          </w:divBdr>
          <w:divsChild>
            <w:div w:id="721901856">
              <w:marLeft w:val="0"/>
              <w:marRight w:val="0"/>
              <w:marTop w:val="0"/>
              <w:marBottom w:val="0"/>
              <w:divBdr>
                <w:top w:val="none" w:sz="0" w:space="0" w:color="auto"/>
                <w:left w:val="none" w:sz="0" w:space="0" w:color="auto"/>
                <w:bottom w:val="none" w:sz="0" w:space="0" w:color="auto"/>
                <w:right w:val="none" w:sz="0" w:space="0" w:color="auto"/>
              </w:divBdr>
            </w:div>
          </w:divsChild>
        </w:div>
        <w:div w:id="1020160651">
          <w:marLeft w:val="0"/>
          <w:marRight w:val="0"/>
          <w:marTop w:val="0"/>
          <w:marBottom w:val="0"/>
          <w:divBdr>
            <w:top w:val="none" w:sz="0" w:space="0" w:color="auto"/>
            <w:left w:val="none" w:sz="0" w:space="0" w:color="auto"/>
            <w:bottom w:val="none" w:sz="0" w:space="0" w:color="auto"/>
            <w:right w:val="none" w:sz="0" w:space="0" w:color="auto"/>
          </w:divBdr>
          <w:divsChild>
            <w:div w:id="941691727">
              <w:marLeft w:val="0"/>
              <w:marRight w:val="0"/>
              <w:marTop w:val="0"/>
              <w:marBottom w:val="0"/>
              <w:divBdr>
                <w:top w:val="none" w:sz="0" w:space="0" w:color="auto"/>
                <w:left w:val="none" w:sz="0" w:space="0" w:color="auto"/>
                <w:bottom w:val="none" w:sz="0" w:space="0" w:color="auto"/>
                <w:right w:val="none" w:sz="0" w:space="0" w:color="auto"/>
              </w:divBdr>
            </w:div>
          </w:divsChild>
        </w:div>
        <w:div w:id="1022785993">
          <w:marLeft w:val="0"/>
          <w:marRight w:val="0"/>
          <w:marTop w:val="0"/>
          <w:marBottom w:val="0"/>
          <w:divBdr>
            <w:top w:val="none" w:sz="0" w:space="0" w:color="auto"/>
            <w:left w:val="none" w:sz="0" w:space="0" w:color="auto"/>
            <w:bottom w:val="none" w:sz="0" w:space="0" w:color="auto"/>
            <w:right w:val="none" w:sz="0" w:space="0" w:color="auto"/>
          </w:divBdr>
          <w:divsChild>
            <w:div w:id="753554633">
              <w:marLeft w:val="0"/>
              <w:marRight w:val="0"/>
              <w:marTop w:val="0"/>
              <w:marBottom w:val="0"/>
              <w:divBdr>
                <w:top w:val="none" w:sz="0" w:space="0" w:color="auto"/>
                <w:left w:val="none" w:sz="0" w:space="0" w:color="auto"/>
                <w:bottom w:val="none" w:sz="0" w:space="0" w:color="auto"/>
                <w:right w:val="none" w:sz="0" w:space="0" w:color="auto"/>
              </w:divBdr>
            </w:div>
          </w:divsChild>
        </w:div>
        <w:div w:id="1032877931">
          <w:marLeft w:val="0"/>
          <w:marRight w:val="0"/>
          <w:marTop w:val="0"/>
          <w:marBottom w:val="0"/>
          <w:divBdr>
            <w:top w:val="none" w:sz="0" w:space="0" w:color="auto"/>
            <w:left w:val="none" w:sz="0" w:space="0" w:color="auto"/>
            <w:bottom w:val="none" w:sz="0" w:space="0" w:color="auto"/>
            <w:right w:val="none" w:sz="0" w:space="0" w:color="auto"/>
          </w:divBdr>
          <w:divsChild>
            <w:div w:id="685905513">
              <w:marLeft w:val="0"/>
              <w:marRight w:val="0"/>
              <w:marTop w:val="0"/>
              <w:marBottom w:val="0"/>
              <w:divBdr>
                <w:top w:val="none" w:sz="0" w:space="0" w:color="auto"/>
                <w:left w:val="none" w:sz="0" w:space="0" w:color="auto"/>
                <w:bottom w:val="none" w:sz="0" w:space="0" w:color="auto"/>
                <w:right w:val="none" w:sz="0" w:space="0" w:color="auto"/>
              </w:divBdr>
            </w:div>
          </w:divsChild>
        </w:div>
        <w:div w:id="1080327756">
          <w:marLeft w:val="0"/>
          <w:marRight w:val="0"/>
          <w:marTop w:val="0"/>
          <w:marBottom w:val="0"/>
          <w:divBdr>
            <w:top w:val="none" w:sz="0" w:space="0" w:color="auto"/>
            <w:left w:val="none" w:sz="0" w:space="0" w:color="auto"/>
            <w:bottom w:val="none" w:sz="0" w:space="0" w:color="auto"/>
            <w:right w:val="none" w:sz="0" w:space="0" w:color="auto"/>
          </w:divBdr>
          <w:divsChild>
            <w:div w:id="425736174">
              <w:marLeft w:val="0"/>
              <w:marRight w:val="0"/>
              <w:marTop w:val="0"/>
              <w:marBottom w:val="0"/>
              <w:divBdr>
                <w:top w:val="none" w:sz="0" w:space="0" w:color="auto"/>
                <w:left w:val="none" w:sz="0" w:space="0" w:color="auto"/>
                <w:bottom w:val="none" w:sz="0" w:space="0" w:color="auto"/>
                <w:right w:val="none" w:sz="0" w:space="0" w:color="auto"/>
              </w:divBdr>
            </w:div>
          </w:divsChild>
        </w:div>
        <w:div w:id="1088116274">
          <w:marLeft w:val="0"/>
          <w:marRight w:val="0"/>
          <w:marTop w:val="0"/>
          <w:marBottom w:val="0"/>
          <w:divBdr>
            <w:top w:val="none" w:sz="0" w:space="0" w:color="auto"/>
            <w:left w:val="none" w:sz="0" w:space="0" w:color="auto"/>
            <w:bottom w:val="none" w:sz="0" w:space="0" w:color="auto"/>
            <w:right w:val="none" w:sz="0" w:space="0" w:color="auto"/>
          </w:divBdr>
          <w:divsChild>
            <w:div w:id="1261061270">
              <w:marLeft w:val="0"/>
              <w:marRight w:val="0"/>
              <w:marTop w:val="0"/>
              <w:marBottom w:val="0"/>
              <w:divBdr>
                <w:top w:val="none" w:sz="0" w:space="0" w:color="auto"/>
                <w:left w:val="none" w:sz="0" w:space="0" w:color="auto"/>
                <w:bottom w:val="none" w:sz="0" w:space="0" w:color="auto"/>
                <w:right w:val="none" w:sz="0" w:space="0" w:color="auto"/>
              </w:divBdr>
            </w:div>
          </w:divsChild>
        </w:div>
        <w:div w:id="1102845756">
          <w:marLeft w:val="0"/>
          <w:marRight w:val="0"/>
          <w:marTop w:val="0"/>
          <w:marBottom w:val="0"/>
          <w:divBdr>
            <w:top w:val="none" w:sz="0" w:space="0" w:color="auto"/>
            <w:left w:val="none" w:sz="0" w:space="0" w:color="auto"/>
            <w:bottom w:val="none" w:sz="0" w:space="0" w:color="auto"/>
            <w:right w:val="none" w:sz="0" w:space="0" w:color="auto"/>
          </w:divBdr>
          <w:divsChild>
            <w:div w:id="134101294">
              <w:marLeft w:val="0"/>
              <w:marRight w:val="0"/>
              <w:marTop w:val="0"/>
              <w:marBottom w:val="0"/>
              <w:divBdr>
                <w:top w:val="none" w:sz="0" w:space="0" w:color="auto"/>
                <w:left w:val="none" w:sz="0" w:space="0" w:color="auto"/>
                <w:bottom w:val="none" w:sz="0" w:space="0" w:color="auto"/>
                <w:right w:val="none" w:sz="0" w:space="0" w:color="auto"/>
              </w:divBdr>
            </w:div>
          </w:divsChild>
        </w:div>
        <w:div w:id="1117024927">
          <w:marLeft w:val="0"/>
          <w:marRight w:val="0"/>
          <w:marTop w:val="0"/>
          <w:marBottom w:val="0"/>
          <w:divBdr>
            <w:top w:val="none" w:sz="0" w:space="0" w:color="auto"/>
            <w:left w:val="none" w:sz="0" w:space="0" w:color="auto"/>
            <w:bottom w:val="none" w:sz="0" w:space="0" w:color="auto"/>
            <w:right w:val="none" w:sz="0" w:space="0" w:color="auto"/>
          </w:divBdr>
          <w:divsChild>
            <w:div w:id="2032148440">
              <w:marLeft w:val="0"/>
              <w:marRight w:val="0"/>
              <w:marTop w:val="0"/>
              <w:marBottom w:val="0"/>
              <w:divBdr>
                <w:top w:val="none" w:sz="0" w:space="0" w:color="auto"/>
                <w:left w:val="none" w:sz="0" w:space="0" w:color="auto"/>
                <w:bottom w:val="none" w:sz="0" w:space="0" w:color="auto"/>
                <w:right w:val="none" w:sz="0" w:space="0" w:color="auto"/>
              </w:divBdr>
            </w:div>
          </w:divsChild>
        </w:div>
        <w:div w:id="1119492185">
          <w:marLeft w:val="0"/>
          <w:marRight w:val="0"/>
          <w:marTop w:val="0"/>
          <w:marBottom w:val="0"/>
          <w:divBdr>
            <w:top w:val="none" w:sz="0" w:space="0" w:color="auto"/>
            <w:left w:val="none" w:sz="0" w:space="0" w:color="auto"/>
            <w:bottom w:val="none" w:sz="0" w:space="0" w:color="auto"/>
            <w:right w:val="none" w:sz="0" w:space="0" w:color="auto"/>
          </w:divBdr>
          <w:divsChild>
            <w:div w:id="1798723298">
              <w:marLeft w:val="0"/>
              <w:marRight w:val="0"/>
              <w:marTop w:val="0"/>
              <w:marBottom w:val="0"/>
              <w:divBdr>
                <w:top w:val="none" w:sz="0" w:space="0" w:color="auto"/>
                <w:left w:val="none" w:sz="0" w:space="0" w:color="auto"/>
                <w:bottom w:val="none" w:sz="0" w:space="0" w:color="auto"/>
                <w:right w:val="none" w:sz="0" w:space="0" w:color="auto"/>
              </w:divBdr>
            </w:div>
          </w:divsChild>
        </w:div>
        <w:div w:id="1137065542">
          <w:marLeft w:val="0"/>
          <w:marRight w:val="0"/>
          <w:marTop w:val="0"/>
          <w:marBottom w:val="0"/>
          <w:divBdr>
            <w:top w:val="none" w:sz="0" w:space="0" w:color="auto"/>
            <w:left w:val="none" w:sz="0" w:space="0" w:color="auto"/>
            <w:bottom w:val="none" w:sz="0" w:space="0" w:color="auto"/>
            <w:right w:val="none" w:sz="0" w:space="0" w:color="auto"/>
          </w:divBdr>
          <w:divsChild>
            <w:div w:id="342099333">
              <w:marLeft w:val="0"/>
              <w:marRight w:val="0"/>
              <w:marTop w:val="0"/>
              <w:marBottom w:val="0"/>
              <w:divBdr>
                <w:top w:val="none" w:sz="0" w:space="0" w:color="auto"/>
                <w:left w:val="none" w:sz="0" w:space="0" w:color="auto"/>
                <w:bottom w:val="none" w:sz="0" w:space="0" w:color="auto"/>
                <w:right w:val="none" w:sz="0" w:space="0" w:color="auto"/>
              </w:divBdr>
            </w:div>
          </w:divsChild>
        </w:div>
        <w:div w:id="1137382163">
          <w:marLeft w:val="0"/>
          <w:marRight w:val="0"/>
          <w:marTop w:val="0"/>
          <w:marBottom w:val="0"/>
          <w:divBdr>
            <w:top w:val="none" w:sz="0" w:space="0" w:color="auto"/>
            <w:left w:val="none" w:sz="0" w:space="0" w:color="auto"/>
            <w:bottom w:val="none" w:sz="0" w:space="0" w:color="auto"/>
            <w:right w:val="none" w:sz="0" w:space="0" w:color="auto"/>
          </w:divBdr>
          <w:divsChild>
            <w:div w:id="1276215053">
              <w:marLeft w:val="0"/>
              <w:marRight w:val="0"/>
              <w:marTop w:val="0"/>
              <w:marBottom w:val="0"/>
              <w:divBdr>
                <w:top w:val="none" w:sz="0" w:space="0" w:color="auto"/>
                <w:left w:val="none" w:sz="0" w:space="0" w:color="auto"/>
                <w:bottom w:val="none" w:sz="0" w:space="0" w:color="auto"/>
                <w:right w:val="none" w:sz="0" w:space="0" w:color="auto"/>
              </w:divBdr>
            </w:div>
          </w:divsChild>
        </w:div>
        <w:div w:id="1150092697">
          <w:marLeft w:val="0"/>
          <w:marRight w:val="0"/>
          <w:marTop w:val="0"/>
          <w:marBottom w:val="0"/>
          <w:divBdr>
            <w:top w:val="none" w:sz="0" w:space="0" w:color="auto"/>
            <w:left w:val="none" w:sz="0" w:space="0" w:color="auto"/>
            <w:bottom w:val="none" w:sz="0" w:space="0" w:color="auto"/>
            <w:right w:val="none" w:sz="0" w:space="0" w:color="auto"/>
          </w:divBdr>
          <w:divsChild>
            <w:div w:id="1052457843">
              <w:marLeft w:val="0"/>
              <w:marRight w:val="0"/>
              <w:marTop w:val="0"/>
              <w:marBottom w:val="0"/>
              <w:divBdr>
                <w:top w:val="none" w:sz="0" w:space="0" w:color="auto"/>
                <w:left w:val="none" w:sz="0" w:space="0" w:color="auto"/>
                <w:bottom w:val="none" w:sz="0" w:space="0" w:color="auto"/>
                <w:right w:val="none" w:sz="0" w:space="0" w:color="auto"/>
              </w:divBdr>
            </w:div>
          </w:divsChild>
        </w:div>
        <w:div w:id="1171143245">
          <w:marLeft w:val="0"/>
          <w:marRight w:val="0"/>
          <w:marTop w:val="0"/>
          <w:marBottom w:val="0"/>
          <w:divBdr>
            <w:top w:val="none" w:sz="0" w:space="0" w:color="auto"/>
            <w:left w:val="none" w:sz="0" w:space="0" w:color="auto"/>
            <w:bottom w:val="none" w:sz="0" w:space="0" w:color="auto"/>
            <w:right w:val="none" w:sz="0" w:space="0" w:color="auto"/>
          </w:divBdr>
          <w:divsChild>
            <w:div w:id="306782676">
              <w:marLeft w:val="0"/>
              <w:marRight w:val="0"/>
              <w:marTop w:val="0"/>
              <w:marBottom w:val="0"/>
              <w:divBdr>
                <w:top w:val="none" w:sz="0" w:space="0" w:color="auto"/>
                <w:left w:val="none" w:sz="0" w:space="0" w:color="auto"/>
                <w:bottom w:val="none" w:sz="0" w:space="0" w:color="auto"/>
                <w:right w:val="none" w:sz="0" w:space="0" w:color="auto"/>
              </w:divBdr>
            </w:div>
          </w:divsChild>
        </w:div>
        <w:div w:id="1173956958">
          <w:marLeft w:val="0"/>
          <w:marRight w:val="0"/>
          <w:marTop w:val="0"/>
          <w:marBottom w:val="0"/>
          <w:divBdr>
            <w:top w:val="none" w:sz="0" w:space="0" w:color="auto"/>
            <w:left w:val="none" w:sz="0" w:space="0" w:color="auto"/>
            <w:bottom w:val="none" w:sz="0" w:space="0" w:color="auto"/>
            <w:right w:val="none" w:sz="0" w:space="0" w:color="auto"/>
          </w:divBdr>
          <w:divsChild>
            <w:div w:id="503280520">
              <w:marLeft w:val="0"/>
              <w:marRight w:val="0"/>
              <w:marTop w:val="0"/>
              <w:marBottom w:val="0"/>
              <w:divBdr>
                <w:top w:val="none" w:sz="0" w:space="0" w:color="auto"/>
                <w:left w:val="none" w:sz="0" w:space="0" w:color="auto"/>
                <w:bottom w:val="none" w:sz="0" w:space="0" w:color="auto"/>
                <w:right w:val="none" w:sz="0" w:space="0" w:color="auto"/>
              </w:divBdr>
            </w:div>
          </w:divsChild>
        </w:div>
        <w:div w:id="1174108858">
          <w:marLeft w:val="0"/>
          <w:marRight w:val="0"/>
          <w:marTop w:val="0"/>
          <w:marBottom w:val="0"/>
          <w:divBdr>
            <w:top w:val="none" w:sz="0" w:space="0" w:color="auto"/>
            <w:left w:val="none" w:sz="0" w:space="0" w:color="auto"/>
            <w:bottom w:val="none" w:sz="0" w:space="0" w:color="auto"/>
            <w:right w:val="none" w:sz="0" w:space="0" w:color="auto"/>
          </w:divBdr>
          <w:divsChild>
            <w:div w:id="287012007">
              <w:marLeft w:val="0"/>
              <w:marRight w:val="0"/>
              <w:marTop w:val="0"/>
              <w:marBottom w:val="0"/>
              <w:divBdr>
                <w:top w:val="none" w:sz="0" w:space="0" w:color="auto"/>
                <w:left w:val="none" w:sz="0" w:space="0" w:color="auto"/>
                <w:bottom w:val="none" w:sz="0" w:space="0" w:color="auto"/>
                <w:right w:val="none" w:sz="0" w:space="0" w:color="auto"/>
              </w:divBdr>
            </w:div>
          </w:divsChild>
        </w:div>
        <w:div w:id="1184513492">
          <w:marLeft w:val="0"/>
          <w:marRight w:val="0"/>
          <w:marTop w:val="0"/>
          <w:marBottom w:val="0"/>
          <w:divBdr>
            <w:top w:val="none" w:sz="0" w:space="0" w:color="auto"/>
            <w:left w:val="none" w:sz="0" w:space="0" w:color="auto"/>
            <w:bottom w:val="none" w:sz="0" w:space="0" w:color="auto"/>
            <w:right w:val="none" w:sz="0" w:space="0" w:color="auto"/>
          </w:divBdr>
          <w:divsChild>
            <w:div w:id="1976640960">
              <w:marLeft w:val="0"/>
              <w:marRight w:val="0"/>
              <w:marTop w:val="0"/>
              <w:marBottom w:val="0"/>
              <w:divBdr>
                <w:top w:val="none" w:sz="0" w:space="0" w:color="auto"/>
                <w:left w:val="none" w:sz="0" w:space="0" w:color="auto"/>
                <w:bottom w:val="none" w:sz="0" w:space="0" w:color="auto"/>
                <w:right w:val="none" w:sz="0" w:space="0" w:color="auto"/>
              </w:divBdr>
            </w:div>
          </w:divsChild>
        </w:div>
        <w:div w:id="1200822740">
          <w:marLeft w:val="0"/>
          <w:marRight w:val="0"/>
          <w:marTop w:val="0"/>
          <w:marBottom w:val="0"/>
          <w:divBdr>
            <w:top w:val="none" w:sz="0" w:space="0" w:color="auto"/>
            <w:left w:val="none" w:sz="0" w:space="0" w:color="auto"/>
            <w:bottom w:val="none" w:sz="0" w:space="0" w:color="auto"/>
            <w:right w:val="none" w:sz="0" w:space="0" w:color="auto"/>
          </w:divBdr>
          <w:divsChild>
            <w:div w:id="485828779">
              <w:marLeft w:val="0"/>
              <w:marRight w:val="0"/>
              <w:marTop w:val="0"/>
              <w:marBottom w:val="0"/>
              <w:divBdr>
                <w:top w:val="none" w:sz="0" w:space="0" w:color="auto"/>
                <w:left w:val="none" w:sz="0" w:space="0" w:color="auto"/>
                <w:bottom w:val="none" w:sz="0" w:space="0" w:color="auto"/>
                <w:right w:val="none" w:sz="0" w:space="0" w:color="auto"/>
              </w:divBdr>
            </w:div>
          </w:divsChild>
        </w:div>
        <w:div w:id="1215235445">
          <w:marLeft w:val="0"/>
          <w:marRight w:val="0"/>
          <w:marTop w:val="0"/>
          <w:marBottom w:val="0"/>
          <w:divBdr>
            <w:top w:val="none" w:sz="0" w:space="0" w:color="auto"/>
            <w:left w:val="none" w:sz="0" w:space="0" w:color="auto"/>
            <w:bottom w:val="none" w:sz="0" w:space="0" w:color="auto"/>
            <w:right w:val="none" w:sz="0" w:space="0" w:color="auto"/>
          </w:divBdr>
          <w:divsChild>
            <w:div w:id="165945805">
              <w:marLeft w:val="0"/>
              <w:marRight w:val="0"/>
              <w:marTop w:val="0"/>
              <w:marBottom w:val="0"/>
              <w:divBdr>
                <w:top w:val="none" w:sz="0" w:space="0" w:color="auto"/>
                <w:left w:val="none" w:sz="0" w:space="0" w:color="auto"/>
                <w:bottom w:val="none" w:sz="0" w:space="0" w:color="auto"/>
                <w:right w:val="none" w:sz="0" w:space="0" w:color="auto"/>
              </w:divBdr>
            </w:div>
          </w:divsChild>
        </w:div>
        <w:div w:id="1222253157">
          <w:marLeft w:val="0"/>
          <w:marRight w:val="0"/>
          <w:marTop w:val="0"/>
          <w:marBottom w:val="0"/>
          <w:divBdr>
            <w:top w:val="none" w:sz="0" w:space="0" w:color="auto"/>
            <w:left w:val="none" w:sz="0" w:space="0" w:color="auto"/>
            <w:bottom w:val="none" w:sz="0" w:space="0" w:color="auto"/>
            <w:right w:val="none" w:sz="0" w:space="0" w:color="auto"/>
          </w:divBdr>
          <w:divsChild>
            <w:div w:id="1827740906">
              <w:marLeft w:val="0"/>
              <w:marRight w:val="0"/>
              <w:marTop w:val="0"/>
              <w:marBottom w:val="0"/>
              <w:divBdr>
                <w:top w:val="none" w:sz="0" w:space="0" w:color="auto"/>
                <w:left w:val="none" w:sz="0" w:space="0" w:color="auto"/>
                <w:bottom w:val="none" w:sz="0" w:space="0" w:color="auto"/>
                <w:right w:val="none" w:sz="0" w:space="0" w:color="auto"/>
              </w:divBdr>
            </w:div>
          </w:divsChild>
        </w:div>
        <w:div w:id="1227031484">
          <w:marLeft w:val="0"/>
          <w:marRight w:val="0"/>
          <w:marTop w:val="0"/>
          <w:marBottom w:val="0"/>
          <w:divBdr>
            <w:top w:val="none" w:sz="0" w:space="0" w:color="auto"/>
            <w:left w:val="none" w:sz="0" w:space="0" w:color="auto"/>
            <w:bottom w:val="none" w:sz="0" w:space="0" w:color="auto"/>
            <w:right w:val="none" w:sz="0" w:space="0" w:color="auto"/>
          </w:divBdr>
          <w:divsChild>
            <w:div w:id="1808814278">
              <w:marLeft w:val="0"/>
              <w:marRight w:val="0"/>
              <w:marTop w:val="0"/>
              <w:marBottom w:val="0"/>
              <w:divBdr>
                <w:top w:val="none" w:sz="0" w:space="0" w:color="auto"/>
                <w:left w:val="none" w:sz="0" w:space="0" w:color="auto"/>
                <w:bottom w:val="none" w:sz="0" w:space="0" w:color="auto"/>
                <w:right w:val="none" w:sz="0" w:space="0" w:color="auto"/>
              </w:divBdr>
            </w:div>
          </w:divsChild>
        </w:div>
        <w:div w:id="1255936667">
          <w:marLeft w:val="0"/>
          <w:marRight w:val="0"/>
          <w:marTop w:val="0"/>
          <w:marBottom w:val="0"/>
          <w:divBdr>
            <w:top w:val="none" w:sz="0" w:space="0" w:color="auto"/>
            <w:left w:val="none" w:sz="0" w:space="0" w:color="auto"/>
            <w:bottom w:val="none" w:sz="0" w:space="0" w:color="auto"/>
            <w:right w:val="none" w:sz="0" w:space="0" w:color="auto"/>
          </w:divBdr>
          <w:divsChild>
            <w:div w:id="857937310">
              <w:marLeft w:val="0"/>
              <w:marRight w:val="0"/>
              <w:marTop w:val="0"/>
              <w:marBottom w:val="0"/>
              <w:divBdr>
                <w:top w:val="none" w:sz="0" w:space="0" w:color="auto"/>
                <w:left w:val="none" w:sz="0" w:space="0" w:color="auto"/>
                <w:bottom w:val="none" w:sz="0" w:space="0" w:color="auto"/>
                <w:right w:val="none" w:sz="0" w:space="0" w:color="auto"/>
              </w:divBdr>
            </w:div>
          </w:divsChild>
        </w:div>
        <w:div w:id="1257716795">
          <w:marLeft w:val="0"/>
          <w:marRight w:val="0"/>
          <w:marTop w:val="0"/>
          <w:marBottom w:val="0"/>
          <w:divBdr>
            <w:top w:val="none" w:sz="0" w:space="0" w:color="auto"/>
            <w:left w:val="none" w:sz="0" w:space="0" w:color="auto"/>
            <w:bottom w:val="none" w:sz="0" w:space="0" w:color="auto"/>
            <w:right w:val="none" w:sz="0" w:space="0" w:color="auto"/>
          </w:divBdr>
          <w:divsChild>
            <w:div w:id="1565482112">
              <w:marLeft w:val="0"/>
              <w:marRight w:val="0"/>
              <w:marTop w:val="0"/>
              <w:marBottom w:val="0"/>
              <w:divBdr>
                <w:top w:val="none" w:sz="0" w:space="0" w:color="auto"/>
                <w:left w:val="none" w:sz="0" w:space="0" w:color="auto"/>
                <w:bottom w:val="none" w:sz="0" w:space="0" w:color="auto"/>
                <w:right w:val="none" w:sz="0" w:space="0" w:color="auto"/>
              </w:divBdr>
            </w:div>
          </w:divsChild>
        </w:div>
        <w:div w:id="1260482028">
          <w:marLeft w:val="0"/>
          <w:marRight w:val="0"/>
          <w:marTop w:val="0"/>
          <w:marBottom w:val="0"/>
          <w:divBdr>
            <w:top w:val="none" w:sz="0" w:space="0" w:color="auto"/>
            <w:left w:val="none" w:sz="0" w:space="0" w:color="auto"/>
            <w:bottom w:val="none" w:sz="0" w:space="0" w:color="auto"/>
            <w:right w:val="none" w:sz="0" w:space="0" w:color="auto"/>
          </w:divBdr>
          <w:divsChild>
            <w:div w:id="778767386">
              <w:marLeft w:val="0"/>
              <w:marRight w:val="0"/>
              <w:marTop w:val="0"/>
              <w:marBottom w:val="0"/>
              <w:divBdr>
                <w:top w:val="none" w:sz="0" w:space="0" w:color="auto"/>
                <w:left w:val="none" w:sz="0" w:space="0" w:color="auto"/>
                <w:bottom w:val="none" w:sz="0" w:space="0" w:color="auto"/>
                <w:right w:val="none" w:sz="0" w:space="0" w:color="auto"/>
              </w:divBdr>
            </w:div>
          </w:divsChild>
        </w:div>
        <w:div w:id="1283196973">
          <w:marLeft w:val="0"/>
          <w:marRight w:val="0"/>
          <w:marTop w:val="0"/>
          <w:marBottom w:val="0"/>
          <w:divBdr>
            <w:top w:val="none" w:sz="0" w:space="0" w:color="auto"/>
            <w:left w:val="none" w:sz="0" w:space="0" w:color="auto"/>
            <w:bottom w:val="none" w:sz="0" w:space="0" w:color="auto"/>
            <w:right w:val="none" w:sz="0" w:space="0" w:color="auto"/>
          </w:divBdr>
          <w:divsChild>
            <w:div w:id="763379021">
              <w:marLeft w:val="0"/>
              <w:marRight w:val="0"/>
              <w:marTop w:val="0"/>
              <w:marBottom w:val="0"/>
              <w:divBdr>
                <w:top w:val="none" w:sz="0" w:space="0" w:color="auto"/>
                <w:left w:val="none" w:sz="0" w:space="0" w:color="auto"/>
                <w:bottom w:val="none" w:sz="0" w:space="0" w:color="auto"/>
                <w:right w:val="none" w:sz="0" w:space="0" w:color="auto"/>
              </w:divBdr>
            </w:div>
          </w:divsChild>
        </w:div>
        <w:div w:id="1302805257">
          <w:marLeft w:val="0"/>
          <w:marRight w:val="0"/>
          <w:marTop w:val="0"/>
          <w:marBottom w:val="0"/>
          <w:divBdr>
            <w:top w:val="none" w:sz="0" w:space="0" w:color="auto"/>
            <w:left w:val="none" w:sz="0" w:space="0" w:color="auto"/>
            <w:bottom w:val="none" w:sz="0" w:space="0" w:color="auto"/>
            <w:right w:val="none" w:sz="0" w:space="0" w:color="auto"/>
          </w:divBdr>
          <w:divsChild>
            <w:div w:id="112359988">
              <w:marLeft w:val="0"/>
              <w:marRight w:val="0"/>
              <w:marTop w:val="0"/>
              <w:marBottom w:val="0"/>
              <w:divBdr>
                <w:top w:val="none" w:sz="0" w:space="0" w:color="auto"/>
                <w:left w:val="none" w:sz="0" w:space="0" w:color="auto"/>
                <w:bottom w:val="none" w:sz="0" w:space="0" w:color="auto"/>
                <w:right w:val="none" w:sz="0" w:space="0" w:color="auto"/>
              </w:divBdr>
            </w:div>
          </w:divsChild>
        </w:div>
        <w:div w:id="1314867227">
          <w:marLeft w:val="0"/>
          <w:marRight w:val="0"/>
          <w:marTop w:val="0"/>
          <w:marBottom w:val="0"/>
          <w:divBdr>
            <w:top w:val="none" w:sz="0" w:space="0" w:color="auto"/>
            <w:left w:val="none" w:sz="0" w:space="0" w:color="auto"/>
            <w:bottom w:val="none" w:sz="0" w:space="0" w:color="auto"/>
            <w:right w:val="none" w:sz="0" w:space="0" w:color="auto"/>
          </w:divBdr>
          <w:divsChild>
            <w:div w:id="2123572439">
              <w:marLeft w:val="0"/>
              <w:marRight w:val="0"/>
              <w:marTop w:val="0"/>
              <w:marBottom w:val="0"/>
              <w:divBdr>
                <w:top w:val="none" w:sz="0" w:space="0" w:color="auto"/>
                <w:left w:val="none" w:sz="0" w:space="0" w:color="auto"/>
                <w:bottom w:val="none" w:sz="0" w:space="0" w:color="auto"/>
                <w:right w:val="none" w:sz="0" w:space="0" w:color="auto"/>
              </w:divBdr>
            </w:div>
          </w:divsChild>
        </w:div>
        <w:div w:id="1323267143">
          <w:marLeft w:val="0"/>
          <w:marRight w:val="0"/>
          <w:marTop w:val="0"/>
          <w:marBottom w:val="0"/>
          <w:divBdr>
            <w:top w:val="none" w:sz="0" w:space="0" w:color="auto"/>
            <w:left w:val="none" w:sz="0" w:space="0" w:color="auto"/>
            <w:bottom w:val="none" w:sz="0" w:space="0" w:color="auto"/>
            <w:right w:val="none" w:sz="0" w:space="0" w:color="auto"/>
          </w:divBdr>
          <w:divsChild>
            <w:div w:id="2073190489">
              <w:marLeft w:val="0"/>
              <w:marRight w:val="0"/>
              <w:marTop w:val="0"/>
              <w:marBottom w:val="0"/>
              <w:divBdr>
                <w:top w:val="none" w:sz="0" w:space="0" w:color="auto"/>
                <w:left w:val="none" w:sz="0" w:space="0" w:color="auto"/>
                <w:bottom w:val="none" w:sz="0" w:space="0" w:color="auto"/>
                <w:right w:val="none" w:sz="0" w:space="0" w:color="auto"/>
              </w:divBdr>
            </w:div>
          </w:divsChild>
        </w:div>
        <w:div w:id="1325821621">
          <w:marLeft w:val="0"/>
          <w:marRight w:val="0"/>
          <w:marTop w:val="0"/>
          <w:marBottom w:val="0"/>
          <w:divBdr>
            <w:top w:val="none" w:sz="0" w:space="0" w:color="auto"/>
            <w:left w:val="none" w:sz="0" w:space="0" w:color="auto"/>
            <w:bottom w:val="none" w:sz="0" w:space="0" w:color="auto"/>
            <w:right w:val="none" w:sz="0" w:space="0" w:color="auto"/>
          </w:divBdr>
          <w:divsChild>
            <w:div w:id="591671138">
              <w:marLeft w:val="0"/>
              <w:marRight w:val="0"/>
              <w:marTop w:val="0"/>
              <w:marBottom w:val="0"/>
              <w:divBdr>
                <w:top w:val="none" w:sz="0" w:space="0" w:color="auto"/>
                <w:left w:val="none" w:sz="0" w:space="0" w:color="auto"/>
                <w:bottom w:val="none" w:sz="0" w:space="0" w:color="auto"/>
                <w:right w:val="none" w:sz="0" w:space="0" w:color="auto"/>
              </w:divBdr>
            </w:div>
          </w:divsChild>
        </w:div>
        <w:div w:id="1332636142">
          <w:marLeft w:val="0"/>
          <w:marRight w:val="0"/>
          <w:marTop w:val="0"/>
          <w:marBottom w:val="0"/>
          <w:divBdr>
            <w:top w:val="none" w:sz="0" w:space="0" w:color="auto"/>
            <w:left w:val="none" w:sz="0" w:space="0" w:color="auto"/>
            <w:bottom w:val="none" w:sz="0" w:space="0" w:color="auto"/>
            <w:right w:val="none" w:sz="0" w:space="0" w:color="auto"/>
          </w:divBdr>
          <w:divsChild>
            <w:div w:id="1161314861">
              <w:marLeft w:val="0"/>
              <w:marRight w:val="0"/>
              <w:marTop w:val="0"/>
              <w:marBottom w:val="0"/>
              <w:divBdr>
                <w:top w:val="none" w:sz="0" w:space="0" w:color="auto"/>
                <w:left w:val="none" w:sz="0" w:space="0" w:color="auto"/>
                <w:bottom w:val="none" w:sz="0" w:space="0" w:color="auto"/>
                <w:right w:val="none" w:sz="0" w:space="0" w:color="auto"/>
              </w:divBdr>
            </w:div>
          </w:divsChild>
        </w:div>
        <w:div w:id="1368260715">
          <w:marLeft w:val="0"/>
          <w:marRight w:val="0"/>
          <w:marTop w:val="0"/>
          <w:marBottom w:val="0"/>
          <w:divBdr>
            <w:top w:val="none" w:sz="0" w:space="0" w:color="auto"/>
            <w:left w:val="none" w:sz="0" w:space="0" w:color="auto"/>
            <w:bottom w:val="none" w:sz="0" w:space="0" w:color="auto"/>
            <w:right w:val="none" w:sz="0" w:space="0" w:color="auto"/>
          </w:divBdr>
          <w:divsChild>
            <w:div w:id="731077634">
              <w:marLeft w:val="0"/>
              <w:marRight w:val="0"/>
              <w:marTop w:val="0"/>
              <w:marBottom w:val="0"/>
              <w:divBdr>
                <w:top w:val="none" w:sz="0" w:space="0" w:color="auto"/>
                <w:left w:val="none" w:sz="0" w:space="0" w:color="auto"/>
                <w:bottom w:val="none" w:sz="0" w:space="0" w:color="auto"/>
                <w:right w:val="none" w:sz="0" w:space="0" w:color="auto"/>
              </w:divBdr>
            </w:div>
          </w:divsChild>
        </w:div>
        <w:div w:id="1376739819">
          <w:marLeft w:val="0"/>
          <w:marRight w:val="0"/>
          <w:marTop w:val="0"/>
          <w:marBottom w:val="0"/>
          <w:divBdr>
            <w:top w:val="none" w:sz="0" w:space="0" w:color="auto"/>
            <w:left w:val="none" w:sz="0" w:space="0" w:color="auto"/>
            <w:bottom w:val="none" w:sz="0" w:space="0" w:color="auto"/>
            <w:right w:val="none" w:sz="0" w:space="0" w:color="auto"/>
          </w:divBdr>
          <w:divsChild>
            <w:div w:id="1664777447">
              <w:marLeft w:val="0"/>
              <w:marRight w:val="0"/>
              <w:marTop w:val="0"/>
              <w:marBottom w:val="0"/>
              <w:divBdr>
                <w:top w:val="none" w:sz="0" w:space="0" w:color="auto"/>
                <w:left w:val="none" w:sz="0" w:space="0" w:color="auto"/>
                <w:bottom w:val="none" w:sz="0" w:space="0" w:color="auto"/>
                <w:right w:val="none" w:sz="0" w:space="0" w:color="auto"/>
              </w:divBdr>
            </w:div>
          </w:divsChild>
        </w:div>
        <w:div w:id="1384787928">
          <w:marLeft w:val="0"/>
          <w:marRight w:val="0"/>
          <w:marTop w:val="0"/>
          <w:marBottom w:val="0"/>
          <w:divBdr>
            <w:top w:val="none" w:sz="0" w:space="0" w:color="auto"/>
            <w:left w:val="none" w:sz="0" w:space="0" w:color="auto"/>
            <w:bottom w:val="none" w:sz="0" w:space="0" w:color="auto"/>
            <w:right w:val="none" w:sz="0" w:space="0" w:color="auto"/>
          </w:divBdr>
          <w:divsChild>
            <w:div w:id="482427354">
              <w:marLeft w:val="0"/>
              <w:marRight w:val="0"/>
              <w:marTop w:val="0"/>
              <w:marBottom w:val="0"/>
              <w:divBdr>
                <w:top w:val="none" w:sz="0" w:space="0" w:color="auto"/>
                <w:left w:val="none" w:sz="0" w:space="0" w:color="auto"/>
                <w:bottom w:val="none" w:sz="0" w:space="0" w:color="auto"/>
                <w:right w:val="none" w:sz="0" w:space="0" w:color="auto"/>
              </w:divBdr>
            </w:div>
          </w:divsChild>
        </w:div>
        <w:div w:id="1391078251">
          <w:marLeft w:val="0"/>
          <w:marRight w:val="0"/>
          <w:marTop w:val="0"/>
          <w:marBottom w:val="0"/>
          <w:divBdr>
            <w:top w:val="none" w:sz="0" w:space="0" w:color="auto"/>
            <w:left w:val="none" w:sz="0" w:space="0" w:color="auto"/>
            <w:bottom w:val="none" w:sz="0" w:space="0" w:color="auto"/>
            <w:right w:val="none" w:sz="0" w:space="0" w:color="auto"/>
          </w:divBdr>
          <w:divsChild>
            <w:div w:id="601690766">
              <w:marLeft w:val="0"/>
              <w:marRight w:val="0"/>
              <w:marTop w:val="0"/>
              <w:marBottom w:val="0"/>
              <w:divBdr>
                <w:top w:val="none" w:sz="0" w:space="0" w:color="auto"/>
                <w:left w:val="none" w:sz="0" w:space="0" w:color="auto"/>
                <w:bottom w:val="none" w:sz="0" w:space="0" w:color="auto"/>
                <w:right w:val="none" w:sz="0" w:space="0" w:color="auto"/>
              </w:divBdr>
            </w:div>
          </w:divsChild>
        </w:div>
        <w:div w:id="1397632304">
          <w:marLeft w:val="0"/>
          <w:marRight w:val="0"/>
          <w:marTop w:val="0"/>
          <w:marBottom w:val="0"/>
          <w:divBdr>
            <w:top w:val="none" w:sz="0" w:space="0" w:color="auto"/>
            <w:left w:val="none" w:sz="0" w:space="0" w:color="auto"/>
            <w:bottom w:val="none" w:sz="0" w:space="0" w:color="auto"/>
            <w:right w:val="none" w:sz="0" w:space="0" w:color="auto"/>
          </w:divBdr>
          <w:divsChild>
            <w:div w:id="1826969571">
              <w:marLeft w:val="0"/>
              <w:marRight w:val="0"/>
              <w:marTop w:val="0"/>
              <w:marBottom w:val="0"/>
              <w:divBdr>
                <w:top w:val="none" w:sz="0" w:space="0" w:color="auto"/>
                <w:left w:val="none" w:sz="0" w:space="0" w:color="auto"/>
                <w:bottom w:val="none" w:sz="0" w:space="0" w:color="auto"/>
                <w:right w:val="none" w:sz="0" w:space="0" w:color="auto"/>
              </w:divBdr>
            </w:div>
          </w:divsChild>
        </w:div>
        <w:div w:id="1420718577">
          <w:marLeft w:val="0"/>
          <w:marRight w:val="0"/>
          <w:marTop w:val="0"/>
          <w:marBottom w:val="0"/>
          <w:divBdr>
            <w:top w:val="none" w:sz="0" w:space="0" w:color="auto"/>
            <w:left w:val="none" w:sz="0" w:space="0" w:color="auto"/>
            <w:bottom w:val="none" w:sz="0" w:space="0" w:color="auto"/>
            <w:right w:val="none" w:sz="0" w:space="0" w:color="auto"/>
          </w:divBdr>
          <w:divsChild>
            <w:div w:id="1833913475">
              <w:marLeft w:val="0"/>
              <w:marRight w:val="0"/>
              <w:marTop w:val="0"/>
              <w:marBottom w:val="0"/>
              <w:divBdr>
                <w:top w:val="none" w:sz="0" w:space="0" w:color="auto"/>
                <w:left w:val="none" w:sz="0" w:space="0" w:color="auto"/>
                <w:bottom w:val="none" w:sz="0" w:space="0" w:color="auto"/>
                <w:right w:val="none" w:sz="0" w:space="0" w:color="auto"/>
              </w:divBdr>
            </w:div>
          </w:divsChild>
        </w:div>
        <w:div w:id="1424299133">
          <w:marLeft w:val="0"/>
          <w:marRight w:val="0"/>
          <w:marTop w:val="0"/>
          <w:marBottom w:val="0"/>
          <w:divBdr>
            <w:top w:val="none" w:sz="0" w:space="0" w:color="auto"/>
            <w:left w:val="none" w:sz="0" w:space="0" w:color="auto"/>
            <w:bottom w:val="none" w:sz="0" w:space="0" w:color="auto"/>
            <w:right w:val="none" w:sz="0" w:space="0" w:color="auto"/>
          </w:divBdr>
          <w:divsChild>
            <w:div w:id="962807792">
              <w:marLeft w:val="0"/>
              <w:marRight w:val="0"/>
              <w:marTop w:val="0"/>
              <w:marBottom w:val="0"/>
              <w:divBdr>
                <w:top w:val="none" w:sz="0" w:space="0" w:color="auto"/>
                <w:left w:val="none" w:sz="0" w:space="0" w:color="auto"/>
                <w:bottom w:val="none" w:sz="0" w:space="0" w:color="auto"/>
                <w:right w:val="none" w:sz="0" w:space="0" w:color="auto"/>
              </w:divBdr>
            </w:div>
          </w:divsChild>
        </w:div>
        <w:div w:id="1461073689">
          <w:marLeft w:val="0"/>
          <w:marRight w:val="0"/>
          <w:marTop w:val="0"/>
          <w:marBottom w:val="0"/>
          <w:divBdr>
            <w:top w:val="none" w:sz="0" w:space="0" w:color="auto"/>
            <w:left w:val="none" w:sz="0" w:space="0" w:color="auto"/>
            <w:bottom w:val="none" w:sz="0" w:space="0" w:color="auto"/>
            <w:right w:val="none" w:sz="0" w:space="0" w:color="auto"/>
          </w:divBdr>
          <w:divsChild>
            <w:div w:id="2145809862">
              <w:marLeft w:val="0"/>
              <w:marRight w:val="0"/>
              <w:marTop w:val="0"/>
              <w:marBottom w:val="0"/>
              <w:divBdr>
                <w:top w:val="none" w:sz="0" w:space="0" w:color="auto"/>
                <w:left w:val="none" w:sz="0" w:space="0" w:color="auto"/>
                <w:bottom w:val="none" w:sz="0" w:space="0" w:color="auto"/>
                <w:right w:val="none" w:sz="0" w:space="0" w:color="auto"/>
              </w:divBdr>
            </w:div>
          </w:divsChild>
        </w:div>
        <w:div w:id="1461653174">
          <w:marLeft w:val="0"/>
          <w:marRight w:val="0"/>
          <w:marTop w:val="0"/>
          <w:marBottom w:val="0"/>
          <w:divBdr>
            <w:top w:val="none" w:sz="0" w:space="0" w:color="auto"/>
            <w:left w:val="none" w:sz="0" w:space="0" w:color="auto"/>
            <w:bottom w:val="none" w:sz="0" w:space="0" w:color="auto"/>
            <w:right w:val="none" w:sz="0" w:space="0" w:color="auto"/>
          </w:divBdr>
          <w:divsChild>
            <w:div w:id="953555935">
              <w:marLeft w:val="0"/>
              <w:marRight w:val="0"/>
              <w:marTop w:val="0"/>
              <w:marBottom w:val="0"/>
              <w:divBdr>
                <w:top w:val="none" w:sz="0" w:space="0" w:color="auto"/>
                <w:left w:val="none" w:sz="0" w:space="0" w:color="auto"/>
                <w:bottom w:val="none" w:sz="0" w:space="0" w:color="auto"/>
                <w:right w:val="none" w:sz="0" w:space="0" w:color="auto"/>
              </w:divBdr>
            </w:div>
          </w:divsChild>
        </w:div>
        <w:div w:id="1467628837">
          <w:marLeft w:val="0"/>
          <w:marRight w:val="0"/>
          <w:marTop w:val="0"/>
          <w:marBottom w:val="0"/>
          <w:divBdr>
            <w:top w:val="none" w:sz="0" w:space="0" w:color="auto"/>
            <w:left w:val="none" w:sz="0" w:space="0" w:color="auto"/>
            <w:bottom w:val="none" w:sz="0" w:space="0" w:color="auto"/>
            <w:right w:val="none" w:sz="0" w:space="0" w:color="auto"/>
          </w:divBdr>
          <w:divsChild>
            <w:div w:id="1232234749">
              <w:marLeft w:val="0"/>
              <w:marRight w:val="0"/>
              <w:marTop w:val="0"/>
              <w:marBottom w:val="0"/>
              <w:divBdr>
                <w:top w:val="none" w:sz="0" w:space="0" w:color="auto"/>
                <w:left w:val="none" w:sz="0" w:space="0" w:color="auto"/>
                <w:bottom w:val="none" w:sz="0" w:space="0" w:color="auto"/>
                <w:right w:val="none" w:sz="0" w:space="0" w:color="auto"/>
              </w:divBdr>
            </w:div>
          </w:divsChild>
        </w:div>
        <w:div w:id="1469086399">
          <w:marLeft w:val="0"/>
          <w:marRight w:val="0"/>
          <w:marTop w:val="0"/>
          <w:marBottom w:val="0"/>
          <w:divBdr>
            <w:top w:val="none" w:sz="0" w:space="0" w:color="auto"/>
            <w:left w:val="none" w:sz="0" w:space="0" w:color="auto"/>
            <w:bottom w:val="none" w:sz="0" w:space="0" w:color="auto"/>
            <w:right w:val="none" w:sz="0" w:space="0" w:color="auto"/>
          </w:divBdr>
          <w:divsChild>
            <w:div w:id="1713267024">
              <w:marLeft w:val="0"/>
              <w:marRight w:val="0"/>
              <w:marTop w:val="0"/>
              <w:marBottom w:val="0"/>
              <w:divBdr>
                <w:top w:val="none" w:sz="0" w:space="0" w:color="auto"/>
                <w:left w:val="none" w:sz="0" w:space="0" w:color="auto"/>
                <w:bottom w:val="none" w:sz="0" w:space="0" w:color="auto"/>
                <w:right w:val="none" w:sz="0" w:space="0" w:color="auto"/>
              </w:divBdr>
            </w:div>
          </w:divsChild>
        </w:div>
        <w:div w:id="1481073491">
          <w:marLeft w:val="0"/>
          <w:marRight w:val="0"/>
          <w:marTop w:val="0"/>
          <w:marBottom w:val="0"/>
          <w:divBdr>
            <w:top w:val="none" w:sz="0" w:space="0" w:color="auto"/>
            <w:left w:val="none" w:sz="0" w:space="0" w:color="auto"/>
            <w:bottom w:val="none" w:sz="0" w:space="0" w:color="auto"/>
            <w:right w:val="none" w:sz="0" w:space="0" w:color="auto"/>
          </w:divBdr>
          <w:divsChild>
            <w:div w:id="1644188510">
              <w:marLeft w:val="0"/>
              <w:marRight w:val="0"/>
              <w:marTop w:val="0"/>
              <w:marBottom w:val="0"/>
              <w:divBdr>
                <w:top w:val="none" w:sz="0" w:space="0" w:color="auto"/>
                <w:left w:val="none" w:sz="0" w:space="0" w:color="auto"/>
                <w:bottom w:val="none" w:sz="0" w:space="0" w:color="auto"/>
                <w:right w:val="none" w:sz="0" w:space="0" w:color="auto"/>
              </w:divBdr>
            </w:div>
          </w:divsChild>
        </w:div>
        <w:div w:id="1484855941">
          <w:marLeft w:val="0"/>
          <w:marRight w:val="0"/>
          <w:marTop w:val="0"/>
          <w:marBottom w:val="0"/>
          <w:divBdr>
            <w:top w:val="none" w:sz="0" w:space="0" w:color="auto"/>
            <w:left w:val="none" w:sz="0" w:space="0" w:color="auto"/>
            <w:bottom w:val="none" w:sz="0" w:space="0" w:color="auto"/>
            <w:right w:val="none" w:sz="0" w:space="0" w:color="auto"/>
          </w:divBdr>
          <w:divsChild>
            <w:div w:id="2049721458">
              <w:marLeft w:val="0"/>
              <w:marRight w:val="0"/>
              <w:marTop w:val="0"/>
              <w:marBottom w:val="0"/>
              <w:divBdr>
                <w:top w:val="none" w:sz="0" w:space="0" w:color="auto"/>
                <w:left w:val="none" w:sz="0" w:space="0" w:color="auto"/>
                <w:bottom w:val="none" w:sz="0" w:space="0" w:color="auto"/>
                <w:right w:val="none" w:sz="0" w:space="0" w:color="auto"/>
              </w:divBdr>
            </w:div>
          </w:divsChild>
        </w:div>
        <w:div w:id="1492795308">
          <w:marLeft w:val="0"/>
          <w:marRight w:val="0"/>
          <w:marTop w:val="0"/>
          <w:marBottom w:val="0"/>
          <w:divBdr>
            <w:top w:val="none" w:sz="0" w:space="0" w:color="auto"/>
            <w:left w:val="none" w:sz="0" w:space="0" w:color="auto"/>
            <w:bottom w:val="none" w:sz="0" w:space="0" w:color="auto"/>
            <w:right w:val="none" w:sz="0" w:space="0" w:color="auto"/>
          </w:divBdr>
          <w:divsChild>
            <w:div w:id="1149245244">
              <w:marLeft w:val="0"/>
              <w:marRight w:val="0"/>
              <w:marTop w:val="0"/>
              <w:marBottom w:val="0"/>
              <w:divBdr>
                <w:top w:val="none" w:sz="0" w:space="0" w:color="auto"/>
                <w:left w:val="none" w:sz="0" w:space="0" w:color="auto"/>
                <w:bottom w:val="none" w:sz="0" w:space="0" w:color="auto"/>
                <w:right w:val="none" w:sz="0" w:space="0" w:color="auto"/>
              </w:divBdr>
            </w:div>
          </w:divsChild>
        </w:div>
        <w:div w:id="1542473914">
          <w:marLeft w:val="0"/>
          <w:marRight w:val="0"/>
          <w:marTop w:val="0"/>
          <w:marBottom w:val="0"/>
          <w:divBdr>
            <w:top w:val="none" w:sz="0" w:space="0" w:color="auto"/>
            <w:left w:val="none" w:sz="0" w:space="0" w:color="auto"/>
            <w:bottom w:val="none" w:sz="0" w:space="0" w:color="auto"/>
            <w:right w:val="none" w:sz="0" w:space="0" w:color="auto"/>
          </w:divBdr>
          <w:divsChild>
            <w:div w:id="844781686">
              <w:marLeft w:val="0"/>
              <w:marRight w:val="0"/>
              <w:marTop w:val="0"/>
              <w:marBottom w:val="0"/>
              <w:divBdr>
                <w:top w:val="none" w:sz="0" w:space="0" w:color="auto"/>
                <w:left w:val="none" w:sz="0" w:space="0" w:color="auto"/>
                <w:bottom w:val="none" w:sz="0" w:space="0" w:color="auto"/>
                <w:right w:val="none" w:sz="0" w:space="0" w:color="auto"/>
              </w:divBdr>
            </w:div>
          </w:divsChild>
        </w:div>
        <w:div w:id="1547062411">
          <w:marLeft w:val="0"/>
          <w:marRight w:val="0"/>
          <w:marTop w:val="0"/>
          <w:marBottom w:val="0"/>
          <w:divBdr>
            <w:top w:val="none" w:sz="0" w:space="0" w:color="auto"/>
            <w:left w:val="none" w:sz="0" w:space="0" w:color="auto"/>
            <w:bottom w:val="none" w:sz="0" w:space="0" w:color="auto"/>
            <w:right w:val="none" w:sz="0" w:space="0" w:color="auto"/>
          </w:divBdr>
          <w:divsChild>
            <w:div w:id="1814247687">
              <w:marLeft w:val="0"/>
              <w:marRight w:val="0"/>
              <w:marTop w:val="0"/>
              <w:marBottom w:val="0"/>
              <w:divBdr>
                <w:top w:val="none" w:sz="0" w:space="0" w:color="auto"/>
                <w:left w:val="none" w:sz="0" w:space="0" w:color="auto"/>
                <w:bottom w:val="none" w:sz="0" w:space="0" w:color="auto"/>
                <w:right w:val="none" w:sz="0" w:space="0" w:color="auto"/>
              </w:divBdr>
            </w:div>
          </w:divsChild>
        </w:div>
        <w:div w:id="1565989423">
          <w:marLeft w:val="0"/>
          <w:marRight w:val="0"/>
          <w:marTop w:val="0"/>
          <w:marBottom w:val="0"/>
          <w:divBdr>
            <w:top w:val="none" w:sz="0" w:space="0" w:color="auto"/>
            <w:left w:val="none" w:sz="0" w:space="0" w:color="auto"/>
            <w:bottom w:val="none" w:sz="0" w:space="0" w:color="auto"/>
            <w:right w:val="none" w:sz="0" w:space="0" w:color="auto"/>
          </w:divBdr>
          <w:divsChild>
            <w:div w:id="2064019836">
              <w:marLeft w:val="0"/>
              <w:marRight w:val="0"/>
              <w:marTop w:val="0"/>
              <w:marBottom w:val="0"/>
              <w:divBdr>
                <w:top w:val="none" w:sz="0" w:space="0" w:color="auto"/>
                <w:left w:val="none" w:sz="0" w:space="0" w:color="auto"/>
                <w:bottom w:val="none" w:sz="0" w:space="0" w:color="auto"/>
                <w:right w:val="none" w:sz="0" w:space="0" w:color="auto"/>
              </w:divBdr>
            </w:div>
          </w:divsChild>
        </w:div>
        <w:div w:id="1570774371">
          <w:marLeft w:val="0"/>
          <w:marRight w:val="0"/>
          <w:marTop w:val="0"/>
          <w:marBottom w:val="0"/>
          <w:divBdr>
            <w:top w:val="none" w:sz="0" w:space="0" w:color="auto"/>
            <w:left w:val="none" w:sz="0" w:space="0" w:color="auto"/>
            <w:bottom w:val="none" w:sz="0" w:space="0" w:color="auto"/>
            <w:right w:val="none" w:sz="0" w:space="0" w:color="auto"/>
          </w:divBdr>
          <w:divsChild>
            <w:div w:id="1890796297">
              <w:marLeft w:val="0"/>
              <w:marRight w:val="0"/>
              <w:marTop w:val="0"/>
              <w:marBottom w:val="0"/>
              <w:divBdr>
                <w:top w:val="none" w:sz="0" w:space="0" w:color="auto"/>
                <w:left w:val="none" w:sz="0" w:space="0" w:color="auto"/>
                <w:bottom w:val="none" w:sz="0" w:space="0" w:color="auto"/>
                <w:right w:val="none" w:sz="0" w:space="0" w:color="auto"/>
              </w:divBdr>
            </w:div>
          </w:divsChild>
        </w:div>
        <w:div w:id="1581404856">
          <w:marLeft w:val="0"/>
          <w:marRight w:val="0"/>
          <w:marTop w:val="0"/>
          <w:marBottom w:val="0"/>
          <w:divBdr>
            <w:top w:val="none" w:sz="0" w:space="0" w:color="auto"/>
            <w:left w:val="none" w:sz="0" w:space="0" w:color="auto"/>
            <w:bottom w:val="none" w:sz="0" w:space="0" w:color="auto"/>
            <w:right w:val="none" w:sz="0" w:space="0" w:color="auto"/>
          </w:divBdr>
          <w:divsChild>
            <w:div w:id="395051484">
              <w:marLeft w:val="0"/>
              <w:marRight w:val="0"/>
              <w:marTop w:val="0"/>
              <w:marBottom w:val="0"/>
              <w:divBdr>
                <w:top w:val="none" w:sz="0" w:space="0" w:color="auto"/>
                <w:left w:val="none" w:sz="0" w:space="0" w:color="auto"/>
                <w:bottom w:val="none" w:sz="0" w:space="0" w:color="auto"/>
                <w:right w:val="none" w:sz="0" w:space="0" w:color="auto"/>
              </w:divBdr>
            </w:div>
          </w:divsChild>
        </w:div>
        <w:div w:id="1582451140">
          <w:marLeft w:val="0"/>
          <w:marRight w:val="0"/>
          <w:marTop w:val="0"/>
          <w:marBottom w:val="0"/>
          <w:divBdr>
            <w:top w:val="none" w:sz="0" w:space="0" w:color="auto"/>
            <w:left w:val="none" w:sz="0" w:space="0" w:color="auto"/>
            <w:bottom w:val="none" w:sz="0" w:space="0" w:color="auto"/>
            <w:right w:val="none" w:sz="0" w:space="0" w:color="auto"/>
          </w:divBdr>
          <w:divsChild>
            <w:div w:id="1629824572">
              <w:marLeft w:val="0"/>
              <w:marRight w:val="0"/>
              <w:marTop w:val="0"/>
              <w:marBottom w:val="0"/>
              <w:divBdr>
                <w:top w:val="none" w:sz="0" w:space="0" w:color="auto"/>
                <w:left w:val="none" w:sz="0" w:space="0" w:color="auto"/>
                <w:bottom w:val="none" w:sz="0" w:space="0" w:color="auto"/>
                <w:right w:val="none" w:sz="0" w:space="0" w:color="auto"/>
              </w:divBdr>
            </w:div>
          </w:divsChild>
        </w:div>
        <w:div w:id="1583294698">
          <w:marLeft w:val="0"/>
          <w:marRight w:val="0"/>
          <w:marTop w:val="0"/>
          <w:marBottom w:val="0"/>
          <w:divBdr>
            <w:top w:val="none" w:sz="0" w:space="0" w:color="auto"/>
            <w:left w:val="none" w:sz="0" w:space="0" w:color="auto"/>
            <w:bottom w:val="none" w:sz="0" w:space="0" w:color="auto"/>
            <w:right w:val="none" w:sz="0" w:space="0" w:color="auto"/>
          </w:divBdr>
          <w:divsChild>
            <w:div w:id="1390032785">
              <w:marLeft w:val="0"/>
              <w:marRight w:val="0"/>
              <w:marTop w:val="0"/>
              <w:marBottom w:val="0"/>
              <w:divBdr>
                <w:top w:val="none" w:sz="0" w:space="0" w:color="auto"/>
                <w:left w:val="none" w:sz="0" w:space="0" w:color="auto"/>
                <w:bottom w:val="none" w:sz="0" w:space="0" w:color="auto"/>
                <w:right w:val="none" w:sz="0" w:space="0" w:color="auto"/>
              </w:divBdr>
            </w:div>
          </w:divsChild>
        </w:div>
        <w:div w:id="1596554955">
          <w:marLeft w:val="0"/>
          <w:marRight w:val="0"/>
          <w:marTop w:val="0"/>
          <w:marBottom w:val="0"/>
          <w:divBdr>
            <w:top w:val="none" w:sz="0" w:space="0" w:color="auto"/>
            <w:left w:val="none" w:sz="0" w:space="0" w:color="auto"/>
            <w:bottom w:val="none" w:sz="0" w:space="0" w:color="auto"/>
            <w:right w:val="none" w:sz="0" w:space="0" w:color="auto"/>
          </w:divBdr>
          <w:divsChild>
            <w:div w:id="1614434188">
              <w:marLeft w:val="0"/>
              <w:marRight w:val="0"/>
              <w:marTop w:val="0"/>
              <w:marBottom w:val="0"/>
              <w:divBdr>
                <w:top w:val="none" w:sz="0" w:space="0" w:color="auto"/>
                <w:left w:val="none" w:sz="0" w:space="0" w:color="auto"/>
                <w:bottom w:val="none" w:sz="0" w:space="0" w:color="auto"/>
                <w:right w:val="none" w:sz="0" w:space="0" w:color="auto"/>
              </w:divBdr>
            </w:div>
          </w:divsChild>
        </w:div>
        <w:div w:id="1601984384">
          <w:marLeft w:val="0"/>
          <w:marRight w:val="0"/>
          <w:marTop w:val="0"/>
          <w:marBottom w:val="0"/>
          <w:divBdr>
            <w:top w:val="none" w:sz="0" w:space="0" w:color="auto"/>
            <w:left w:val="none" w:sz="0" w:space="0" w:color="auto"/>
            <w:bottom w:val="none" w:sz="0" w:space="0" w:color="auto"/>
            <w:right w:val="none" w:sz="0" w:space="0" w:color="auto"/>
          </w:divBdr>
          <w:divsChild>
            <w:div w:id="1876038840">
              <w:marLeft w:val="0"/>
              <w:marRight w:val="0"/>
              <w:marTop w:val="0"/>
              <w:marBottom w:val="0"/>
              <w:divBdr>
                <w:top w:val="none" w:sz="0" w:space="0" w:color="auto"/>
                <w:left w:val="none" w:sz="0" w:space="0" w:color="auto"/>
                <w:bottom w:val="none" w:sz="0" w:space="0" w:color="auto"/>
                <w:right w:val="none" w:sz="0" w:space="0" w:color="auto"/>
              </w:divBdr>
            </w:div>
          </w:divsChild>
        </w:div>
        <w:div w:id="1605068118">
          <w:marLeft w:val="0"/>
          <w:marRight w:val="0"/>
          <w:marTop w:val="0"/>
          <w:marBottom w:val="0"/>
          <w:divBdr>
            <w:top w:val="none" w:sz="0" w:space="0" w:color="auto"/>
            <w:left w:val="none" w:sz="0" w:space="0" w:color="auto"/>
            <w:bottom w:val="none" w:sz="0" w:space="0" w:color="auto"/>
            <w:right w:val="none" w:sz="0" w:space="0" w:color="auto"/>
          </w:divBdr>
          <w:divsChild>
            <w:div w:id="1594169822">
              <w:marLeft w:val="0"/>
              <w:marRight w:val="0"/>
              <w:marTop w:val="0"/>
              <w:marBottom w:val="0"/>
              <w:divBdr>
                <w:top w:val="none" w:sz="0" w:space="0" w:color="auto"/>
                <w:left w:val="none" w:sz="0" w:space="0" w:color="auto"/>
                <w:bottom w:val="none" w:sz="0" w:space="0" w:color="auto"/>
                <w:right w:val="none" w:sz="0" w:space="0" w:color="auto"/>
              </w:divBdr>
            </w:div>
          </w:divsChild>
        </w:div>
        <w:div w:id="1614632228">
          <w:marLeft w:val="0"/>
          <w:marRight w:val="0"/>
          <w:marTop w:val="0"/>
          <w:marBottom w:val="0"/>
          <w:divBdr>
            <w:top w:val="none" w:sz="0" w:space="0" w:color="auto"/>
            <w:left w:val="none" w:sz="0" w:space="0" w:color="auto"/>
            <w:bottom w:val="none" w:sz="0" w:space="0" w:color="auto"/>
            <w:right w:val="none" w:sz="0" w:space="0" w:color="auto"/>
          </w:divBdr>
          <w:divsChild>
            <w:div w:id="79450861">
              <w:marLeft w:val="0"/>
              <w:marRight w:val="0"/>
              <w:marTop w:val="0"/>
              <w:marBottom w:val="0"/>
              <w:divBdr>
                <w:top w:val="none" w:sz="0" w:space="0" w:color="auto"/>
                <w:left w:val="none" w:sz="0" w:space="0" w:color="auto"/>
                <w:bottom w:val="none" w:sz="0" w:space="0" w:color="auto"/>
                <w:right w:val="none" w:sz="0" w:space="0" w:color="auto"/>
              </w:divBdr>
            </w:div>
          </w:divsChild>
        </w:div>
        <w:div w:id="1615940574">
          <w:marLeft w:val="0"/>
          <w:marRight w:val="0"/>
          <w:marTop w:val="0"/>
          <w:marBottom w:val="0"/>
          <w:divBdr>
            <w:top w:val="none" w:sz="0" w:space="0" w:color="auto"/>
            <w:left w:val="none" w:sz="0" w:space="0" w:color="auto"/>
            <w:bottom w:val="none" w:sz="0" w:space="0" w:color="auto"/>
            <w:right w:val="none" w:sz="0" w:space="0" w:color="auto"/>
          </w:divBdr>
          <w:divsChild>
            <w:div w:id="927352306">
              <w:marLeft w:val="0"/>
              <w:marRight w:val="0"/>
              <w:marTop w:val="0"/>
              <w:marBottom w:val="0"/>
              <w:divBdr>
                <w:top w:val="none" w:sz="0" w:space="0" w:color="auto"/>
                <w:left w:val="none" w:sz="0" w:space="0" w:color="auto"/>
                <w:bottom w:val="none" w:sz="0" w:space="0" w:color="auto"/>
                <w:right w:val="none" w:sz="0" w:space="0" w:color="auto"/>
              </w:divBdr>
            </w:div>
          </w:divsChild>
        </w:div>
        <w:div w:id="1623153945">
          <w:marLeft w:val="0"/>
          <w:marRight w:val="0"/>
          <w:marTop w:val="0"/>
          <w:marBottom w:val="0"/>
          <w:divBdr>
            <w:top w:val="none" w:sz="0" w:space="0" w:color="auto"/>
            <w:left w:val="none" w:sz="0" w:space="0" w:color="auto"/>
            <w:bottom w:val="none" w:sz="0" w:space="0" w:color="auto"/>
            <w:right w:val="none" w:sz="0" w:space="0" w:color="auto"/>
          </w:divBdr>
          <w:divsChild>
            <w:div w:id="2106684033">
              <w:marLeft w:val="0"/>
              <w:marRight w:val="0"/>
              <w:marTop w:val="0"/>
              <w:marBottom w:val="0"/>
              <w:divBdr>
                <w:top w:val="none" w:sz="0" w:space="0" w:color="auto"/>
                <w:left w:val="none" w:sz="0" w:space="0" w:color="auto"/>
                <w:bottom w:val="none" w:sz="0" w:space="0" w:color="auto"/>
                <w:right w:val="none" w:sz="0" w:space="0" w:color="auto"/>
              </w:divBdr>
            </w:div>
          </w:divsChild>
        </w:div>
        <w:div w:id="1694266704">
          <w:marLeft w:val="0"/>
          <w:marRight w:val="0"/>
          <w:marTop w:val="0"/>
          <w:marBottom w:val="0"/>
          <w:divBdr>
            <w:top w:val="none" w:sz="0" w:space="0" w:color="auto"/>
            <w:left w:val="none" w:sz="0" w:space="0" w:color="auto"/>
            <w:bottom w:val="none" w:sz="0" w:space="0" w:color="auto"/>
            <w:right w:val="none" w:sz="0" w:space="0" w:color="auto"/>
          </w:divBdr>
          <w:divsChild>
            <w:div w:id="498161933">
              <w:marLeft w:val="0"/>
              <w:marRight w:val="0"/>
              <w:marTop w:val="0"/>
              <w:marBottom w:val="0"/>
              <w:divBdr>
                <w:top w:val="none" w:sz="0" w:space="0" w:color="auto"/>
                <w:left w:val="none" w:sz="0" w:space="0" w:color="auto"/>
                <w:bottom w:val="none" w:sz="0" w:space="0" w:color="auto"/>
                <w:right w:val="none" w:sz="0" w:space="0" w:color="auto"/>
              </w:divBdr>
            </w:div>
          </w:divsChild>
        </w:div>
        <w:div w:id="1696925070">
          <w:marLeft w:val="0"/>
          <w:marRight w:val="0"/>
          <w:marTop w:val="0"/>
          <w:marBottom w:val="0"/>
          <w:divBdr>
            <w:top w:val="none" w:sz="0" w:space="0" w:color="auto"/>
            <w:left w:val="none" w:sz="0" w:space="0" w:color="auto"/>
            <w:bottom w:val="none" w:sz="0" w:space="0" w:color="auto"/>
            <w:right w:val="none" w:sz="0" w:space="0" w:color="auto"/>
          </w:divBdr>
          <w:divsChild>
            <w:div w:id="1966960040">
              <w:marLeft w:val="0"/>
              <w:marRight w:val="0"/>
              <w:marTop w:val="0"/>
              <w:marBottom w:val="0"/>
              <w:divBdr>
                <w:top w:val="none" w:sz="0" w:space="0" w:color="auto"/>
                <w:left w:val="none" w:sz="0" w:space="0" w:color="auto"/>
                <w:bottom w:val="none" w:sz="0" w:space="0" w:color="auto"/>
                <w:right w:val="none" w:sz="0" w:space="0" w:color="auto"/>
              </w:divBdr>
            </w:div>
          </w:divsChild>
        </w:div>
        <w:div w:id="1697340515">
          <w:marLeft w:val="0"/>
          <w:marRight w:val="0"/>
          <w:marTop w:val="0"/>
          <w:marBottom w:val="0"/>
          <w:divBdr>
            <w:top w:val="none" w:sz="0" w:space="0" w:color="auto"/>
            <w:left w:val="none" w:sz="0" w:space="0" w:color="auto"/>
            <w:bottom w:val="none" w:sz="0" w:space="0" w:color="auto"/>
            <w:right w:val="none" w:sz="0" w:space="0" w:color="auto"/>
          </w:divBdr>
          <w:divsChild>
            <w:div w:id="1182666669">
              <w:marLeft w:val="0"/>
              <w:marRight w:val="0"/>
              <w:marTop w:val="0"/>
              <w:marBottom w:val="0"/>
              <w:divBdr>
                <w:top w:val="none" w:sz="0" w:space="0" w:color="auto"/>
                <w:left w:val="none" w:sz="0" w:space="0" w:color="auto"/>
                <w:bottom w:val="none" w:sz="0" w:space="0" w:color="auto"/>
                <w:right w:val="none" w:sz="0" w:space="0" w:color="auto"/>
              </w:divBdr>
            </w:div>
          </w:divsChild>
        </w:div>
        <w:div w:id="1700005976">
          <w:marLeft w:val="0"/>
          <w:marRight w:val="0"/>
          <w:marTop w:val="0"/>
          <w:marBottom w:val="0"/>
          <w:divBdr>
            <w:top w:val="none" w:sz="0" w:space="0" w:color="auto"/>
            <w:left w:val="none" w:sz="0" w:space="0" w:color="auto"/>
            <w:bottom w:val="none" w:sz="0" w:space="0" w:color="auto"/>
            <w:right w:val="none" w:sz="0" w:space="0" w:color="auto"/>
          </w:divBdr>
          <w:divsChild>
            <w:div w:id="750352372">
              <w:marLeft w:val="0"/>
              <w:marRight w:val="0"/>
              <w:marTop w:val="0"/>
              <w:marBottom w:val="0"/>
              <w:divBdr>
                <w:top w:val="none" w:sz="0" w:space="0" w:color="auto"/>
                <w:left w:val="none" w:sz="0" w:space="0" w:color="auto"/>
                <w:bottom w:val="none" w:sz="0" w:space="0" w:color="auto"/>
                <w:right w:val="none" w:sz="0" w:space="0" w:color="auto"/>
              </w:divBdr>
            </w:div>
          </w:divsChild>
        </w:div>
        <w:div w:id="1701127680">
          <w:marLeft w:val="0"/>
          <w:marRight w:val="0"/>
          <w:marTop w:val="0"/>
          <w:marBottom w:val="0"/>
          <w:divBdr>
            <w:top w:val="none" w:sz="0" w:space="0" w:color="auto"/>
            <w:left w:val="none" w:sz="0" w:space="0" w:color="auto"/>
            <w:bottom w:val="none" w:sz="0" w:space="0" w:color="auto"/>
            <w:right w:val="none" w:sz="0" w:space="0" w:color="auto"/>
          </w:divBdr>
          <w:divsChild>
            <w:div w:id="1761676218">
              <w:marLeft w:val="0"/>
              <w:marRight w:val="0"/>
              <w:marTop w:val="0"/>
              <w:marBottom w:val="0"/>
              <w:divBdr>
                <w:top w:val="none" w:sz="0" w:space="0" w:color="auto"/>
                <w:left w:val="none" w:sz="0" w:space="0" w:color="auto"/>
                <w:bottom w:val="none" w:sz="0" w:space="0" w:color="auto"/>
                <w:right w:val="none" w:sz="0" w:space="0" w:color="auto"/>
              </w:divBdr>
            </w:div>
          </w:divsChild>
        </w:div>
        <w:div w:id="1701465388">
          <w:marLeft w:val="0"/>
          <w:marRight w:val="0"/>
          <w:marTop w:val="0"/>
          <w:marBottom w:val="0"/>
          <w:divBdr>
            <w:top w:val="none" w:sz="0" w:space="0" w:color="auto"/>
            <w:left w:val="none" w:sz="0" w:space="0" w:color="auto"/>
            <w:bottom w:val="none" w:sz="0" w:space="0" w:color="auto"/>
            <w:right w:val="none" w:sz="0" w:space="0" w:color="auto"/>
          </w:divBdr>
          <w:divsChild>
            <w:div w:id="1213074569">
              <w:marLeft w:val="0"/>
              <w:marRight w:val="0"/>
              <w:marTop w:val="0"/>
              <w:marBottom w:val="0"/>
              <w:divBdr>
                <w:top w:val="none" w:sz="0" w:space="0" w:color="auto"/>
                <w:left w:val="none" w:sz="0" w:space="0" w:color="auto"/>
                <w:bottom w:val="none" w:sz="0" w:space="0" w:color="auto"/>
                <w:right w:val="none" w:sz="0" w:space="0" w:color="auto"/>
              </w:divBdr>
            </w:div>
          </w:divsChild>
        </w:div>
        <w:div w:id="1714036911">
          <w:marLeft w:val="0"/>
          <w:marRight w:val="0"/>
          <w:marTop w:val="0"/>
          <w:marBottom w:val="0"/>
          <w:divBdr>
            <w:top w:val="none" w:sz="0" w:space="0" w:color="auto"/>
            <w:left w:val="none" w:sz="0" w:space="0" w:color="auto"/>
            <w:bottom w:val="none" w:sz="0" w:space="0" w:color="auto"/>
            <w:right w:val="none" w:sz="0" w:space="0" w:color="auto"/>
          </w:divBdr>
          <w:divsChild>
            <w:div w:id="892350160">
              <w:marLeft w:val="0"/>
              <w:marRight w:val="0"/>
              <w:marTop w:val="0"/>
              <w:marBottom w:val="0"/>
              <w:divBdr>
                <w:top w:val="none" w:sz="0" w:space="0" w:color="auto"/>
                <w:left w:val="none" w:sz="0" w:space="0" w:color="auto"/>
                <w:bottom w:val="none" w:sz="0" w:space="0" w:color="auto"/>
                <w:right w:val="none" w:sz="0" w:space="0" w:color="auto"/>
              </w:divBdr>
            </w:div>
          </w:divsChild>
        </w:div>
        <w:div w:id="1714453949">
          <w:marLeft w:val="0"/>
          <w:marRight w:val="0"/>
          <w:marTop w:val="0"/>
          <w:marBottom w:val="0"/>
          <w:divBdr>
            <w:top w:val="none" w:sz="0" w:space="0" w:color="auto"/>
            <w:left w:val="none" w:sz="0" w:space="0" w:color="auto"/>
            <w:bottom w:val="none" w:sz="0" w:space="0" w:color="auto"/>
            <w:right w:val="none" w:sz="0" w:space="0" w:color="auto"/>
          </w:divBdr>
          <w:divsChild>
            <w:div w:id="328559750">
              <w:marLeft w:val="0"/>
              <w:marRight w:val="0"/>
              <w:marTop w:val="0"/>
              <w:marBottom w:val="0"/>
              <w:divBdr>
                <w:top w:val="none" w:sz="0" w:space="0" w:color="auto"/>
                <w:left w:val="none" w:sz="0" w:space="0" w:color="auto"/>
                <w:bottom w:val="none" w:sz="0" w:space="0" w:color="auto"/>
                <w:right w:val="none" w:sz="0" w:space="0" w:color="auto"/>
              </w:divBdr>
            </w:div>
          </w:divsChild>
        </w:div>
        <w:div w:id="1715929940">
          <w:marLeft w:val="0"/>
          <w:marRight w:val="0"/>
          <w:marTop w:val="0"/>
          <w:marBottom w:val="0"/>
          <w:divBdr>
            <w:top w:val="none" w:sz="0" w:space="0" w:color="auto"/>
            <w:left w:val="none" w:sz="0" w:space="0" w:color="auto"/>
            <w:bottom w:val="none" w:sz="0" w:space="0" w:color="auto"/>
            <w:right w:val="none" w:sz="0" w:space="0" w:color="auto"/>
          </w:divBdr>
          <w:divsChild>
            <w:div w:id="1093741043">
              <w:marLeft w:val="0"/>
              <w:marRight w:val="0"/>
              <w:marTop w:val="0"/>
              <w:marBottom w:val="0"/>
              <w:divBdr>
                <w:top w:val="none" w:sz="0" w:space="0" w:color="auto"/>
                <w:left w:val="none" w:sz="0" w:space="0" w:color="auto"/>
                <w:bottom w:val="none" w:sz="0" w:space="0" w:color="auto"/>
                <w:right w:val="none" w:sz="0" w:space="0" w:color="auto"/>
              </w:divBdr>
            </w:div>
          </w:divsChild>
        </w:div>
        <w:div w:id="1716466287">
          <w:marLeft w:val="0"/>
          <w:marRight w:val="0"/>
          <w:marTop w:val="0"/>
          <w:marBottom w:val="0"/>
          <w:divBdr>
            <w:top w:val="none" w:sz="0" w:space="0" w:color="auto"/>
            <w:left w:val="none" w:sz="0" w:space="0" w:color="auto"/>
            <w:bottom w:val="none" w:sz="0" w:space="0" w:color="auto"/>
            <w:right w:val="none" w:sz="0" w:space="0" w:color="auto"/>
          </w:divBdr>
          <w:divsChild>
            <w:div w:id="1342851540">
              <w:marLeft w:val="0"/>
              <w:marRight w:val="0"/>
              <w:marTop w:val="0"/>
              <w:marBottom w:val="0"/>
              <w:divBdr>
                <w:top w:val="none" w:sz="0" w:space="0" w:color="auto"/>
                <w:left w:val="none" w:sz="0" w:space="0" w:color="auto"/>
                <w:bottom w:val="none" w:sz="0" w:space="0" w:color="auto"/>
                <w:right w:val="none" w:sz="0" w:space="0" w:color="auto"/>
              </w:divBdr>
            </w:div>
          </w:divsChild>
        </w:div>
        <w:div w:id="1719159562">
          <w:marLeft w:val="0"/>
          <w:marRight w:val="0"/>
          <w:marTop w:val="0"/>
          <w:marBottom w:val="0"/>
          <w:divBdr>
            <w:top w:val="none" w:sz="0" w:space="0" w:color="auto"/>
            <w:left w:val="none" w:sz="0" w:space="0" w:color="auto"/>
            <w:bottom w:val="none" w:sz="0" w:space="0" w:color="auto"/>
            <w:right w:val="none" w:sz="0" w:space="0" w:color="auto"/>
          </w:divBdr>
          <w:divsChild>
            <w:div w:id="1465999946">
              <w:marLeft w:val="0"/>
              <w:marRight w:val="0"/>
              <w:marTop w:val="0"/>
              <w:marBottom w:val="0"/>
              <w:divBdr>
                <w:top w:val="none" w:sz="0" w:space="0" w:color="auto"/>
                <w:left w:val="none" w:sz="0" w:space="0" w:color="auto"/>
                <w:bottom w:val="none" w:sz="0" w:space="0" w:color="auto"/>
                <w:right w:val="none" w:sz="0" w:space="0" w:color="auto"/>
              </w:divBdr>
            </w:div>
          </w:divsChild>
        </w:div>
        <w:div w:id="1760710584">
          <w:marLeft w:val="0"/>
          <w:marRight w:val="0"/>
          <w:marTop w:val="0"/>
          <w:marBottom w:val="0"/>
          <w:divBdr>
            <w:top w:val="none" w:sz="0" w:space="0" w:color="auto"/>
            <w:left w:val="none" w:sz="0" w:space="0" w:color="auto"/>
            <w:bottom w:val="none" w:sz="0" w:space="0" w:color="auto"/>
            <w:right w:val="none" w:sz="0" w:space="0" w:color="auto"/>
          </w:divBdr>
          <w:divsChild>
            <w:div w:id="470098108">
              <w:marLeft w:val="0"/>
              <w:marRight w:val="0"/>
              <w:marTop w:val="0"/>
              <w:marBottom w:val="0"/>
              <w:divBdr>
                <w:top w:val="none" w:sz="0" w:space="0" w:color="auto"/>
                <w:left w:val="none" w:sz="0" w:space="0" w:color="auto"/>
                <w:bottom w:val="none" w:sz="0" w:space="0" w:color="auto"/>
                <w:right w:val="none" w:sz="0" w:space="0" w:color="auto"/>
              </w:divBdr>
            </w:div>
          </w:divsChild>
        </w:div>
        <w:div w:id="1761757985">
          <w:marLeft w:val="0"/>
          <w:marRight w:val="0"/>
          <w:marTop w:val="0"/>
          <w:marBottom w:val="0"/>
          <w:divBdr>
            <w:top w:val="none" w:sz="0" w:space="0" w:color="auto"/>
            <w:left w:val="none" w:sz="0" w:space="0" w:color="auto"/>
            <w:bottom w:val="none" w:sz="0" w:space="0" w:color="auto"/>
            <w:right w:val="none" w:sz="0" w:space="0" w:color="auto"/>
          </w:divBdr>
          <w:divsChild>
            <w:div w:id="1365322261">
              <w:marLeft w:val="0"/>
              <w:marRight w:val="0"/>
              <w:marTop w:val="0"/>
              <w:marBottom w:val="0"/>
              <w:divBdr>
                <w:top w:val="none" w:sz="0" w:space="0" w:color="auto"/>
                <w:left w:val="none" w:sz="0" w:space="0" w:color="auto"/>
                <w:bottom w:val="none" w:sz="0" w:space="0" w:color="auto"/>
                <w:right w:val="none" w:sz="0" w:space="0" w:color="auto"/>
              </w:divBdr>
            </w:div>
          </w:divsChild>
        </w:div>
        <w:div w:id="1765686743">
          <w:marLeft w:val="0"/>
          <w:marRight w:val="0"/>
          <w:marTop w:val="0"/>
          <w:marBottom w:val="0"/>
          <w:divBdr>
            <w:top w:val="none" w:sz="0" w:space="0" w:color="auto"/>
            <w:left w:val="none" w:sz="0" w:space="0" w:color="auto"/>
            <w:bottom w:val="none" w:sz="0" w:space="0" w:color="auto"/>
            <w:right w:val="none" w:sz="0" w:space="0" w:color="auto"/>
          </w:divBdr>
          <w:divsChild>
            <w:div w:id="1346439642">
              <w:marLeft w:val="0"/>
              <w:marRight w:val="0"/>
              <w:marTop w:val="0"/>
              <w:marBottom w:val="0"/>
              <w:divBdr>
                <w:top w:val="none" w:sz="0" w:space="0" w:color="auto"/>
                <w:left w:val="none" w:sz="0" w:space="0" w:color="auto"/>
                <w:bottom w:val="none" w:sz="0" w:space="0" w:color="auto"/>
                <w:right w:val="none" w:sz="0" w:space="0" w:color="auto"/>
              </w:divBdr>
            </w:div>
          </w:divsChild>
        </w:div>
        <w:div w:id="1766536613">
          <w:marLeft w:val="0"/>
          <w:marRight w:val="0"/>
          <w:marTop w:val="0"/>
          <w:marBottom w:val="0"/>
          <w:divBdr>
            <w:top w:val="none" w:sz="0" w:space="0" w:color="auto"/>
            <w:left w:val="none" w:sz="0" w:space="0" w:color="auto"/>
            <w:bottom w:val="none" w:sz="0" w:space="0" w:color="auto"/>
            <w:right w:val="none" w:sz="0" w:space="0" w:color="auto"/>
          </w:divBdr>
          <w:divsChild>
            <w:div w:id="371660314">
              <w:marLeft w:val="0"/>
              <w:marRight w:val="0"/>
              <w:marTop w:val="0"/>
              <w:marBottom w:val="0"/>
              <w:divBdr>
                <w:top w:val="none" w:sz="0" w:space="0" w:color="auto"/>
                <w:left w:val="none" w:sz="0" w:space="0" w:color="auto"/>
                <w:bottom w:val="none" w:sz="0" w:space="0" w:color="auto"/>
                <w:right w:val="none" w:sz="0" w:space="0" w:color="auto"/>
              </w:divBdr>
            </w:div>
          </w:divsChild>
        </w:div>
        <w:div w:id="1774664107">
          <w:marLeft w:val="0"/>
          <w:marRight w:val="0"/>
          <w:marTop w:val="0"/>
          <w:marBottom w:val="0"/>
          <w:divBdr>
            <w:top w:val="none" w:sz="0" w:space="0" w:color="auto"/>
            <w:left w:val="none" w:sz="0" w:space="0" w:color="auto"/>
            <w:bottom w:val="none" w:sz="0" w:space="0" w:color="auto"/>
            <w:right w:val="none" w:sz="0" w:space="0" w:color="auto"/>
          </w:divBdr>
          <w:divsChild>
            <w:div w:id="1467552445">
              <w:marLeft w:val="0"/>
              <w:marRight w:val="0"/>
              <w:marTop w:val="0"/>
              <w:marBottom w:val="0"/>
              <w:divBdr>
                <w:top w:val="none" w:sz="0" w:space="0" w:color="auto"/>
                <w:left w:val="none" w:sz="0" w:space="0" w:color="auto"/>
                <w:bottom w:val="none" w:sz="0" w:space="0" w:color="auto"/>
                <w:right w:val="none" w:sz="0" w:space="0" w:color="auto"/>
              </w:divBdr>
            </w:div>
          </w:divsChild>
        </w:div>
        <w:div w:id="1780875396">
          <w:marLeft w:val="0"/>
          <w:marRight w:val="0"/>
          <w:marTop w:val="0"/>
          <w:marBottom w:val="0"/>
          <w:divBdr>
            <w:top w:val="none" w:sz="0" w:space="0" w:color="auto"/>
            <w:left w:val="none" w:sz="0" w:space="0" w:color="auto"/>
            <w:bottom w:val="none" w:sz="0" w:space="0" w:color="auto"/>
            <w:right w:val="none" w:sz="0" w:space="0" w:color="auto"/>
          </w:divBdr>
          <w:divsChild>
            <w:div w:id="1889220151">
              <w:marLeft w:val="0"/>
              <w:marRight w:val="0"/>
              <w:marTop w:val="0"/>
              <w:marBottom w:val="0"/>
              <w:divBdr>
                <w:top w:val="none" w:sz="0" w:space="0" w:color="auto"/>
                <w:left w:val="none" w:sz="0" w:space="0" w:color="auto"/>
                <w:bottom w:val="none" w:sz="0" w:space="0" w:color="auto"/>
                <w:right w:val="none" w:sz="0" w:space="0" w:color="auto"/>
              </w:divBdr>
            </w:div>
          </w:divsChild>
        </w:div>
        <w:div w:id="1787430374">
          <w:marLeft w:val="0"/>
          <w:marRight w:val="0"/>
          <w:marTop w:val="0"/>
          <w:marBottom w:val="0"/>
          <w:divBdr>
            <w:top w:val="none" w:sz="0" w:space="0" w:color="auto"/>
            <w:left w:val="none" w:sz="0" w:space="0" w:color="auto"/>
            <w:bottom w:val="none" w:sz="0" w:space="0" w:color="auto"/>
            <w:right w:val="none" w:sz="0" w:space="0" w:color="auto"/>
          </w:divBdr>
          <w:divsChild>
            <w:div w:id="1408306169">
              <w:marLeft w:val="0"/>
              <w:marRight w:val="0"/>
              <w:marTop w:val="0"/>
              <w:marBottom w:val="0"/>
              <w:divBdr>
                <w:top w:val="none" w:sz="0" w:space="0" w:color="auto"/>
                <w:left w:val="none" w:sz="0" w:space="0" w:color="auto"/>
                <w:bottom w:val="none" w:sz="0" w:space="0" w:color="auto"/>
                <w:right w:val="none" w:sz="0" w:space="0" w:color="auto"/>
              </w:divBdr>
            </w:div>
          </w:divsChild>
        </w:div>
        <w:div w:id="1789230569">
          <w:marLeft w:val="0"/>
          <w:marRight w:val="0"/>
          <w:marTop w:val="0"/>
          <w:marBottom w:val="0"/>
          <w:divBdr>
            <w:top w:val="none" w:sz="0" w:space="0" w:color="auto"/>
            <w:left w:val="none" w:sz="0" w:space="0" w:color="auto"/>
            <w:bottom w:val="none" w:sz="0" w:space="0" w:color="auto"/>
            <w:right w:val="none" w:sz="0" w:space="0" w:color="auto"/>
          </w:divBdr>
          <w:divsChild>
            <w:div w:id="693265051">
              <w:marLeft w:val="0"/>
              <w:marRight w:val="0"/>
              <w:marTop w:val="0"/>
              <w:marBottom w:val="0"/>
              <w:divBdr>
                <w:top w:val="none" w:sz="0" w:space="0" w:color="auto"/>
                <w:left w:val="none" w:sz="0" w:space="0" w:color="auto"/>
                <w:bottom w:val="none" w:sz="0" w:space="0" w:color="auto"/>
                <w:right w:val="none" w:sz="0" w:space="0" w:color="auto"/>
              </w:divBdr>
            </w:div>
          </w:divsChild>
        </w:div>
        <w:div w:id="1799034720">
          <w:marLeft w:val="0"/>
          <w:marRight w:val="0"/>
          <w:marTop w:val="0"/>
          <w:marBottom w:val="0"/>
          <w:divBdr>
            <w:top w:val="none" w:sz="0" w:space="0" w:color="auto"/>
            <w:left w:val="none" w:sz="0" w:space="0" w:color="auto"/>
            <w:bottom w:val="none" w:sz="0" w:space="0" w:color="auto"/>
            <w:right w:val="none" w:sz="0" w:space="0" w:color="auto"/>
          </w:divBdr>
          <w:divsChild>
            <w:div w:id="200829121">
              <w:marLeft w:val="0"/>
              <w:marRight w:val="0"/>
              <w:marTop w:val="0"/>
              <w:marBottom w:val="0"/>
              <w:divBdr>
                <w:top w:val="none" w:sz="0" w:space="0" w:color="auto"/>
                <w:left w:val="none" w:sz="0" w:space="0" w:color="auto"/>
                <w:bottom w:val="none" w:sz="0" w:space="0" w:color="auto"/>
                <w:right w:val="none" w:sz="0" w:space="0" w:color="auto"/>
              </w:divBdr>
            </w:div>
          </w:divsChild>
        </w:div>
        <w:div w:id="1800101059">
          <w:marLeft w:val="0"/>
          <w:marRight w:val="0"/>
          <w:marTop w:val="0"/>
          <w:marBottom w:val="0"/>
          <w:divBdr>
            <w:top w:val="none" w:sz="0" w:space="0" w:color="auto"/>
            <w:left w:val="none" w:sz="0" w:space="0" w:color="auto"/>
            <w:bottom w:val="none" w:sz="0" w:space="0" w:color="auto"/>
            <w:right w:val="none" w:sz="0" w:space="0" w:color="auto"/>
          </w:divBdr>
          <w:divsChild>
            <w:div w:id="491793220">
              <w:marLeft w:val="0"/>
              <w:marRight w:val="0"/>
              <w:marTop w:val="0"/>
              <w:marBottom w:val="0"/>
              <w:divBdr>
                <w:top w:val="none" w:sz="0" w:space="0" w:color="auto"/>
                <w:left w:val="none" w:sz="0" w:space="0" w:color="auto"/>
                <w:bottom w:val="none" w:sz="0" w:space="0" w:color="auto"/>
                <w:right w:val="none" w:sz="0" w:space="0" w:color="auto"/>
              </w:divBdr>
            </w:div>
          </w:divsChild>
        </w:div>
        <w:div w:id="1822623111">
          <w:marLeft w:val="0"/>
          <w:marRight w:val="0"/>
          <w:marTop w:val="0"/>
          <w:marBottom w:val="0"/>
          <w:divBdr>
            <w:top w:val="none" w:sz="0" w:space="0" w:color="auto"/>
            <w:left w:val="none" w:sz="0" w:space="0" w:color="auto"/>
            <w:bottom w:val="none" w:sz="0" w:space="0" w:color="auto"/>
            <w:right w:val="none" w:sz="0" w:space="0" w:color="auto"/>
          </w:divBdr>
          <w:divsChild>
            <w:div w:id="1524780641">
              <w:marLeft w:val="0"/>
              <w:marRight w:val="0"/>
              <w:marTop w:val="0"/>
              <w:marBottom w:val="0"/>
              <w:divBdr>
                <w:top w:val="none" w:sz="0" w:space="0" w:color="auto"/>
                <w:left w:val="none" w:sz="0" w:space="0" w:color="auto"/>
                <w:bottom w:val="none" w:sz="0" w:space="0" w:color="auto"/>
                <w:right w:val="none" w:sz="0" w:space="0" w:color="auto"/>
              </w:divBdr>
            </w:div>
          </w:divsChild>
        </w:div>
        <w:div w:id="1823814090">
          <w:marLeft w:val="0"/>
          <w:marRight w:val="0"/>
          <w:marTop w:val="0"/>
          <w:marBottom w:val="0"/>
          <w:divBdr>
            <w:top w:val="none" w:sz="0" w:space="0" w:color="auto"/>
            <w:left w:val="none" w:sz="0" w:space="0" w:color="auto"/>
            <w:bottom w:val="none" w:sz="0" w:space="0" w:color="auto"/>
            <w:right w:val="none" w:sz="0" w:space="0" w:color="auto"/>
          </w:divBdr>
          <w:divsChild>
            <w:div w:id="634869378">
              <w:marLeft w:val="0"/>
              <w:marRight w:val="0"/>
              <w:marTop w:val="0"/>
              <w:marBottom w:val="0"/>
              <w:divBdr>
                <w:top w:val="none" w:sz="0" w:space="0" w:color="auto"/>
                <w:left w:val="none" w:sz="0" w:space="0" w:color="auto"/>
                <w:bottom w:val="none" w:sz="0" w:space="0" w:color="auto"/>
                <w:right w:val="none" w:sz="0" w:space="0" w:color="auto"/>
              </w:divBdr>
            </w:div>
          </w:divsChild>
        </w:div>
        <w:div w:id="1867938315">
          <w:marLeft w:val="0"/>
          <w:marRight w:val="0"/>
          <w:marTop w:val="0"/>
          <w:marBottom w:val="0"/>
          <w:divBdr>
            <w:top w:val="none" w:sz="0" w:space="0" w:color="auto"/>
            <w:left w:val="none" w:sz="0" w:space="0" w:color="auto"/>
            <w:bottom w:val="none" w:sz="0" w:space="0" w:color="auto"/>
            <w:right w:val="none" w:sz="0" w:space="0" w:color="auto"/>
          </w:divBdr>
          <w:divsChild>
            <w:div w:id="417486850">
              <w:marLeft w:val="0"/>
              <w:marRight w:val="0"/>
              <w:marTop w:val="0"/>
              <w:marBottom w:val="0"/>
              <w:divBdr>
                <w:top w:val="none" w:sz="0" w:space="0" w:color="auto"/>
                <w:left w:val="none" w:sz="0" w:space="0" w:color="auto"/>
                <w:bottom w:val="none" w:sz="0" w:space="0" w:color="auto"/>
                <w:right w:val="none" w:sz="0" w:space="0" w:color="auto"/>
              </w:divBdr>
            </w:div>
          </w:divsChild>
        </w:div>
        <w:div w:id="1877154842">
          <w:marLeft w:val="0"/>
          <w:marRight w:val="0"/>
          <w:marTop w:val="0"/>
          <w:marBottom w:val="0"/>
          <w:divBdr>
            <w:top w:val="none" w:sz="0" w:space="0" w:color="auto"/>
            <w:left w:val="none" w:sz="0" w:space="0" w:color="auto"/>
            <w:bottom w:val="none" w:sz="0" w:space="0" w:color="auto"/>
            <w:right w:val="none" w:sz="0" w:space="0" w:color="auto"/>
          </w:divBdr>
          <w:divsChild>
            <w:div w:id="1724719609">
              <w:marLeft w:val="0"/>
              <w:marRight w:val="0"/>
              <w:marTop w:val="0"/>
              <w:marBottom w:val="0"/>
              <w:divBdr>
                <w:top w:val="none" w:sz="0" w:space="0" w:color="auto"/>
                <w:left w:val="none" w:sz="0" w:space="0" w:color="auto"/>
                <w:bottom w:val="none" w:sz="0" w:space="0" w:color="auto"/>
                <w:right w:val="none" w:sz="0" w:space="0" w:color="auto"/>
              </w:divBdr>
            </w:div>
          </w:divsChild>
        </w:div>
        <w:div w:id="1895268185">
          <w:marLeft w:val="0"/>
          <w:marRight w:val="0"/>
          <w:marTop w:val="0"/>
          <w:marBottom w:val="0"/>
          <w:divBdr>
            <w:top w:val="none" w:sz="0" w:space="0" w:color="auto"/>
            <w:left w:val="none" w:sz="0" w:space="0" w:color="auto"/>
            <w:bottom w:val="none" w:sz="0" w:space="0" w:color="auto"/>
            <w:right w:val="none" w:sz="0" w:space="0" w:color="auto"/>
          </w:divBdr>
          <w:divsChild>
            <w:div w:id="1306081530">
              <w:marLeft w:val="0"/>
              <w:marRight w:val="0"/>
              <w:marTop w:val="0"/>
              <w:marBottom w:val="0"/>
              <w:divBdr>
                <w:top w:val="none" w:sz="0" w:space="0" w:color="auto"/>
                <w:left w:val="none" w:sz="0" w:space="0" w:color="auto"/>
                <w:bottom w:val="none" w:sz="0" w:space="0" w:color="auto"/>
                <w:right w:val="none" w:sz="0" w:space="0" w:color="auto"/>
              </w:divBdr>
            </w:div>
          </w:divsChild>
        </w:div>
        <w:div w:id="1926066642">
          <w:marLeft w:val="0"/>
          <w:marRight w:val="0"/>
          <w:marTop w:val="0"/>
          <w:marBottom w:val="0"/>
          <w:divBdr>
            <w:top w:val="none" w:sz="0" w:space="0" w:color="auto"/>
            <w:left w:val="none" w:sz="0" w:space="0" w:color="auto"/>
            <w:bottom w:val="none" w:sz="0" w:space="0" w:color="auto"/>
            <w:right w:val="none" w:sz="0" w:space="0" w:color="auto"/>
          </w:divBdr>
          <w:divsChild>
            <w:div w:id="1906338076">
              <w:marLeft w:val="0"/>
              <w:marRight w:val="0"/>
              <w:marTop w:val="0"/>
              <w:marBottom w:val="0"/>
              <w:divBdr>
                <w:top w:val="none" w:sz="0" w:space="0" w:color="auto"/>
                <w:left w:val="none" w:sz="0" w:space="0" w:color="auto"/>
                <w:bottom w:val="none" w:sz="0" w:space="0" w:color="auto"/>
                <w:right w:val="none" w:sz="0" w:space="0" w:color="auto"/>
              </w:divBdr>
            </w:div>
          </w:divsChild>
        </w:div>
        <w:div w:id="1928805087">
          <w:marLeft w:val="0"/>
          <w:marRight w:val="0"/>
          <w:marTop w:val="0"/>
          <w:marBottom w:val="0"/>
          <w:divBdr>
            <w:top w:val="none" w:sz="0" w:space="0" w:color="auto"/>
            <w:left w:val="none" w:sz="0" w:space="0" w:color="auto"/>
            <w:bottom w:val="none" w:sz="0" w:space="0" w:color="auto"/>
            <w:right w:val="none" w:sz="0" w:space="0" w:color="auto"/>
          </w:divBdr>
          <w:divsChild>
            <w:div w:id="2096441203">
              <w:marLeft w:val="0"/>
              <w:marRight w:val="0"/>
              <w:marTop w:val="0"/>
              <w:marBottom w:val="0"/>
              <w:divBdr>
                <w:top w:val="none" w:sz="0" w:space="0" w:color="auto"/>
                <w:left w:val="none" w:sz="0" w:space="0" w:color="auto"/>
                <w:bottom w:val="none" w:sz="0" w:space="0" w:color="auto"/>
                <w:right w:val="none" w:sz="0" w:space="0" w:color="auto"/>
              </w:divBdr>
            </w:div>
          </w:divsChild>
        </w:div>
        <w:div w:id="1977561083">
          <w:marLeft w:val="0"/>
          <w:marRight w:val="0"/>
          <w:marTop w:val="0"/>
          <w:marBottom w:val="0"/>
          <w:divBdr>
            <w:top w:val="none" w:sz="0" w:space="0" w:color="auto"/>
            <w:left w:val="none" w:sz="0" w:space="0" w:color="auto"/>
            <w:bottom w:val="none" w:sz="0" w:space="0" w:color="auto"/>
            <w:right w:val="none" w:sz="0" w:space="0" w:color="auto"/>
          </w:divBdr>
          <w:divsChild>
            <w:div w:id="1568111334">
              <w:marLeft w:val="0"/>
              <w:marRight w:val="0"/>
              <w:marTop w:val="0"/>
              <w:marBottom w:val="0"/>
              <w:divBdr>
                <w:top w:val="none" w:sz="0" w:space="0" w:color="auto"/>
                <w:left w:val="none" w:sz="0" w:space="0" w:color="auto"/>
                <w:bottom w:val="none" w:sz="0" w:space="0" w:color="auto"/>
                <w:right w:val="none" w:sz="0" w:space="0" w:color="auto"/>
              </w:divBdr>
            </w:div>
          </w:divsChild>
        </w:div>
        <w:div w:id="1978144082">
          <w:marLeft w:val="0"/>
          <w:marRight w:val="0"/>
          <w:marTop w:val="0"/>
          <w:marBottom w:val="0"/>
          <w:divBdr>
            <w:top w:val="none" w:sz="0" w:space="0" w:color="auto"/>
            <w:left w:val="none" w:sz="0" w:space="0" w:color="auto"/>
            <w:bottom w:val="none" w:sz="0" w:space="0" w:color="auto"/>
            <w:right w:val="none" w:sz="0" w:space="0" w:color="auto"/>
          </w:divBdr>
          <w:divsChild>
            <w:div w:id="151263921">
              <w:marLeft w:val="0"/>
              <w:marRight w:val="0"/>
              <w:marTop w:val="0"/>
              <w:marBottom w:val="0"/>
              <w:divBdr>
                <w:top w:val="none" w:sz="0" w:space="0" w:color="auto"/>
                <w:left w:val="none" w:sz="0" w:space="0" w:color="auto"/>
                <w:bottom w:val="none" w:sz="0" w:space="0" w:color="auto"/>
                <w:right w:val="none" w:sz="0" w:space="0" w:color="auto"/>
              </w:divBdr>
            </w:div>
          </w:divsChild>
        </w:div>
        <w:div w:id="1989430870">
          <w:marLeft w:val="0"/>
          <w:marRight w:val="0"/>
          <w:marTop w:val="0"/>
          <w:marBottom w:val="0"/>
          <w:divBdr>
            <w:top w:val="none" w:sz="0" w:space="0" w:color="auto"/>
            <w:left w:val="none" w:sz="0" w:space="0" w:color="auto"/>
            <w:bottom w:val="none" w:sz="0" w:space="0" w:color="auto"/>
            <w:right w:val="none" w:sz="0" w:space="0" w:color="auto"/>
          </w:divBdr>
          <w:divsChild>
            <w:div w:id="585726247">
              <w:marLeft w:val="0"/>
              <w:marRight w:val="0"/>
              <w:marTop w:val="0"/>
              <w:marBottom w:val="0"/>
              <w:divBdr>
                <w:top w:val="none" w:sz="0" w:space="0" w:color="auto"/>
                <w:left w:val="none" w:sz="0" w:space="0" w:color="auto"/>
                <w:bottom w:val="none" w:sz="0" w:space="0" w:color="auto"/>
                <w:right w:val="none" w:sz="0" w:space="0" w:color="auto"/>
              </w:divBdr>
            </w:div>
          </w:divsChild>
        </w:div>
        <w:div w:id="2017684196">
          <w:marLeft w:val="0"/>
          <w:marRight w:val="0"/>
          <w:marTop w:val="0"/>
          <w:marBottom w:val="0"/>
          <w:divBdr>
            <w:top w:val="none" w:sz="0" w:space="0" w:color="auto"/>
            <w:left w:val="none" w:sz="0" w:space="0" w:color="auto"/>
            <w:bottom w:val="none" w:sz="0" w:space="0" w:color="auto"/>
            <w:right w:val="none" w:sz="0" w:space="0" w:color="auto"/>
          </w:divBdr>
          <w:divsChild>
            <w:div w:id="1453326362">
              <w:marLeft w:val="0"/>
              <w:marRight w:val="0"/>
              <w:marTop w:val="0"/>
              <w:marBottom w:val="0"/>
              <w:divBdr>
                <w:top w:val="none" w:sz="0" w:space="0" w:color="auto"/>
                <w:left w:val="none" w:sz="0" w:space="0" w:color="auto"/>
                <w:bottom w:val="none" w:sz="0" w:space="0" w:color="auto"/>
                <w:right w:val="none" w:sz="0" w:space="0" w:color="auto"/>
              </w:divBdr>
            </w:div>
          </w:divsChild>
        </w:div>
        <w:div w:id="2029914700">
          <w:marLeft w:val="0"/>
          <w:marRight w:val="0"/>
          <w:marTop w:val="0"/>
          <w:marBottom w:val="0"/>
          <w:divBdr>
            <w:top w:val="none" w:sz="0" w:space="0" w:color="auto"/>
            <w:left w:val="none" w:sz="0" w:space="0" w:color="auto"/>
            <w:bottom w:val="none" w:sz="0" w:space="0" w:color="auto"/>
            <w:right w:val="none" w:sz="0" w:space="0" w:color="auto"/>
          </w:divBdr>
          <w:divsChild>
            <w:div w:id="988168987">
              <w:marLeft w:val="0"/>
              <w:marRight w:val="0"/>
              <w:marTop w:val="0"/>
              <w:marBottom w:val="0"/>
              <w:divBdr>
                <w:top w:val="none" w:sz="0" w:space="0" w:color="auto"/>
                <w:left w:val="none" w:sz="0" w:space="0" w:color="auto"/>
                <w:bottom w:val="none" w:sz="0" w:space="0" w:color="auto"/>
                <w:right w:val="none" w:sz="0" w:space="0" w:color="auto"/>
              </w:divBdr>
            </w:div>
          </w:divsChild>
        </w:div>
        <w:div w:id="2053118238">
          <w:marLeft w:val="0"/>
          <w:marRight w:val="0"/>
          <w:marTop w:val="0"/>
          <w:marBottom w:val="0"/>
          <w:divBdr>
            <w:top w:val="none" w:sz="0" w:space="0" w:color="auto"/>
            <w:left w:val="none" w:sz="0" w:space="0" w:color="auto"/>
            <w:bottom w:val="none" w:sz="0" w:space="0" w:color="auto"/>
            <w:right w:val="none" w:sz="0" w:space="0" w:color="auto"/>
          </w:divBdr>
          <w:divsChild>
            <w:div w:id="1552114204">
              <w:marLeft w:val="0"/>
              <w:marRight w:val="0"/>
              <w:marTop w:val="0"/>
              <w:marBottom w:val="0"/>
              <w:divBdr>
                <w:top w:val="none" w:sz="0" w:space="0" w:color="auto"/>
                <w:left w:val="none" w:sz="0" w:space="0" w:color="auto"/>
                <w:bottom w:val="none" w:sz="0" w:space="0" w:color="auto"/>
                <w:right w:val="none" w:sz="0" w:space="0" w:color="auto"/>
              </w:divBdr>
            </w:div>
          </w:divsChild>
        </w:div>
        <w:div w:id="2053840607">
          <w:marLeft w:val="0"/>
          <w:marRight w:val="0"/>
          <w:marTop w:val="0"/>
          <w:marBottom w:val="0"/>
          <w:divBdr>
            <w:top w:val="none" w:sz="0" w:space="0" w:color="auto"/>
            <w:left w:val="none" w:sz="0" w:space="0" w:color="auto"/>
            <w:bottom w:val="none" w:sz="0" w:space="0" w:color="auto"/>
            <w:right w:val="none" w:sz="0" w:space="0" w:color="auto"/>
          </w:divBdr>
          <w:divsChild>
            <w:div w:id="1134561297">
              <w:marLeft w:val="0"/>
              <w:marRight w:val="0"/>
              <w:marTop w:val="0"/>
              <w:marBottom w:val="0"/>
              <w:divBdr>
                <w:top w:val="none" w:sz="0" w:space="0" w:color="auto"/>
                <w:left w:val="none" w:sz="0" w:space="0" w:color="auto"/>
                <w:bottom w:val="none" w:sz="0" w:space="0" w:color="auto"/>
                <w:right w:val="none" w:sz="0" w:space="0" w:color="auto"/>
              </w:divBdr>
            </w:div>
          </w:divsChild>
        </w:div>
        <w:div w:id="2067757597">
          <w:marLeft w:val="0"/>
          <w:marRight w:val="0"/>
          <w:marTop w:val="0"/>
          <w:marBottom w:val="0"/>
          <w:divBdr>
            <w:top w:val="none" w:sz="0" w:space="0" w:color="auto"/>
            <w:left w:val="none" w:sz="0" w:space="0" w:color="auto"/>
            <w:bottom w:val="none" w:sz="0" w:space="0" w:color="auto"/>
            <w:right w:val="none" w:sz="0" w:space="0" w:color="auto"/>
          </w:divBdr>
          <w:divsChild>
            <w:div w:id="828598699">
              <w:marLeft w:val="0"/>
              <w:marRight w:val="0"/>
              <w:marTop w:val="0"/>
              <w:marBottom w:val="0"/>
              <w:divBdr>
                <w:top w:val="none" w:sz="0" w:space="0" w:color="auto"/>
                <w:left w:val="none" w:sz="0" w:space="0" w:color="auto"/>
                <w:bottom w:val="none" w:sz="0" w:space="0" w:color="auto"/>
                <w:right w:val="none" w:sz="0" w:space="0" w:color="auto"/>
              </w:divBdr>
            </w:div>
          </w:divsChild>
        </w:div>
        <w:div w:id="2093044457">
          <w:marLeft w:val="0"/>
          <w:marRight w:val="0"/>
          <w:marTop w:val="0"/>
          <w:marBottom w:val="0"/>
          <w:divBdr>
            <w:top w:val="none" w:sz="0" w:space="0" w:color="auto"/>
            <w:left w:val="none" w:sz="0" w:space="0" w:color="auto"/>
            <w:bottom w:val="none" w:sz="0" w:space="0" w:color="auto"/>
            <w:right w:val="none" w:sz="0" w:space="0" w:color="auto"/>
          </w:divBdr>
          <w:divsChild>
            <w:div w:id="1548446811">
              <w:marLeft w:val="0"/>
              <w:marRight w:val="0"/>
              <w:marTop w:val="0"/>
              <w:marBottom w:val="0"/>
              <w:divBdr>
                <w:top w:val="none" w:sz="0" w:space="0" w:color="auto"/>
                <w:left w:val="none" w:sz="0" w:space="0" w:color="auto"/>
                <w:bottom w:val="none" w:sz="0" w:space="0" w:color="auto"/>
                <w:right w:val="none" w:sz="0" w:space="0" w:color="auto"/>
              </w:divBdr>
            </w:div>
          </w:divsChild>
        </w:div>
        <w:div w:id="2109081334">
          <w:marLeft w:val="0"/>
          <w:marRight w:val="0"/>
          <w:marTop w:val="0"/>
          <w:marBottom w:val="0"/>
          <w:divBdr>
            <w:top w:val="none" w:sz="0" w:space="0" w:color="auto"/>
            <w:left w:val="none" w:sz="0" w:space="0" w:color="auto"/>
            <w:bottom w:val="none" w:sz="0" w:space="0" w:color="auto"/>
            <w:right w:val="none" w:sz="0" w:space="0" w:color="auto"/>
          </w:divBdr>
          <w:divsChild>
            <w:div w:id="437527471">
              <w:marLeft w:val="0"/>
              <w:marRight w:val="0"/>
              <w:marTop w:val="0"/>
              <w:marBottom w:val="0"/>
              <w:divBdr>
                <w:top w:val="none" w:sz="0" w:space="0" w:color="auto"/>
                <w:left w:val="none" w:sz="0" w:space="0" w:color="auto"/>
                <w:bottom w:val="none" w:sz="0" w:space="0" w:color="auto"/>
                <w:right w:val="none" w:sz="0" w:space="0" w:color="auto"/>
              </w:divBdr>
            </w:div>
          </w:divsChild>
        </w:div>
        <w:div w:id="2121876193">
          <w:marLeft w:val="0"/>
          <w:marRight w:val="0"/>
          <w:marTop w:val="0"/>
          <w:marBottom w:val="0"/>
          <w:divBdr>
            <w:top w:val="none" w:sz="0" w:space="0" w:color="auto"/>
            <w:left w:val="none" w:sz="0" w:space="0" w:color="auto"/>
            <w:bottom w:val="none" w:sz="0" w:space="0" w:color="auto"/>
            <w:right w:val="none" w:sz="0" w:space="0" w:color="auto"/>
          </w:divBdr>
          <w:divsChild>
            <w:div w:id="115186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868973">
      <w:bodyDiv w:val="1"/>
      <w:marLeft w:val="0"/>
      <w:marRight w:val="0"/>
      <w:marTop w:val="0"/>
      <w:marBottom w:val="0"/>
      <w:divBdr>
        <w:top w:val="none" w:sz="0" w:space="0" w:color="auto"/>
        <w:left w:val="none" w:sz="0" w:space="0" w:color="auto"/>
        <w:bottom w:val="none" w:sz="0" w:space="0" w:color="auto"/>
        <w:right w:val="none" w:sz="0" w:space="0" w:color="auto"/>
      </w:divBdr>
    </w:div>
    <w:div w:id="1955672287">
      <w:bodyDiv w:val="1"/>
      <w:marLeft w:val="0"/>
      <w:marRight w:val="0"/>
      <w:marTop w:val="0"/>
      <w:marBottom w:val="0"/>
      <w:divBdr>
        <w:top w:val="none" w:sz="0" w:space="0" w:color="auto"/>
        <w:left w:val="none" w:sz="0" w:space="0" w:color="auto"/>
        <w:bottom w:val="none" w:sz="0" w:space="0" w:color="auto"/>
        <w:right w:val="none" w:sz="0" w:space="0" w:color="auto"/>
      </w:divBdr>
    </w:div>
    <w:div w:id="1992129533">
      <w:bodyDiv w:val="1"/>
      <w:marLeft w:val="0"/>
      <w:marRight w:val="0"/>
      <w:marTop w:val="0"/>
      <w:marBottom w:val="0"/>
      <w:divBdr>
        <w:top w:val="none" w:sz="0" w:space="0" w:color="auto"/>
        <w:left w:val="none" w:sz="0" w:space="0" w:color="auto"/>
        <w:bottom w:val="none" w:sz="0" w:space="0" w:color="auto"/>
        <w:right w:val="none" w:sz="0" w:space="0" w:color="auto"/>
      </w:divBdr>
    </w:div>
    <w:div w:id="2038384618">
      <w:bodyDiv w:val="1"/>
      <w:marLeft w:val="0"/>
      <w:marRight w:val="0"/>
      <w:marTop w:val="0"/>
      <w:marBottom w:val="0"/>
      <w:divBdr>
        <w:top w:val="none" w:sz="0" w:space="0" w:color="auto"/>
        <w:left w:val="none" w:sz="0" w:space="0" w:color="auto"/>
        <w:bottom w:val="none" w:sz="0" w:space="0" w:color="auto"/>
        <w:right w:val="none" w:sz="0" w:space="0" w:color="auto"/>
      </w:divBdr>
    </w:div>
    <w:div w:id="2043285761">
      <w:bodyDiv w:val="1"/>
      <w:marLeft w:val="0"/>
      <w:marRight w:val="0"/>
      <w:marTop w:val="0"/>
      <w:marBottom w:val="0"/>
      <w:divBdr>
        <w:top w:val="none" w:sz="0" w:space="0" w:color="auto"/>
        <w:left w:val="none" w:sz="0" w:space="0" w:color="auto"/>
        <w:bottom w:val="none" w:sz="0" w:space="0" w:color="auto"/>
        <w:right w:val="none" w:sz="0" w:space="0" w:color="auto"/>
      </w:divBdr>
    </w:div>
    <w:div w:id="2064255552">
      <w:bodyDiv w:val="1"/>
      <w:marLeft w:val="0"/>
      <w:marRight w:val="0"/>
      <w:marTop w:val="0"/>
      <w:marBottom w:val="0"/>
      <w:divBdr>
        <w:top w:val="none" w:sz="0" w:space="0" w:color="auto"/>
        <w:left w:val="none" w:sz="0" w:space="0" w:color="auto"/>
        <w:bottom w:val="none" w:sz="0" w:space="0" w:color="auto"/>
        <w:right w:val="none" w:sz="0" w:space="0" w:color="auto"/>
      </w:divBdr>
      <w:divsChild>
        <w:div w:id="83497828">
          <w:marLeft w:val="0"/>
          <w:marRight w:val="0"/>
          <w:marTop w:val="0"/>
          <w:marBottom w:val="0"/>
          <w:divBdr>
            <w:top w:val="none" w:sz="0" w:space="0" w:color="auto"/>
            <w:left w:val="none" w:sz="0" w:space="0" w:color="auto"/>
            <w:bottom w:val="none" w:sz="0" w:space="0" w:color="auto"/>
            <w:right w:val="none" w:sz="0" w:space="0" w:color="auto"/>
          </w:divBdr>
        </w:div>
        <w:div w:id="255674717">
          <w:marLeft w:val="0"/>
          <w:marRight w:val="0"/>
          <w:marTop w:val="0"/>
          <w:marBottom w:val="0"/>
          <w:divBdr>
            <w:top w:val="none" w:sz="0" w:space="0" w:color="auto"/>
            <w:left w:val="none" w:sz="0" w:space="0" w:color="auto"/>
            <w:bottom w:val="none" w:sz="0" w:space="0" w:color="auto"/>
            <w:right w:val="none" w:sz="0" w:space="0" w:color="auto"/>
          </w:divBdr>
        </w:div>
        <w:div w:id="353729354">
          <w:marLeft w:val="0"/>
          <w:marRight w:val="0"/>
          <w:marTop w:val="0"/>
          <w:marBottom w:val="0"/>
          <w:divBdr>
            <w:top w:val="none" w:sz="0" w:space="0" w:color="auto"/>
            <w:left w:val="none" w:sz="0" w:space="0" w:color="auto"/>
            <w:bottom w:val="none" w:sz="0" w:space="0" w:color="auto"/>
            <w:right w:val="none" w:sz="0" w:space="0" w:color="auto"/>
          </w:divBdr>
        </w:div>
        <w:div w:id="626160745">
          <w:marLeft w:val="0"/>
          <w:marRight w:val="0"/>
          <w:marTop w:val="0"/>
          <w:marBottom w:val="0"/>
          <w:divBdr>
            <w:top w:val="none" w:sz="0" w:space="0" w:color="auto"/>
            <w:left w:val="none" w:sz="0" w:space="0" w:color="auto"/>
            <w:bottom w:val="none" w:sz="0" w:space="0" w:color="auto"/>
            <w:right w:val="none" w:sz="0" w:space="0" w:color="auto"/>
          </w:divBdr>
        </w:div>
        <w:div w:id="782651462">
          <w:marLeft w:val="0"/>
          <w:marRight w:val="0"/>
          <w:marTop w:val="0"/>
          <w:marBottom w:val="0"/>
          <w:divBdr>
            <w:top w:val="none" w:sz="0" w:space="0" w:color="auto"/>
            <w:left w:val="none" w:sz="0" w:space="0" w:color="auto"/>
            <w:bottom w:val="none" w:sz="0" w:space="0" w:color="auto"/>
            <w:right w:val="none" w:sz="0" w:space="0" w:color="auto"/>
          </w:divBdr>
        </w:div>
        <w:div w:id="1137647228">
          <w:marLeft w:val="0"/>
          <w:marRight w:val="0"/>
          <w:marTop w:val="0"/>
          <w:marBottom w:val="0"/>
          <w:divBdr>
            <w:top w:val="none" w:sz="0" w:space="0" w:color="auto"/>
            <w:left w:val="none" w:sz="0" w:space="0" w:color="auto"/>
            <w:bottom w:val="none" w:sz="0" w:space="0" w:color="auto"/>
            <w:right w:val="none" w:sz="0" w:space="0" w:color="auto"/>
          </w:divBdr>
        </w:div>
        <w:div w:id="1258565557">
          <w:marLeft w:val="0"/>
          <w:marRight w:val="0"/>
          <w:marTop w:val="0"/>
          <w:marBottom w:val="0"/>
          <w:divBdr>
            <w:top w:val="none" w:sz="0" w:space="0" w:color="auto"/>
            <w:left w:val="none" w:sz="0" w:space="0" w:color="auto"/>
            <w:bottom w:val="none" w:sz="0" w:space="0" w:color="auto"/>
            <w:right w:val="none" w:sz="0" w:space="0" w:color="auto"/>
          </w:divBdr>
        </w:div>
      </w:divsChild>
    </w:div>
    <w:div w:id="2081370020">
      <w:bodyDiv w:val="1"/>
      <w:marLeft w:val="0"/>
      <w:marRight w:val="0"/>
      <w:marTop w:val="0"/>
      <w:marBottom w:val="0"/>
      <w:divBdr>
        <w:top w:val="none" w:sz="0" w:space="0" w:color="auto"/>
        <w:left w:val="none" w:sz="0" w:space="0" w:color="auto"/>
        <w:bottom w:val="none" w:sz="0" w:space="0" w:color="auto"/>
        <w:right w:val="none" w:sz="0" w:space="0" w:color="auto"/>
      </w:divBdr>
    </w:div>
    <w:div w:id="2102407656">
      <w:bodyDiv w:val="1"/>
      <w:marLeft w:val="0"/>
      <w:marRight w:val="0"/>
      <w:marTop w:val="0"/>
      <w:marBottom w:val="0"/>
      <w:divBdr>
        <w:top w:val="none" w:sz="0" w:space="0" w:color="auto"/>
        <w:left w:val="none" w:sz="0" w:space="0" w:color="auto"/>
        <w:bottom w:val="none" w:sz="0" w:space="0" w:color="auto"/>
        <w:right w:val="none" w:sz="0" w:space="0" w:color="auto"/>
      </w:divBdr>
    </w:div>
    <w:div w:id="21238398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da.gov/medical-devices/unique-device-identification-system-udi-system/udi-basics" TargetMode="External"/><Relationship Id="rId21" Type="http://schemas.openxmlformats.org/officeDocument/2006/relationships/header" Target="header2.xml"/><Relationship Id="rId42" Type="http://schemas.openxmlformats.org/officeDocument/2006/relationships/image" Target="media/image17.png"/><Relationship Id="rId63" Type="http://schemas.openxmlformats.org/officeDocument/2006/relationships/image" Target="media/image38.png"/><Relationship Id="rId84" Type="http://schemas.openxmlformats.org/officeDocument/2006/relationships/hyperlink" Target="https://www.cap.org/protocols-and-guidelines/cancer-reporting-tools/cancer-protocol-templates" TargetMode="External"/><Relationship Id="rId138"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hyperlink" Target="https://hl7-definition.caristix.com/v2/" TargetMode="External"/><Relationship Id="rId11" Type="http://schemas.openxmlformats.org/officeDocument/2006/relationships/image" Target="media/image1.jpg"/><Relationship Id="rId32" Type="http://schemas.openxmlformats.org/officeDocument/2006/relationships/header" Target="header5.xml"/><Relationship Id="rId37" Type="http://schemas.openxmlformats.org/officeDocument/2006/relationships/image" Target="media/image12.svg"/><Relationship Id="rId53" Type="http://schemas.openxmlformats.org/officeDocument/2006/relationships/image" Target="media/image28.svg"/><Relationship Id="rId58" Type="http://schemas.openxmlformats.org/officeDocument/2006/relationships/image" Target="media/image33.png"/><Relationship Id="rId74" Type="http://schemas.openxmlformats.org/officeDocument/2006/relationships/hyperlink" Target="https://sherlock.epic.com/default.aspx?view=checklist/create" TargetMode="External"/><Relationship Id="rId79" Type="http://schemas.openxmlformats.org/officeDocument/2006/relationships/image" Target="media/image47.svg"/><Relationship Id="rId102" Type="http://schemas.openxmlformats.org/officeDocument/2006/relationships/hyperlink" Target="https://www.facs.org/quality-programs/cancer-programs/commission-on-cancer/" TargetMode="External"/><Relationship Id="rId123" Type="http://schemas.openxmlformats.org/officeDocument/2006/relationships/hyperlink" Target="https://confluence.hl7.org/download/attachments/82907521/Tinkar%20Project%20Summary%20-%20Sept%20WGM.pptx?api=v2" TargetMode="External"/><Relationship Id="rId128" Type="http://schemas.openxmlformats.org/officeDocument/2006/relationships/hyperlink" Target="https://loinc.org/search/" TargetMode="External"/><Relationship Id="rId5" Type="http://schemas.openxmlformats.org/officeDocument/2006/relationships/numbering" Target="numbering.xml"/><Relationship Id="rId90" Type="http://schemas.openxmlformats.org/officeDocument/2006/relationships/image" Target="media/image51.svg"/><Relationship Id="rId95" Type="http://schemas.openxmlformats.org/officeDocument/2006/relationships/hyperlink" Target="https://www.healthit.gov/topic/about-astponc" TargetMode="External"/><Relationship Id="rId22" Type="http://schemas.openxmlformats.org/officeDocument/2006/relationships/footer" Target="footer2.xml"/><Relationship Id="rId27" Type="http://schemas.openxmlformats.org/officeDocument/2006/relationships/image" Target="media/image8.emf"/><Relationship Id="rId43" Type="http://schemas.openxmlformats.org/officeDocument/2006/relationships/image" Target="media/image18.svg"/><Relationship Id="rId48" Type="http://schemas.openxmlformats.org/officeDocument/2006/relationships/image" Target="media/image23.png"/><Relationship Id="rId64" Type="http://schemas.openxmlformats.org/officeDocument/2006/relationships/image" Target="media/image39.svg"/><Relationship Id="rId69" Type="http://schemas.openxmlformats.org/officeDocument/2006/relationships/hyperlink" Target="https://documentsuat-cloud.cap.org/fda-shield/CAP%20video%20v18%20with%20cc.mp4" TargetMode="External"/><Relationship Id="rId113" Type="http://schemas.openxmlformats.org/officeDocument/2006/relationships/hyperlink" Target="https://www.ama-assn.org/practice-management/medicare-medicaid/meaningful-use-electronic-health-record-ehr-incentive" TargetMode="External"/><Relationship Id="rId118" Type="http://schemas.openxmlformats.org/officeDocument/2006/relationships/hyperlink" Target="https://www.fda.gov/science-research/science-and-research-special-topics/real-world-evidence" TargetMode="External"/><Relationship Id="rId134" Type="http://schemas.openxmlformats.org/officeDocument/2006/relationships/image" Target="media/image54.png"/><Relationship Id="rId139" Type="http://schemas.microsoft.com/office/2020/10/relationships/intelligence" Target="intelligence2.xml"/><Relationship Id="rId80" Type="http://schemas.openxmlformats.org/officeDocument/2006/relationships/header" Target="header7.xml"/><Relationship Id="rId85" Type="http://schemas.openxmlformats.org/officeDocument/2006/relationships/hyperlink" Target="https://www.cap.org/member-resources/councils-committees/autopsy-topic-center" TargetMode="External"/><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footer" Target="footer5.xml"/><Relationship Id="rId38" Type="http://schemas.openxmlformats.org/officeDocument/2006/relationships/image" Target="media/image13.png"/><Relationship Id="rId59" Type="http://schemas.openxmlformats.org/officeDocument/2006/relationships/image" Target="media/image34.svg"/><Relationship Id="rId103" Type="http://schemas.openxmlformats.org/officeDocument/2006/relationships/hyperlink" Target="https://www.fda.gov/medical-devices/unique-device-identification-system-udi-system/udi-basics" TargetMode="External"/><Relationship Id="rId108" Type="http://schemas.openxmlformats.org/officeDocument/2006/relationships/hyperlink" Target="https://www.ihe.net/" TargetMode="External"/><Relationship Id="rId124" Type="http://schemas.openxmlformats.org/officeDocument/2006/relationships/hyperlink" Target="https://www.fda.gov/medical-devices/device-advice-comprehensive-regulatoryassistance/unique-device-identification-system-udi-system" TargetMode="External"/><Relationship Id="rId129" Type="http://schemas.openxmlformats.org/officeDocument/2006/relationships/hyperlink" Target="https://browser.ihtsdotools.org/?perspective=full&amp;conceptId1=404684003&amp;edition=MAIN/SNOMEDCT-US/2024-03-01&amp;release=&amp;languages=en" TargetMode="External"/><Relationship Id="rId54" Type="http://schemas.openxmlformats.org/officeDocument/2006/relationships/image" Target="media/image29.png"/><Relationship Id="rId70" Type="http://schemas.openxmlformats.org/officeDocument/2006/relationships/hyperlink" Target="https://documentsuat-cloud.cap.org/fda-shield/Technical%20build%20EPIC%20BEAKER.v2.040524.pdf?_gl=1*8ad2im*_ga*Njc5NjU4NTkuMTcyNDcwODQ3Mw..*_ga_97ZFJSQQ0X*MTcyNDcwODQ3My4xLjAuMTcyNDcwODQ4Mi4wLjAuMA.." TargetMode="External"/><Relationship Id="rId75" Type="http://schemas.openxmlformats.org/officeDocument/2006/relationships/image" Target="media/image44.png"/><Relationship Id="rId91" Type="http://schemas.openxmlformats.org/officeDocument/2006/relationships/hyperlink" Target="https://www.facs.org/quality-programs/cancer-programs/" TargetMode="External"/><Relationship Id="rId96" Type="http://schemas.openxmlformats.org/officeDocument/2006/relationships/hyperlink" Target="https://medlineplus.gov/lab-tests/basic-metabolic-panel-bmp/"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capfdaapis.cap.org/data-load/fda-shield/pt-direct-trasmission" TargetMode="External"/><Relationship Id="rId28" Type="http://schemas.openxmlformats.org/officeDocument/2006/relationships/package" Target="embeddings/Microsoft_Excel_Worksheet.xlsx"/><Relationship Id="rId49" Type="http://schemas.openxmlformats.org/officeDocument/2006/relationships/image" Target="media/image24.svg"/><Relationship Id="rId114" Type="http://schemas.openxmlformats.org/officeDocument/2006/relationships/hyperlink" Target="https://www.cdc.gov/mmwr/preview/mmwrhtml/00014904.htm" TargetMode="External"/><Relationship Id="rId119" Type="http://schemas.openxmlformats.org/officeDocument/2006/relationships/hyperlink" Target="https://www.fda.gov/science-research/science-and-research-special-topics/real-world-evidence" TargetMode="External"/><Relationship Id="rId44" Type="http://schemas.openxmlformats.org/officeDocument/2006/relationships/image" Target="media/image19.png"/><Relationship Id="rId60" Type="http://schemas.openxmlformats.org/officeDocument/2006/relationships/image" Target="media/image35.png"/><Relationship Id="rId65" Type="http://schemas.openxmlformats.org/officeDocument/2006/relationships/image" Target="media/image40.png"/><Relationship Id="rId81" Type="http://schemas.openxmlformats.org/officeDocument/2006/relationships/image" Target="media/image48.png"/><Relationship Id="rId86" Type="http://schemas.openxmlformats.org/officeDocument/2006/relationships/hyperlink" Target="https://www.cap.org/protocols-and-guidelines/cancer-reporting-tools/cancer-protocol-templates" TargetMode="External"/><Relationship Id="rId130" Type="http://schemas.openxmlformats.org/officeDocument/2006/relationships/hyperlink" Target="https://accessgudid.nlm.nih.gov/devices/" TargetMode="External"/><Relationship Id="rId135" Type="http://schemas.openxmlformats.org/officeDocument/2006/relationships/image" Target="media/image55.svg"/><Relationship Id="rId13" Type="http://schemas.openxmlformats.org/officeDocument/2006/relationships/image" Target="media/image3.png"/><Relationship Id="rId18" Type="http://schemas.openxmlformats.org/officeDocument/2006/relationships/image" Target="media/image7.svg"/><Relationship Id="rId39" Type="http://schemas.openxmlformats.org/officeDocument/2006/relationships/image" Target="media/image14.svg"/><Relationship Id="rId109" Type="http://schemas.openxmlformats.org/officeDocument/2006/relationships/hyperlink" Target="https://www.ihe.net/" TargetMode="External"/><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image" Target="media/image30.svg"/><Relationship Id="rId76" Type="http://schemas.openxmlformats.org/officeDocument/2006/relationships/image" Target="media/image45.svg"/><Relationship Id="rId97" Type="http://schemas.openxmlformats.org/officeDocument/2006/relationships/hyperlink" Target="https://www.cap.org/about-the-cap" TargetMode="External"/><Relationship Id="rId104" Type="http://schemas.openxmlformats.org/officeDocument/2006/relationships/hyperlink" Target="https://fhir.org/" TargetMode="External"/><Relationship Id="rId120" Type="http://schemas.openxmlformats.org/officeDocument/2006/relationships/hyperlink" Target="https://www.fda.gov/medical-devices/diagnostic-data-program/systemic-harmonization-and-interoperability-enhancement-laboratory-data-shield" TargetMode="External"/><Relationship Id="rId125" Type="http://schemas.openxmlformats.org/officeDocument/2006/relationships/hyperlink" Target="https://confluence.ihtsdotools.org/display/DOCGLOSS/URU" TargetMode="External"/><Relationship Id="rId7" Type="http://schemas.openxmlformats.org/officeDocument/2006/relationships/settings" Target="settings.xml"/><Relationship Id="rId71" Type="http://schemas.openxmlformats.org/officeDocument/2006/relationships/hyperlink" Target="https://infobeta.cap.org/shield/IVD-Test-Data-Coding-QA-Program_User-Guide.pdf" TargetMode="External"/><Relationship Id="rId92" Type="http://schemas.openxmlformats.org/officeDocument/2006/relationships/hyperlink" Target="https://www.hl7.org/implement/standards/product_brief.cfm?product_id=523" TargetMode="External"/><Relationship Id="rId2" Type="http://schemas.openxmlformats.org/officeDocument/2006/relationships/customXml" Target="../customXml/item2.xml"/><Relationship Id="rId29" Type="http://schemas.openxmlformats.org/officeDocument/2006/relationships/header" Target="header4.xml"/><Relationship Id="rId24" Type="http://schemas.openxmlformats.org/officeDocument/2006/relationships/hyperlink" Target="https://capfdaapis.cap.org/data-load/fda-shield/compendium-report" TargetMode="External"/><Relationship Id="rId40" Type="http://schemas.openxmlformats.org/officeDocument/2006/relationships/image" Target="media/image15.png"/><Relationship Id="rId45" Type="http://schemas.openxmlformats.org/officeDocument/2006/relationships/image" Target="media/image20.svg"/><Relationship Id="rId66" Type="http://schemas.openxmlformats.org/officeDocument/2006/relationships/image" Target="media/image41.svg"/><Relationship Id="rId87" Type="http://schemas.openxmlformats.org/officeDocument/2006/relationships/hyperlink" Target="https://www.dhs.wisconsin.gov/forms/f4/f44243.pdf" TargetMode="External"/><Relationship Id="rId110" Type="http://schemas.openxmlformats.org/officeDocument/2006/relationships/hyperlink" Target="https://www.himss.org/resources/interoperability-healthcare" TargetMode="External"/><Relationship Id="rId115" Type="http://schemas.openxmlformats.org/officeDocument/2006/relationships/hyperlink" Target="https://www.cap.org/member-resources/councils-committees/pathology-electronic-reporting-pert-committee/" TargetMode="External"/><Relationship Id="rId131" Type="http://schemas.openxmlformats.org/officeDocument/2006/relationships/hyperlink" Target="https://documentsuat-cloud.cap.org/fda-shield/Demo+POC+-+Sept+2024_vSus_Fail.mp4" TargetMode="External"/><Relationship Id="rId136" Type="http://schemas.openxmlformats.org/officeDocument/2006/relationships/header" Target="header9.xml"/><Relationship Id="rId61" Type="http://schemas.openxmlformats.org/officeDocument/2006/relationships/image" Target="media/image36.svg"/><Relationship Id="rId82" Type="http://schemas.openxmlformats.org/officeDocument/2006/relationships/image" Target="media/image49.svg"/><Relationship Id="rId19" Type="http://schemas.openxmlformats.org/officeDocument/2006/relationships/hyperlink" Target="https://sherlock.epic.com/default.aspx?view=checklist/create" TargetMode="External"/><Relationship Id="rId14" Type="http://schemas.openxmlformats.org/officeDocument/2006/relationships/image" Target="media/image4.svg"/><Relationship Id="rId30" Type="http://schemas.openxmlformats.org/officeDocument/2006/relationships/footer" Target="footer4.xml"/><Relationship Id="rId35" Type="http://schemas.openxmlformats.org/officeDocument/2006/relationships/image" Target="media/image10.svg"/><Relationship Id="rId56" Type="http://schemas.openxmlformats.org/officeDocument/2006/relationships/image" Target="media/image31.png"/><Relationship Id="rId77" Type="http://schemas.openxmlformats.org/officeDocument/2006/relationships/header" Target="header6.xml"/><Relationship Id="rId100" Type="http://schemas.openxmlformats.org/officeDocument/2006/relationships/hyperlink" Target="https://clsi.org/about/" TargetMode="External"/><Relationship Id="rId105" Type="http://schemas.openxmlformats.org/officeDocument/2006/relationships/hyperlink" Target="https://accessgudid.nlm.nih.gov/" TargetMode="External"/><Relationship Id="rId126" Type="http://schemas.openxmlformats.org/officeDocument/2006/relationships/hyperlink" Target="https://www.healthit.gov/isa/united-states-core-data-interoperability-uscdi" TargetMode="External"/><Relationship Id="rId8" Type="http://schemas.openxmlformats.org/officeDocument/2006/relationships/webSettings" Target="webSettings.xml"/><Relationship Id="rId51" Type="http://schemas.openxmlformats.org/officeDocument/2006/relationships/image" Target="media/image26.svg"/><Relationship Id="rId72" Type="http://schemas.openxmlformats.org/officeDocument/2006/relationships/hyperlink" Target="https://infobeta.cap.org/shield/ivd-test-data-coding-quality-assurance-program/story.html" TargetMode="External"/><Relationship Id="rId93" Type="http://schemas.openxmlformats.org/officeDocument/2006/relationships/hyperlink" Target="https://documents.cap.org/documents/overview-anatomic-clinical-pathology-medical-students.pdf" TargetMode="External"/><Relationship Id="rId98" Type="http://schemas.openxmlformats.org/officeDocument/2006/relationships/hyperlink" Target="https://www.devx.com/terms/clinical-information-modeling-initiative/" TargetMode="External"/><Relationship Id="rId121" Type="http://schemas.openxmlformats.org/officeDocument/2006/relationships/hyperlink" Target="https://www.nlm.nih.gov/healthit/snomedct/index.html" TargetMode="External"/><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image" Target="media/image21.png"/><Relationship Id="rId67" Type="http://schemas.openxmlformats.org/officeDocument/2006/relationships/image" Target="media/image42.png"/><Relationship Id="rId116" Type="http://schemas.openxmlformats.org/officeDocument/2006/relationships/hyperlink" Target="https://pcornet.org/" TargetMode="External"/><Relationship Id="rId137" Type="http://schemas.openxmlformats.org/officeDocument/2006/relationships/fontTable" Target="fontTable.xml"/><Relationship Id="rId20" Type="http://schemas.openxmlformats.org/officeDocument/2006/relationships/hyperlink" Target="https://www.ihe.net/ihe_domains/ihe_pathology_and_laboratory_medicine/" TargetMode="External"/><Relationship Id="rId41" Type="http://schemas.openxmlformats.org/officeDocument/2006/relationships/image" Target="media/image16.svg"/><Relationship Id="rId62" Type="http://schemas.openxmlformats.org/officeDocument/2006/relationships/image" Target="media/image37.png"/><Relationship Id="rId83" Type="http://schemas.openxmlformats.org/officeDocument/2006/relationships/header" Target="header8.xml"/><Relationship Id="rId88" Type="http://schemas.openxmlformats.org/officeDocument/2006/relationships/hyperlink" Target="https://www.cap.org/member-resources/councils-committees/autopsy-topic-center" TargetMode="External"/><Relationship Id="rId111" Type="http://schemas.openxmlformats.org/officeDocument/2006/relationships/hyperlink" Target="https://ivdconnectivity.org/livd/" TargetMode="External"/><Relationship Id="rId132" Type="http://schemas.openxmlformats.org/officeDocument/2006/relationships/image" Target="media/image52.png"/><Relationship Id="rId15" Type="http://schemas.openxmlformats.org/officeDocument/2006/relationships/header" Target="header1.xml"/><Relationship Id="rId36" Type="http://schemas.openxmlformats.org/officeDocument/2006/relationships/image" Target="media/image11.png"/><Relationship Id="rId57" Type="http://schemas.openxmlformats.org/officeDocument/2006/relationships/image" Target="media/image32.svg"/><Relationship Id="rId106" Type="http://schemas.openxmlformats.org/officeDocument/2006/relationships/hyperlink" Target="https://www.hl7.org/" TargetMode="External"/><Relationship Id="rId127" Type="http://schemas.openxmlformats.org/officeDocument/2006/relationships/hyperlink" Target="https://www.who.int/about" TargetMode="External"/><Relationship Id="rId10" Type="http://schemas.openxmlformats.org/officeDocument/2006/relationships/endnotes" Target="endnotes.xml"/><Relationship Id="rId31" Type="http://schemas.openxmlformats.org/officeDocument/2006/relationships/hyperlink" Target="https://sherlock.epic.com/default.aspx?view=checklist/create" TargetMode="External"/><Relationship Id="rId52" Type="http://schemas.openxmlformats.org/officeDocument/2006/relationships/image" Target="media/image27.png"/><Relationship Id="rId73" Type="http://schemas.openxmlformats.org/officeDocument/2006/relationships/hyperlink" Target="https://infobeta.cap.org/shield/" TargetMode="External"/><Relationship Id="rId78" Type="http://schemas.openxmlformats.org/officeDocument/2006/relationships/image" Target="media/image46.png"/><Relationship Id="rId94" Type="http://schemas.openxmlformats.org/officeDocument/2006/relationships/hyperlink" Target="https://www.healthit.gov/buzz-blog/21st-century-cures-act/application-programming-interfaces-in-health-it" TargetMode="External"/><Relationship Id="rId99" Type="http://schemas.openxmlformats.org/officeDocument/2006/relationships/hyperlink" Target="https://www.cdc.gov/clia/index.html" TargetMode="External"/><Relationship Id="rId101" Type="http://schemas.openxmlformats.org/officeDocument/2006/relationships/hyperlink" Target="https://documents.cap.org/documents/overview-anatomic-clinical-pathology-medical-students.pdf" TargetMode="External"/><Relationship Id="rId122" Type="http://schemas.openxmlformats.org/officeDocument/2006/relationships/hyperlink" Target="https://www.healthit.gov/playbook/sdo-education/chapter-2/"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3.xml"/><Relationship Id="rId47" Type="http://schemas.openxmlformats.org/officeDocument/2006/relationships/image" Target="media/image22.svg"/><Relationship Id="rId68" Type="http://schemas.openxmlformats.org/officeDocument/2006/relationships/image" Target="media/image43.svg"/><Relationship Id="rId89" Type="http://schemas.openxmlformats.org/officeDocument/2006/relationships/image" Target="media/image50.png"/><Relationship Id="rId112" Type="http://schemas.openxmlformats.org/officeDocument/2006/relationships/hyperlink" Target="https://loinc.org/" TargetMode="External"/><Relationship Id="rId133" Type="http://schemas.openxmlformats.org/officeDocument/2006/relationships/image" Target="media/image53.sv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CAP APPROVED">
      <a:dk1>
        <a:srgbClr val="009ABF"/>
      </a:dk1>
      <a:lt1>
        <a:srgbClr val="C3C6C8"/>
      </a:lt1>
      <a:dk2>
        <a:srgbClr val="000000"/>
      </a:dk2>
      <a:lt2>
        <a:srgbClr val="AD1E28"/>
      </a:lt2>
      <a:accent1>
        <a:srgbClr val="D35E13"/>
      </a:accent1>
      <a:accent2>
        <a:srgbClr val="408740"/>
      </a:accent2>
      <a:accent3>
        <a:srgbClr val="5C2C81"/>
      </a:accent3>
      <a:accent4>
        <a:srgbClr val="00698F"/>
      </a:accent4>
      <a:accent5>
        <a:srgbClr val="5C6670"/>
      </a:accent5>
      <a:accent6>
        <a:srgbClr val="E63888"/>
      </a:accent6>
      <a:hlink>
        <a:srgbClr val="009ABF"/>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Cha12</b:Tag>
    <b:SourceType>JournalArticle</b:SourceType>
    <b:Guid>{99A82AC0-3ECD-47C8-B95A-D255A5EC39F5}</b:Guid>
    <b:Title>A position paper on standardizing the nonneoplastic kidney biopsy report</b:Title>
    <b:Year>2012</b:Year>
    <b:Author>
      <b:Author>
        <b:Corporate>Chang et al</b:Corporate>
      </b:Author>
    </b:Author>
    <b:JournalName>Human Pathology</b:JournalName>
    <b:Pages>43, 1192–1196</b:Pages>
    <b:RefOrder>1</b:RefOrder>
  </b:Source>
  <b:Source>
    <b:Tag>Wal04</b:Tag>
    <b:SourceType>JournalArticle</b:SourceType>
    <b:Guid>{C85E0F8F-BD59-47CB-8747-18C9FC2FC19A}</b:Guid>
    <b:Title>Practice guidelines for the renal biopsy</b:Title>
    <b:JournalName>Mod Pathol</b:JournalName>
    <b:Year>2004</b:Year>
    <b:Pages>17, 1555–1563</b:Pages>
    <b:Author>
      <b:Author>
        <b:Corporate>Walker, P., Cavallo, T., Bonsib, S. et al</b:Corporate>
      </b:Author>
    </b:Author>
    <b:URL>https://doi.org/10.1038/modpathol.3800239</b:URL>
    <b:RefOrder>2</b:RefOrder>
  </b:Source>
  <b:Source>
    <b:Tag>ARU</b:Tag>
    <b:SourceType>JournalArticle</b:SourceType>
    <b:Guid>{45EAC062-A9DB-42F3-9C50-C9589AA464BB}</b:Guid>
    <b:Title>Comprehensive Kidney Biopsy Workup</b:Title>
    <b:Author>
      <b:Author>
        <b:Corporate>ARUP Laboratories</b:Corporate>
      </b:Author>
    </b:Author>
    <b:URL>https://ltd.aruplab.com/Tests/Pub/2013259</b:URL>
    <b:RefOrder>3</b:RefOrder>
  </b:Source>
  <b:Source>
    <b:Tag>Wil21</b:Tag>
    <b:SourceType>JournalArticle</b:SourceType>
    <b:Guid>{4CE354CC-A7E4-4F97-87BF-9EF8D119BCE6}</b:Guid>
    <b:Title>Automated identification of glomeruli and synchronised review of special stains in renal biopsies by machine learning and slide registration: A cross-institutional study.</b:Title>
    <b:Year>2021</b:Year>
    <b:Author>
      <b:Author>
        <b:Corporate>Wilbur, D. C., Smith, M. L., Cornell, L. D., Andryushkin, A., &amp; Pettus, J. R.</b:Corporate>
      </b:Author>
    </b:Author>
    <b:JournalName>Histopathology</b:JournalName>
    <b:URL>https://doi.org/10.1111/his.14376</b:URL>
    <b:RefOrder>4</b:RefOrder>
  </b:Source>
  <b:Source>
    <b:Tag>Cen24</b:Tag>
    <b:SourceType>JournalArticle</b:SourceType>
    <b:Guid>{8C376107-514B-4C22-9837-8CAFC00EF086}</b:Guid>
    <b:Title>LOINC In Vitro Diagnostic (LIVD) Test Code Mapping</b:Title>
    <b:Year>2024</b:Year>
    <b:URL>https://www.cdc.gov/csels/dls/livd-codes.html</b:URL>
    <b:Author>
      <b:Author>
        <b:Corporate>Centers for Disease Control and Prevention</b:Corporate>
      </b:Author>
    </b:Author>
    <b:RefOrder>5</b:RefOrder>
  </b:Source>
  <b:Source>
    <b:Tag>Reg24</b:Tag>
    <b:SourceType>JournalArticle</b:SourceType>
    <b:Guid>{788F31F4-445B-4E4F-B770-7D8328594983}</b:Guid>
    <b:Year>2024</b:Year>
    <b:URL>https://loinc.org/</b:URL>
    <b:JournalName>The international standard for identifying health measurements, observations, and documents. LOINC from Regenstrief</b:JournalName>
    <b:Author>
      <b:Author>
        <b:Corporate>Regenstrief Institute</b:Corporate>
      </b:Author>
    </b:Author>
    <b:RefOrder>6</b:RefOrder>
  </b:Source>
  <b:Source>
    <b:Tag>SNO24</b:Tag>
    <b:SourceType>JournalArticle</b:SourceType>
    <b:Guid>{7E2C881B-4056-4A40-8A06-1AE2CEE9D1A8}</b:Guid>
    <b:Title>SNOMED International</b:Title>
    <b:Year>2024</b:Year>
    <b:URL>https://browser.ihtsdotools.org/?perspective=full&amp;conceptId1=404684003&amp;edition=MAIN/SNOMEDCT-US/2024-03-01&amp;release=&amp;languages=en</b:URL>
    <b:JournalName>SNOMED CT Browser</b:JournalName>
    <b:RefOrder>7</b:RefOrder>
  </b:Source>
  <b:Source>
    <b:Tag>Cam</b:Tag>
    <b:SourceType>JournalArticle</b:SourceType>
    <b:Guid>{F35C0121-CF25-4C2E-B659-C5F17F77C708}</b:Guid>
    <b:Author>
      <b:Author>
        <b:Corporate>Campbell, Keith E, MD, PhD</b:Corporate>
      </b:Author>
    </b:Author>
    <b:Title>Building Analysis Normal Form (ANF) Clinical Statements</b:Title>
    <b:Year>2021</b:Year>
    <b:Month>April</b:Month>
    <b:JournalName>US Department of Veterans Affairs</b:JournalName>
    <b:RefOrder>8</b:RefOrder>
  </b:Source>
  <b:Source>
    <b:Tag>Nat24</b:Tag>
    <b:SourceType>JournalArticle</b:SourceType>
    <b:Guid>{5A79DF79-18EF-4DDC-9879-5F40F12E46E6}</b:Guid>
    <b:Title>AccessGUDID</b:Title>
    <b:Year>2024</b:Year>
    <b:URL>https://accessgudid.nlm.nih.gov/</b:URL>
    <b:Author>
      <b:Author>
        <b:Corporate>National Library of Medicine</b:Corporate>
      </b:Author>
    </b:Author>
    <b:RefOrder>9</b:RefOrder>
  </b:Source>
  <b:Source>
    <b:Tag>Gre22</b:Tag>
    <b:SourceType>Book</b:SourceType>
    <b:Guid>{4C12D303-FCA8-4E46-8A39-13675DB0864C}</b:Guid>
    <b:Title>Ultimate Guide to UDI for Medical Devices</b:Title>
    <b:Year>2022</b:Year>
    <b:Author>
      <b:Author>
        <b:NameList>
          <b:Person>
            <b:Last>Nichols</b:Last>
            <b:First>Etienne</b:First>
          </b:Person>
        </b:NameList>
      </b:Author>
    </b:Author>
    <b:Publisher>Greenlight Guru</b:Publisher>
    <b:URL>https://www.greenlight.guru/blog/udi-medical-devices</b:URL>
    <b:RefOrder>10</b:RefOrder>
  </b:Source>
  <b:Source>
    <b:Tag>Cli19</b:Tag>
    <b:SourceType>JournalArticle</b:SourceType>
    <b:Guid>{9AECC369-35A7-4CC9-99D7-1F6F353D15F2}</b:Guid>
    <b:Title>HL7 CIMI Logical Model for Analysis: Analysis Normal Form (ANF)</b:Title>
    <b:Year>2019</b:Year>
    <b:Author>
      <b:Author>
        <b:Corporate>Health Level Seven International</b:Corporate>
      </b:Author>
    </b:Author>
    <b:JournalName>Clinical Decision Support Work Group</b:JournalName>
    <b:Month>September</b:Month>
    <b:Volume>Release 1 HL7 Informative Ballot</b:Volume>
    <b:RefOrder>11</b:RefOrder>
  </b:Source>
  <b:Source>
    <b:Tag>Cli20</b:Tag>
    <b:SourceType>JournalArticle</b:SourceType>
    <b:Guid>{6B5BA06E-0624-47E4-A81C-3F778D72DB57}</b:Guid>
    <b:Title>HL7 CIMI Logical Model for Analysis: Analysis Normal Form (ANF)</b:Title>
    <b:Year>2020</b:Year>
    <b:URL>https://www.hl7.org/</b:URL>
    <b:Author>
      <b:Author>
        <b:Corporate>Health Level Seven International</b:Corporate>
      </b:Author>
    </b:Author>
    <b:JournalName>Clinical Decision Support Work Group</b:JournalName>
    <b:Publisher>Release 1 HL7 Informative Publication</b:Publisher>
    <b:RefOrder>12</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2EC17F244CB9374DBAD4352F086818BB" ma:contentTypeVersion="14" ma:contentTypeDescription="Create a new document." ma:contentTypeScope="" ma:versionID="b2c5e53ed4e35518770debfce513391c">
  <xsd:schema xmlns:xsd="http://www.w3.org/2001/XMLSchema" xmlns:xs="http://www.w3.org/2001/XMLSchema" xmlns:p="http://schemas.microsoft.com/office/2006/metadata/properties" xmlns:ns2="8981d377-c3fc-499b-9768-897adc1de08f" xmlns:ns3="bdfb4951-410d-4725-b0e7-b924f1c5a90b" targetNamespace="http://schemas.microsoft.com/office/2006/metadata/properties" ma:root="true" ma:fieldsID="f129a7cfa9d29b170459494f078accdb" ns2:_="" ns3:_="">
    <xsd:import namespace="8981d377-c3fc-499b-9768-897adc1de08f"/>
    <xsd:import namespace="bdfb4951-410d-4725-b0e7-b924f1c5a90b"/>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81d377-c3fc-499b-9768-897adc1de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fbdd1b83-c472-4c37-af9c-06b907ce2f12"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dfb4951-410d-4725-b0e7-b924f1c5a90b"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5fd6ee4-4f0f-45f4-b624-0e329759bfe3}" ma:internalName="TaxCatchAll" ma:showField="CatchAllData" ma:web="bdfb4951-410d-4725-b0e7-b924f1c5a90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bdfb4951-410d-4725-b0e7-b924f1c5a90b" xsi:nil="true"/>
    <lcf76f155ced4ddcb4097134ff3c332f xmlns="8981d377-c3fc-499b-9768-897adc1de08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2440F70-4339-4568-9208-B02C952D1B98}">
  <ds:schemaRefs>
    <ds:schemaRef ds:uri="http://schemas.openxmlformats.org/officeDocument/2006/bibliography"/>
  </ds:schemaRefs>
</ds:datastoreItem>
</file>

<file path=customXml/itemProps2.xml><?xml version="1.0" encoding="utf-8"?>
<ds:datastoreItem xmlns:ds="http://schemas.openxmlformats.org/officeDocument/2006/customXml" ds:itemID="{A5075A07-82A0-4AAE-B4F7-5A078B8DA9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81d377-c3fc-499b-9768-897adc1de08f"/>
    <ds:schemaRef ds:uri="bdfb4951-410d-4725-b0e7-b924f1c5a9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866D34C-2FBD-41E1-82E2-78AAEE506367}">
  <ds:schemaRefs>
    <ds:schemaRef ds:uri="http://schemas.microsoft.com/sharepoint/v3/contenttype/forms"/>
  </ds:schemaRefs>
</ds:datastoreItem>
</file>

<file path=customXml/itemProps4.xml><?xml version="1.0" encoding="utf-8"?>
<ds:datastoreItem xmlns:ds="http://schemas.openxmlformats.org/officeDocument/2006/customXml" ds:itemID="{50504EBA-3F8F-48B9-ACC4-E3D8C5EE8A54}">
  <ds:schemaRefs>
    <ds:schemaRef ds:uri="http://schemas.microsoft.com/office/2006/metadata/properties"/>
    <ds:schemaRef ds:uri="http://schemas.microsoft.com/office/infopath/2007/PartnerControls"/>
    <ds:schemaRef ds:uri="bdfb4951-410d-4725-b0e7-b924f1c5a90b"/>
    <ds:schemaRef ds:uri="8981d377-c3fc-499b-9768-897adc1de08f"/>
  </ds:schemaRefs>
</ds:datastoreItem>
</file>

<file path=docProps/app.xml><?xml version="1.0" encoding="utf-8"?>
<Properties xmlns="http://schemas.openxmlformats.org/officeDocument/2006/extended-properties" xmlns:vt="http://schemas.openxmlformats.org/officeDocument/2006/docPropsVTypes">
  <Template>Normal</Template>
  <TotalTime>50346</TotalTime>
  <Pages>122</Pages>
  <Words>41545</Words>
  <Characters>236810</Characters>
  <Application>Microsoft Office Word</Application>
  <DocSecurity>0</DocSecurity>
  <Lines>1973</Lines>
  <Paragraphs>555</Paragraphs>
  <ScaleCrop>false</ScaleCrop>
  <HeadingPairs>
    <vt:vector size="2" baseType="variant">
      <vt:variant>
        <vt:lpstr>Title</vt:lpstr>
      </vt:variant>
      <vt:variant>
        <vt:i4>1</vt:i4>
      </vt:variant>
    </vt:vector>
  </HeadingPairs>
  <TitlesOfParts>
    <vt:vector size="1" baseType="lpstr">
      <vt:lpstr/>
    </vt:vector>
  </TitlesOfParts>
  <Company>CAP</Company>
  <LinksUpToDate>false</LinksUpToDate>
  <CharactersWithSpaces>277800</CharactersWithSpaces>
  <SharedDoc>false</SharedDoc>
  <HLinks>
    <vt:vector size="1128" baseType="variant">
      <vt:variant>
        <vt:i4>2490412</vt:i4>
      </vt:variant>
      <vt:variant>
        <vt:i4>738</vt:i4>
      </vt:variant>
      <vt:variant>
        <vt:i4>0</vt:i4>
      </vt:variant>
      <vt:variant>
        <vt:i4>5</vt:i4>
      </vt:variant>
      <vt:variant>
        <vt:lpwstr>https://documentsuat-cloud.cap.org/fda-shield/Demo+POC+-+Sept+2024_vSus_Fail.mp4</vt:lpwstr>
      </vt:variant>
      <vt:variant>
        <vt:lpwstr/>
      </vt:variant>
      <vt:variant>
        <vt:i4>5570624</vt:i4>
      </vt:variant>
      <vt:variant>
        <vt:i4>735</vt:i4>
      </vt:variant>
      <vt:variant>
        <vt:i4>0</vt:i4>
      </vt:variant>
      <vt:variant>
        <vt:i4>5</vt:i4>
      </vt:variant>
      <vt:variant>
        <vt:lpwstr>https://accessgudid.nlm.nih.gov/devices/</vt:lpwstr>
      </vt:variant>
      <vt:variant>
        <vt:lpwstr/>
      </vt:variant>
      <vt:variant>
        <vt:i4>5832727</vt:i4>
      </vt:variant>
      <vt:variant>
        <vt:i4>732</vt:i4>
      </vt:variant>
      <vt:variant>
        <vt:i4>0</vt:i4>
      </vt:variant>
      <vt:variant>
        <vt:i4>5</vt:i4>
      </vt:variant>
      <vt:variant>
        <vt:lpwstr>https://browser.ihtsdotools.org/?perspective=full&amp;conceptId1=404684003&amp;edition=MAIN/SNOMEDCT-US/2024-03-01&amp;release=&amp;languages=en</vt:lpwstr>
      </vt:variant>
      <vt:variant>
        <vt:lpwstr/>
      </vt:variant>
      <vt:variant>
        <vt:i4>1835103</vt:i4>
      </vt:variant>
      <vt:variant>
        <vt:i4>729</vt:i4>
      </vt:variant>
      <vt:variant>
        <vt:i4>0</vt:i4>
      </vt:variant>
      <vt:variant>
        <vt:i4>5</vt:i4>
      </vt:variant>
      <vt:variant>
        <vt:lpwstr>https://loinc.org/search/</vt:lpwstr>
      </vt:variant>
      <vt:variant>
        <vt:lpwstr/>
      </vt:variant>
      <vt:variant>
        <vt:i4>5767243</vt:i4>
      </vt:variant>
      <vt:variant>
        <vt:i4>726</vt:i4>
      </vt:variant>
      <vt:variant>
        <vt:i4>0</vt:i4>
      </vt:variant>
      <vt:variant>
        <vt:i4>5</vt:i4>
      </vt:variant>
      <vt:variant>
        <vt:lpwstr>https://www.who.int/about</vt:lpwstr>
      </vt:variant>
      <vt:variant>
        <vt:lpwstr/>
      </vt:variant>
      <vt:variant>
        <vt:i4>7471226</vt:i4>
      </vt:variant>
      <vt:variant>
        <vt:i4>723</vt:i4>
      </vt:variant>
      <vt:variant>
        <vt:i4>0</vt:i4>
      </vt:variant>
      <vt:variant>
        <vt:i4>5</vt:i4>
      </vt:variant>
      <vt:variant>
        <vt:lpwstr>https://www.healthit.gov/isa/united-states-core-data-interoperability-uscdi</vt:lpwstr>
      </vt:variant>
      <vt:variant>
        <vt:lpwstr/>
      </vt:variant>
      <vt:variant>
        <vt:i4>3670075</vt:i4>
      </vt:variant>
      <vt:variant>
        <vt:i4>720</vt:i4>
      </vt:variant>
      <vt:variant>
        <vt:i4>0</vt:i4>
      </vt:variant>
      <vt:variant>
        <vt:i4>5</vt:i4>
      </vt:variant>
      <vt:variant>
        <vt:lpwstr>https://confluence.ihtsdotools.org/display/DOCGLOSS/URU</vt:lpwstr>
      </vt:variant>
      <vt:variant>
        <vt:lpwstr/>
      </vt:variant>
      <vt:variant>
        <vt:i4>4063333</vt:i4>
      </vt:variant>
      <vt:variant>
        <vt:i4>717</vt:i4>
      </vt:variant>
      <vt:variant>
        <vt:i4>0</vt:i4>
      </vt:variant>
      <vt:variant>
        <vt:i4>5</vt:i4>
      </vt:variant>
      <vt:variant>
        <vt:lpwstr>https://www.fda.gov/medical-devices/device-advice-comprehensive-regulatoryassistance/unique-device-identification-system-udi-system</vt:lpwstr>
      </vt:variant>
      <vt:variant>
        <vt:lpwstr/>
      </vt:variant>
      <vt:variant>
        <vt:i4>6291576</vt:i4>
      </vt:variant>
      <vt:variant>
        <vt:i4>714</vt:i4>
      </vt:variant>
      <vt:variant>
        <vt:i4>0</vt:i4>
      </vt:variant>
      <vt:variant>
        <vt:i4>5</vt:i4>
      </vt:variant>
      <vt:variant>
        <vt:lpwstr>https://confluence.hl7.org/download/attachments/82907521/Tinkar Project Summary - Sept WGM.pptx?api=v2</vt:lpwstr>
      </vt:variant>
      <vt:variant>
        <vt:lpwstr/>
      </vt:variant>
      <vt:variant>
        <vt:i4>7995511</vt:i4>
      </vt:variant>
      <vt:variant>
        <vt:i4>711</vt:i4>
      </vt:variant>
      <vt:variant>
        <vt:i4>0</vt:i4>
      </vt:variant>
      <vt:variant>
        <vt:i4>5</vt:i4>
      </vt:variant>
      <vt:variant>
        <vt:lpwstr>https://www.healthit.gov/playbook/sdo-education/chapter-2/</vt:lpwstr>
      </vt:variant>
      <vt:variant>
        <vt:lpwstr/>
      </vt:variant>
      <vt:variant>
        <vt:i4>1048588</vt:i4>
      </vt:variant>
      <vt:variant>
        <vt:i4>708</vt:i4>
      </vt:variant>
      <vt:variant>
        <vt:i4>0</vt:i4>
      </vt:variant>
      <vt:variant>
        <vt:i4>5</vt:i4>
      </vt:variant>
      <vt:variant>
        <vt:lpwstr>https://www.nlm.nih.gov/healthit/snomedct/index.html</vt:lpwstr>
      </vt:variant>
      <vt:variant>
        <vt:lpwstr/>
      </vt:variant>
      <vt:variant>
        <vt:i4>8192109</vt:i4>
      </vt:variant>
      <vt:variant>
        <vt:i4>705</vt:i4>
      </vt:variant>
      <vt:variant>
        <vt:i4>0</vt:i4>
      </vt:variant>
      <vt:variant>
        <vt:i4>5</vt:i4>
      </vt:variant>
      <vt:variant>
        <vt:lpwstr>https://www.fda.gov/medical-devices/diagnostic-data-program/systemic-harmonization-and-interoperability-enhancement-laboratory-data-shield</vt:lpwstr>
      </vt:variant>
      <vt:variant>
        <vt:lpwstr/>
      </vt:variant>
      <vt:variant>
        <vt:i4>589891</vt:i4>
      </vt:variant>
      <vt:variant>
        <vt:i4>702</vt:i4>
      </vt:variant>
      <vt:variant>
        <vt:i4>0</vt:i4>
      </vt:variant>
      <vt:variant>
        <vt:i4>5</vt:i4>
      </vt:variant>
      <vt:variant>
        <vt:lpwstr>https://www.fda.gov/science-research/science-and-research-special-topics/real-world-evidence</vt:lpwstr>
      </vt:variant>
      <vt:variant>
        <vt:lpwstr/>
      </vt:variant>
      <vt:variant>
        <vt:i4>589891</vt:i4>
      </vt:variant>
      <vt:variant>
        <vt:i4>699</vt:i4>
      </vt:variant>
      <vt:variant>
        <vt:i4>0</vt:i4>
      </vt:variant>
      <vt:variant>
        <vt:i4>5</vt:i4>
      </vt:variant>
      <vt:variant>
        <vt:lpwstr>https://www.fda.gov/science-research/science-and-research-special-topics/real-world-evidence</vt:lpwstr>
      </vt:variant>
      <vt:variant>
        <vt:lpwstr/>
      </vt:variant>
      <vt:variant>
        <vt:i4>65603</vt:i4>
      </vt:variant>
      <vt:variant>
        <vt:i4>696</vt:i4>
      </vt:variant>
      <vt:variant>
        <vt:i4>0</vt:i4>
      </vt:variant>
      <vt:variant>
        <vt:i4>5</vt:i4>
      </vt:variant>
      <vt:variant>
        <vt:lpwstr>https://www.fda.gov/medical-devices/unique-device-identification-system-udi-system/udi-basics</vt:lpwstr>
      </vt:variant>
      <vt:variant>
        <vt:lpwstr/>
      </vt:variant>
      <vt:variant>
        <vt:i4>1441869</vt:i4>
      </vt:variant>
      <vt:variant>
        <vt:i4>693</vt:i4>
      </vt:variant>
      <vt:variant>
        <vt:i4>0</vt:i4>
      </vt:variant>
      <vt:variant>
        <vt:i4>5</vt:i4>
      </vt:variant>
      <vt:variant>
        <vt:lpwstr>https://pcornet.org/</vt:lpwstr>
      </vt:variant>
      <vt:variant>
        <vt:lpwstr/>
      </vt:variant>
      <vt:variant>
        <vt:i4>6750334</vt:i4>
      </vt:variant>
      <vt:variant>
        <vt:i4>690</vt:i4>
      </vt:variant>
      <vt:variant>
        <vt:i4>0</vt:i4>
      </vt:variant>
      <vt:variant>
        <vt:i4>5</vt:i4>
      </vt:variant>
      <vt:variant>
        <vt:lpwstr>https://www.cap.org/member-resources/councils-committees/pathology-electronic-reporting-pert-committee/</vt:lpwstr>
      </vt:variant>
      <vt:variant>
        <vt:lpwstr/>
      </vt:variant>
      <vt:variant>
        <vt:i4>7274611</vt:i4>
      </vt:variant>
      <vt:variant>
        <vt:i4>687</vt:i4>
      </vt:variant>
      <vt:variant>
        <vt:i4>0</vt:i4>
      </vt:variant>
      <vt:variant>
        <vt:i4>5</vt:i4>
      </vt:variant>
      <vt:variant>
        <vt:lpwstr>https://www.cdc.gov/mmwr/preview/mmwrhtml/00014904.htm</vt:lpwstr>
      </vt:variant>
      <vt:variant>
        <vt:lpwstr/>
      </vt:variant>
      <vt:variant>
        <vt:i4>4915219</vt:i4>
      </vt:variant>
      <vt:variant>
        <vt:i4>681</vt:i4>
      </vt:variant>
      <vt:variant>
        <vt:i4>0</vt:i4>
      </vt:variant>
      <vt:variant>
        <vt:i4>5</vt:i4>
      </vt:variant>
      <vt:variant>
        <vt:lpwstr>https://www.ama-assn.org/practice-management/medicare-medicaid/meaningful-use-electronic-health-record-ehr-incentive</vt:lpwstr>
      </vt:variant>
      <vt:variant>
        <vt:lpwstr/>
      </vt:variant>
      <vt:variant>
        <vt:i4>6488110</vt:i4>
      </vt:variant>
      <vt:variant>
        <vt:i4>678</vt:i4>
      </vt:variant>
      <vt:variant>
        <vt:i4>0</vt:i4>
      </vt:variant>
      <vt:variant>
        <vt:i4>5</vt:i4>
      </vt:variant>
      <vt:variant>
        <vt:lpwstr>https://loinc.org/</vt:lpwstr>
      </vt:variant>
      <vt:variant>
        <vt:lpwstr/>
      </vt:variant>
      <vt:variant>
        <vt:i4>458820</vt:i4>
      </vt:variant>
      <vt:variant>
        <vt:i4>675</vt:i4>
      </vt:variant>
      <vt:variant>
        <vt:i4>0</vt:i4>
      </vt:variant>
      <vt:variant>
        <vt:i4>5</vt:i4>
      </vt:variant>
      <vt:variant>
        <vt:lpwstr>https://ivdconnectivity.org/livd/</vt:lpwstr>
      </vt:variant>
      <vt:variant>
        <vt:lpwstr/>
      </vt:variant>
      <vt:variant>
        <vt:i4>3407976</vt:i4>
      </vt:variant>
      <vt:variant>
        <vt:i4>672</vt:i4>
      </vt:variant>
      <vt:variant>
        <vt:i4>0</vt:i4>
      </vt:variant>
      <vt:variant>
        <vt:i4>5</vt:i4>
      </vt:variant>
      <vt:variant>
        <vt:lpwstr>https://www.himss.org/resources/interoperability-healthcare</vt:lpwstr>
      </vt:variant>
      <vt:variant>
        <vt:lpwstr>:~:text=Verb%3A%20The%20electronic%20sharing%20of,to%20inform%20health%20and%20care.</vt:lpwstr>
      </vt:variant>
      <vt:variant>
        <vt:i4>4456534</vt:i4>
      </vt:variant>
      <vt:variant>
        <vt:i4>669</vt:i4>
      </vt:variant>
      <vt:variant>
        <vt:i4>0</vt:i4>
      </vt:variant>
      <vt:variant>
        <vt:i4>5</vt:i4>
      </vt:variant>
      <vt:variant>
        <vt:lpwstr>https://www.ihe.net/</vt:lpwstr>
      </vt:variant>
      <vt:variant>
        <vt:lpwstr/>
      </vt:variant>
      <vt:variant>
        <vt:i4>4456534</vt:i4>
      </vt:variant>
      <vt:variant>
        <vt:i4>666</vt:i4>
      </vt:variant>
      <vt:variant>
        <vt:i4>0</vt:i4>
      </vt:variant>
      <vt:variant>
        <vt:i4>5</vt:i4>
      </vt:variant>
      <vt:variant>
        <vt:lpwstr>https://www.ihe.net/</vt:lpwstr>
      </vt:variant>
      <vt:variant>
        <vt:lpwstr/>
      </vt:variant>
      <vt:variant>
        <vt:i4>6619194</vt:i4>
      </vt:variant>
      <vt:variant>
        <vt:i4>663</vt:i4>
      </vt:variant>
      <vt:variant>
        <vt:i4>0</vt:i4>
      </vt:variant>
      <vt:variant>
        <vt:i4>5</vt:i4>
      </vt:variant>
      <vt:variant>
        <vt:lpwstr>https://hl7-definition.caristix.com/v2/</vt:lpwstr>
      </vt:variant>
      <vt:variant>
        <vt:lpwstr/>
      </vt:variant>
      <vt:variant>
        <vt:i4>5701655</vt:i4>
      </vt:variant>
      <vt:variant>
        <vt:i4>660</vt:i4>
      </vt:variant>
      <vt:variant>
        <vt:i4>0</vt:i4>
      </vt:variant>
      <vt:variant>
        <vt:i4>5</vt:i4>
      </vt:variant>
      <vt:variant>
        <vt:lpwstr>https://www.hl7.org/</vt:lpwstr>
      </vt:variant>
      <vt:variant>
        <vt:lpwstr/>
      </vt:variant>
      <vt:variant>
        <vt:i4>1245250</vt:i4>
      </vt:variant>
      <vt:variant>
        <vt:i4>657</vt:i4>
      </vt:variant>
      <vt:variant>
        <vt:i4>0</vt:i4>
      </vt:variant>
      <vt:variant>
        <vt:i4>5</vt:i4>
      </vt:variant>
      <vt:variant>
        <vt:lpwstr>https://accessgudid.nlm.nih.gov/</vt:lpwstr>
      </vt:variant>
      <vt:variant>
        <vt:lpwstr/>
      </vt:variant>
      <vt:variant>
        <vt:i4>196627</vt:i4>
      </vt:variant>
      <vt:variant>
        <vt:i4>654</vt:i4>
      </vt:variant>
      <vt:variant>
        <vt:i4>0</vt:i4>
      </vt:variant>
      <vt:variant>
        <vt:i4>5</vt:i4>
      </vt:variant>
      <vt:variant>
        <vt:lpwstr>https://fhir.org/</vt:lpwstr>
      </vt:variant>
      <vt:variant>
        <vt:lpwstr/>
      </vt:variant>
      <vt:variant>
        <vt:i4>65603</vt:i4>
      </vt:variant>
      <vt:variant>
        <vt:i4>651</vt:i4>
      </vt:variant>
      <vt:variant>
        <vt:i4>0</vt:i4>
      </vt:variant>
      <vt:variant>
        <vt:i4>5</vt:i4>
      </vt:variant>
      <vt:variant>
        <vt:lpwstr>https://www.fda.gov/medical-devices/unique-device-identification-system-udi-system/udi-basics</vt:lpwstr>
      </vt:variant>
      <vt:variant>
        <vt:lpwstr/>
      </vt:variant>
      <vt:variant>
        <vt:i4>6684771</vt:i4>
      </vt:variant>
      <vt:variant>
        <vt:i4>648</vt:i4>
      </vt:variant>
      <vt:variant>
        <vt:i4>0</vt:i4>
      </vt:variant>
      <vt:variant>
        <vt:i4>5</vt:i4>
      </vt:variant>
      <vt:variant>
        <vt:lpwstr>https://www.facs.org/quality-programs/cancer-programs/commission-on-cancer/</vt:lpwstr>
      </vt:variant>
      <vt:variant>
        <vt:lpwstr/>
      </vt:variant>
      <vt:variant>
        <vt:i4>1572934</vt:i4>
      </vt:variant>
      <vt:variant>
        <vt:i4>645</vt:i4>
      </vt:variant>
      <vt:variant>
        <vt:i4>0</vt:i4>
      </vt:variant>
      <vt:variant>
        <vt:i4>5</vt:i4>
      </vt:variant>
      <vt:variant>
        <vt:lpwstr>https://documents.cap.org/documents/overview-anatomic-clinical-pathology-medical-students.pdf</vt:lpwstr>
      </vt:variant>
      <vt:variant>
        <vt:lpwstr/>
      </vt:variant>
      <vt:variant>
        <vt:i4>6684724</vt:i4>
      </vt:variant>
      <vt:variant>
        <vt:i4>642</vt:i4>
      </vt:variant>
      <vt:variant>
        <vt:i4>0</vt:i4>
      </vt:variant>
      <vt:variant>
        <vt:i4>5</vt:i4>
      </vt:variant>
      <vt:variant>
        <vt:lpwstr>https://clsi.org/about/</vt:lpwstr>
      </vt:variant>
      <vt:variant>
        <vt:lpwstr/>
      </vt:variant>
      <vt:variant>
        <vt:i4>4128805</vt:i4>
      </vt:variant>
      <vt:variant>
        <vt:i4>639</vt:i4>
      </vt:variant>
      <vt:variant>
        <vt:i4>0</vt:i4>
      </vt:variant>
      <vt:variant>
        <vt:i4>5</vt:i4>
      </vt:variant>
      <vt:variant>
        <vt:lpwstr>https://www.cdc.gov/clia/index.html</vt:lpwstr>
      </vt:variant>
      <vt:variant>
        <vt:lpwstr/>
      </vt:variant>
      <vt:variant>
        <vt:i4>1769564</vt:i4>
      </vt:variant>
      <vt:variant>
        <vt:i4>636</vt:i4>
      </vt:variant>
      <vt:variant>
        <vt:i4>0</vt:i4>
      </vt:variant>
      <vt:variant>
        <vt:i4>5</vt:i4>
      </vt:variant>
      <vt:variant>
        <vt:lpwstr>https://www.devx.com/terms/clinical-information-modeling-initiative/</vt:lpwstr>
      </vt:variant>
      <vt:variant>
        <vt:lpwstr/>
      </vt:variant>
      <vt:variant>
        <vt:i4>4456531</vt:i4>
      </vt:variant>
      <vt:variant>
        <vt:i4>633</vt:i4>
      </vt:variant>
      <vt:variant>
        <vt:i4>0</vt:i4>
      </vt:variant>
      <vt:variant>
        <vt:i4>5</vt:i4>
      </vt:variant>
      <vt:variant>
        <vt:lpwstr>https://www.cap.org/about-the-cap</vt:lpwstr>
      </vt:variant>
      <vt:variant>
        <vt:lpwstr/>
      </vt:variant>
      <vt:variant>
        <vt:i4>917591</vt:i4>
      </vt:variant>
      <vt:variant>
        <vt:i4>630</vt:i4>
      </vt:variant>
      <vt:variant>
        <vt:i4>0</vt:i4>
      </vt:variant>
      <vt:variant>
        <vt:i4>5</vt:i4>
      </vt:variant>
      <vt:variant>
        <vt:lpwstr>https://medlineplus.gov/lab-tests/basic-metabolic-panel-bmp/</vt:lpwstr>
      </vt:variant>
      <vt:variant>
        <vt:lpwstr/>
      </vt:variant>
      <vt:variant>
        <vt:i4>4718660</vt:i4>
      </vt:variant>
      <vt:variant>
        <vt:i4>627</vt:i4>
      </vt:variant>
      <vt:variant>
        <vt:i4>0</vt:i4>
      </vt:variant>
      <vt:variant>
        <vt:i4>5</vt:i4>
      </vt:variant>
      <vt:variant>
        <vt:lpwstr>https://www.healthit.gov/topic/about-astponc</vt:lpwstr>
      </vt:variant>
      <vt:variant>
        <vt:lpwstr/>
      </vt:variant>
      <vt:variant>
        <vt:i4>196684</vt:i4>
      </vt:variant>
      <vt:variant>
        <vt:i4>624</vt:i4>
      </vt:variant>
      <vt:variant>
        <vt:i4>0</vt:i4>
      </vt:variant>
      <vt:variant>
        <vt:i4>5</vt:i4>
      </vt:variant>
      <vt:variant>
        <vt:lpwstr>https://www.healthit.gov/buzz-blog/21st-century-cures-act/application-programming-interfaces-in-health-it</vt:lpwstr>
      </vt:variant>
      <vt:variant>
        <vt:lpwstr/>
      </vt:variant>
      <vt:variant>
        <vt:i4>1572934</vt:i4>
      </vt:variant>
      <vt:variant>
        <vt:i4>621</vt:i4>
      </vt:variant>
      <vt:variant>
        <vt:i4>0</vt:i4>
      </vt:variant>
      <vt:variant>
        <vt:i4>5</vt:i4>
      </vt:variant>
      <vt:variant>
        <vt:lpwstr>https://documents.cap.org/documents/overview-anatomic-clinical-pathology-medical-students.pdf</vt:lpwstr>
      </vt:variant>
      <vt:variant>
        <vt:lpwstr/>
      </vt:variant>
      <vt:variant>
        <vt:i4>4718600</vt:i4>
      </vt:variant>
      <vt:variant>
        <vt:i4>618</vt:i4>
      </vt:variant>
      <vt:variant>
        <vt:i4>0</vt:i4>
      </vt:variant>
      <vt:variant>
        <vt:i4>5</vt:i4>
      </vt:variant>
      <vt:variant>
        <vt:lpwstr>https://www.hl7.org/implement/standards/product_brief.cfm?product_id=523</vt:lpwstr>
      </vt:variant>
      <vt:variant>
        <vt:lpwstr/>
      </vt:variant>
      <vt:variant>
        <vt:i4>2228275</vt:i4>
      </vt:variant>
      <vt:variant>
        <vt:i4>615</vt:i4>
      </vt:variant>
      <vt:variant>
        <vt:i4>0</vt:i4>
      </vt:variant>
      <vt:variant>
        <vt:i4>5</vt:i4>
      </vt:variant>
      <vt:variant>
        <vt:lpwstr>https://www.facs.org/quality-programs/cancer-programs/</vt:lpwstr>
      </vt:variant>
      <vt:variant>
        <vt:lpwstr/>
      </vt:variant>
      <vt:variant>
        <vt:i4>1376316</vt:i4>
      </vt:variant>
      <vt:variant>
        <vt:i4>612</vt:i4>
      </vt:variant>
      <vt:variant>
        <vt:i4>0</vt:i4>
      </vt:variant>
      <vt:variant>
        <vt:i4>5</vt:i4>
      </vt:variant>
      <vt:variant>
        <vt:lpwstr/>
      </vt:variant>
      <vt:variant>
        <vt:lpwstr>_5._ANALYSIS_NORMAL</vt:lpwstr>
      </vt:variant>
      <vt:variant>
        <vt:i4>8061013</vt:i4>
      </vt:variant>
      <vt:variant>
        <vt:i4>609</vt:i4>
      </vt:variant>
      <vt:variant>
        <vt:i4>0</vt:i4>
      </vt:variant>
      <vt:variant>
        <vt:i4>5</vt:i4>
      </vt:variant>
      <vt:variant>
        <vt:lpwstr/>
      </vt:variant>
      <vt:variant>
        <vt:lpwstr>_4._TRAINING_AND</vt:lpwstr>
      </vt:variant>
      <vt:variant>
        <vt:i4>196705</vt:i4>
      </vt:variant>
      <vt:variant>
        <vt:i4>606</vt:i4>
      </vt:variant>
      <vt:variant>
        <vt:i4>0</vt:i4>
      </vt:variant>
      <vt:variant>
        <vt:i4>5</vt:i4>
      </vt:variant>
      <vt:variant>
        <vt:lpwstr/>
      </vt:variant>
      <vt:variant>
        <vt:lpwstr>_3.7_Gap_Analysis</vt:lpwstr>
      </vt:variant>
      <vt:variant>
        <vt:i4>5177393</vt:i4>
      </vt:variant>
      <vt:variant>
        <vt:i4>603</vt:i4>
      </vt:variant>
      <vt:variant>
        <vt:i4>0</vt:i4>
      </vt:variant>
      <vt:variant>
        <vt:i4>5</vt:i4>
      </vt:variant>
      <vt:variant>
        <vt:lpwstr/>
      </vt:variant>
      <vt:variant>
        <vt:lpwstr>_3.4_Simulate_Test</vt:lpwstr>
      </vt:variant>
      <vt:variant>
        <vt:i4>5177393</vt:i4>
      </vt:variant>
      <vt:variant>
        <vt:i4>600</vt:i4>
      </vt:variant>
      <vt:variant>
        <vt:i4>0</vt:i4>
      </vt:variant>
      <vt:variant>
        <vt:i4>5</vt:i4>
      </vt:variant>
      <vt:variant>
        <vt:lpwstr/>
      </vt:variant>
      <vt:variant>
        <vt:lpwstr>_3.4_Simulate_Test</vt:lpwstr>
      </vt:variant>
      <vt:variant>
        <vt:i4>5177393</vt:i4>
      </vt:variant>
      <vt:variant>
        <vt:i4>597</vt:i4>
      </vt:variant>
      <vt:variant>
        <vt:i4>0</vt:i4>
      </vt:variant>
      <vt:variant>
        <vt:i4>5</vt:i4>
      </vt:variant>
      <vt:variant>
        <vt:lpwstr/>
      </vt:variant>
      <vt:variant>
        <vt:lpwstr>_3.4_Simulate_Test</vt:lpwstr>
      </vt:variant>
      <vt:variant>
        <vt:i4>2687071</vt:i4>
      </vt:variant>
      <vt:variant>
        <vt:i4>594</vt:i4>
      </vt:variant>
      <vt:variant>
        <vt:i4>0</vt:i4>
      </vt:variant>
      <vt:variant>
        <vt:i4>5</vt:i4>
      </vt:variant>
      <vt:variant>
        <vt:lpwstr/>
      </vt:variant>
      <vt:variant>
        <vt:lpwstr>_3.6_QA_Analysis</vt:lpwstr>
      </vt:variant>
      <vt:variant>
        <vt:i4>6619162</vt:i4>
      </vt:variant>
      <vt:variant>
        <vt:i4>591</vt:i4>
      </vt:variant>
      <vt:variant>
        <vt:i4>0</vt:i4>
      </vt:variant>
      <vt:variant>
        <vt:i4>5</vt:i4>
      </vt:variant>
      <vt:variant>
        <vt:lpwstr/>
      </vt:variant>
      <vt:variant>
        <vt:lpwstr>_3.3_Implement_LIDR</vt:lpwstr>
      </vt:variant>
      <vt:variant>
        <vt:i4>118</vt:i4>
      </vt:variant>
      <vt:variant>
        <vt:i4>588</vt:i4>
      </vt:variant>
      <vt:variant>
        <vt:i4>0</vt:i4>
      </vt:variant>
      <vt:variant>
        <vt:i4>5</vt:i4>
      </vt:variant>
      <vt:variant>
        <vt:lpwstr/>
      </vt:variant>
      <vt:variant>
        <vt:lpwstr>_3.2_Environment_Development</vt:lpwstr>
      </vt:variant>
      <vt:variant>
        <vt:i4>7274588</vt:i4>
      </vt:variant>
      <vt:variant>
        <vt:i4>585</vt:i4>
      </vt:variant>
      <vt:variant>
        <vt:i4>0</vt:i4>
      </vt:variant>
      <vt:variant>
        <vt:i4>5</vt:i4>
      </vt:variant>
      <vt:variant>
        <vt:lpwstr/>
      </vt:variant>
      <vt:variant>
        <vt:lpwstr>_3._IN_VITRO</vt:lpwstr>
      </vt:variant>
      <vt:variant>
        <vt:i4>786461</vt:i4>
      </vt:variant>
      <vt:variant>
        <vt:i4>582</vt:i4>
      </vt:variant>
      <vt:variant>
        <vt:i4>0</vt:i4>
      </vt:variant>
      <vt:variant>
        <vt:i4>5</vt:i4>
      </vt:variant>
      <vt:variant>
        <vt:lpwstr>https://www.cap.org/member-resources/councils-committees/autopsy-topic-center</vt:lpwstr>
      </vt:variant>
      <vt:variant>
        <vt:lpwstr/>
      </vt:variant>
      <vt:variant>
        <vt:i4>5767259</vt:i4>
      </vt:variant>
      <vt:variant>
        <vt:i4>579</vt:i4>
      </vt:variant>
      <vt:variant>
        <vt:i4>0</vt:i4>
      </vt:variant>
      <vt:variant>
        <vt:i4>5</vt:i4>
      </vt:variant>
      <vt:variant>
        <vt:lpwstr>https://www.dhs.wisconsin.gov/forms/f4/f44243.pdf</vt:lpwstr>
      </vt:variant>
      <vt:variant>
        <vt:lpwstr/>
      </vt:variant>
      <vt:variant>
        <vt:i4>5898321</vt:i4>
      </vt:variant>
      <vt:variant>
        <vt:i4>576</vt:i4>
      </vt:variant>
      <vt:variant>
        <vt:i4>0</vt:i4>
      </vt:variant>
      <vt:variant>
        <vt:i4>5</vt:i4>
      </vt:variant>
      <vt:variant>
        <vt:lpwstr>https://www.cap.org/protocols-and-guidelines/cancer-reporting-tools/cancer-protocol-templates</vt:lpwstr>
      </vt:variant>
      <vt:variant>
        <vt:lpwstr/>
      </vt:variant>
      <vt:variant>
        <vt:i4>786461</vt:i4>
      </vt:variant>
      <vt:variant>
        <vt:i4>573</vt:i4>
      </vt:variant>
      <vt:variant>
        <vt:i4>0</vt:i4>
      </vt:variant>
      <vt:variant>
        <vt:i4>5</vt:i4>
      </vt:variant>
      <vt:variant>
        <vt:lpwstr>https://www.cap.org/member-resources/councils-committees/autopsy-topic-center</vt:lpwstr>
      </vt:variant>
      <vt:variant>
        <vt:lpwstr/>
      </vt:variant>
      <vt:variant>
        <vt:i4>5898321</vt:i4>
      </vt:variant>
      <vt:variant>
        <vt:i4>570</vt:i4>
      </vt:variant>
      <vt:variant>
        <vt:i4>0</vt:i4>
      </vt:variant>
      <vt:variant>
        <vt:i4>5</vt:i4>
      </vt:variant>
      <vt:variant>
        <vt:lpwstr>https://www.cap.org/protocols-and-guidelines/cancer-reporting-tools/cancer-protocol-templates</vt:lpwstr>
      </vt:variant>
      <vt:variant>
        <vt:lpwstr/>
      </vt:variant>
      <vt:variant>
        <vt:i4>3997760</vt:i4>
      </vt:variant>
      <vt:variant>
        <vt:i4>567</vt:i4>
      </vt:variant>
      <vt:variant>
        <vt:i4>0</vt:i4>
      </vt:variant>
      <vt:variant>
        <vt:i4>5</vt:i4>
      </vt:variant>
      <vt:variant>
        <vt:lpwstr/>
      </vt:variant>
      <vt:variant>
        <vt:lpwstr>_7.3.3_ANF_Supplemental</vt:lpwstr>
      </vt:variant>
      <vt:variant>
        <vt:i4>2490422</vt:i4>
      </vt:variant>
      <vt:variant>
        <vt:i4>564</vt:i4>
      </vt:variant>
      <vt:variant>
        <vt:i4>0</vt:i4>
      </vt:variant>
      <vt:variant>
        <vt:i4>5</vt:i4>
      </vt:variant>
      <vt:variant>
        <vt:lpwstr>https://sherlock.epic.com/default.aspx?view=checklist/create</vt:lpwstr>
      </vt:variant>
      <vt:variant>
        <vt:lpwstr>id=1904</vt:lpwstr>
      </vt:variant>
      <vt:variant>
        <vt:i4>5636108</vt:i4>
      </vt:variant>
      <vt:variant>
        <vt:i4>561</vt:i4>
      </vt:variant>
      <vt:variant>
        <vt:i4>0</vt:i4>
      </vt:variant>
      <vt:variant>
        <vt:i4>5</vt:i4>
      </vt:variant>
      <vt:variant>
        <vt:lpwstr>https://infobeta.cap.org/shield/</vt:lpwstr>
      </vt:variant>
      <vt:variant>
        <vt:lpwstr/>
      </vt:variant>
      <vt:variant>
        <vt:i4>4915201</vt:i4>
      </vt:variant>
      <vt:variant>
        <vt:i4>558</vt:i4>
      </vt:variant>
      <vt:variant>
        <vt:i4>0</vt:i4>
      </vt:variant>
      <vt:variant>
        <vt:i4>5</vt:i4>
      </vt:variant>
      <vt:variant>
        <vt:lpwstr>https://infobeta.cap.org/shield/ivd-test-data-coding-quality-assurance-program/story.html</vt:lpwstr>
      </vt:variant>
      <vt:variant>
        <vt:lpwstr/>
      </vt:variant>
      <vt:variant>
        <vt:i4>4915304</vt:i4>
      </vt:variant>
      <vt:variant>
        <vt:i4>555</vt:i4>
      </vt:variant>
      <vt:variant>
        <vt:i4>0</vt:i4>
      </vt:variant>
      <vt:variant>
        <vt:i4>5</vt:i4>
      </vt:variant>
      <vt:variant>
        <vt:lpwstr>https://infobeta.cap.org/shield/IVD-Test-Data-Coding-QA-Program_User-Guide.pdf</vt:lpwstr>
      </vt:variant>
      <vt:variant>
        <vt:lpwstr/>
      </vt:variant>
      <vt:variant>
        <vt:i4>4390921</vt:i4>
      </vt:variant>
      <vt:variant>
        <vt:i4>552</vt:i4>
      </vt:variant>
      <vt:variant>
        <vt:i4>0</vt:i4>
      </vt:variant>
      <vt:variant>
        <vt:i4>5</vt:i4>
      </vt:variant>
      <vt:variant>
        <vt:lpwstr>https://documentsuat-cloud.cap.org/fda-shield/Technical build EPIC BEAKER.v2.040524.pdf?_gl=1*8ad2im*_ga*Njc5NjU4NTkuMTcyNDcwODQ3Mw..*_ga_97ZFJSQQ0X*MTcyNDcwODQ3My4xLjAuMTcyNDcwODQ4Mi4wLjAuMA..</vt:lpwstr>
      </vt:variant>
      <vt:variant>
        <vt:lpwstr/>
      </vt:variant>
      <vt:variant>
        <vt:i4>7733363</vt:i4>
      </vt:variant>
      <vt:variant>
        <vt:i4>549</vt:i4>
      </vt:variant>
      <vt:variant>
        <vt:i4>0</vt:i4>
      </vt:variant>
      <vt:variant>
        <vt:i4>5</vt:i4>
      </vt:variant>
      <vt:variant>
        <vt:lpwstr>https://documentsuat-cloud.cap.org/fda-shield/CAP video v18 with cc.mp4</vt:lpwstr>
      </vt:variant>
      <vt:variant>
        <vt:lpwstr/>
      </vt:variant>
      <vt:variant>
        <vt:i4>720914</vt:i4>
      </vt:variant>
      <vt:variant>
        <vt:i4>546</vt:i4>
      </vt:variant>
      <vt:variant>
        <vt:i4>0</vt:i4>
      </vt:variant>
      <vt:variant>
        <vt:i4>5</vt:i4>
      </vt:variant>
      <vt:variant>
        <vt:lpwstr/>
      </vt:variant>
      <vt:variant>
        <vt:lpwstr>_7.3.1.2_Coding_Feedback_1</vt:lpwstr>
      </vt:variant>
      <vt:variant>
        <vt:i4>720914</vt:i4>
      </vt:variant>
      <vt:variant>
        <vt:i4>540</vt:i4>
      </vt:variant>
      <vt:variant>
        <vt:i4>0</vt:i4>
      </vt:variant>
      <vt:variant>
        <vt:i4>5</vt:i4>
      </vt:variant>
      <vt:variant>
        <vt:lpwstr/>
      </vt:variant>
      <vt:variant>
        <vt:lpwstr>_7.3.1.2_Coding_Feedback_1</vt:lpwstr>
      </vt:variant>
      <vt:variant>
        <vt:i4>1638502</vt:i4>
      </vt:variant>
      <vt:variant>
        <vt:i4>537</vt:i4>
      </vt:variant>
      <vt:variant>
        <vt:i4>0</vt:i4>
      </vt:variant>
      <vt:variant>
        <vt:i4>5</vt:i4>
      </vt:variant>
      <vt:variant>
        <vt:lpwstr/>
      </vt:variant>
      <vt:variant>
        <vt:lpwstr>_3.7.4.3_Ordered_test</vt:lpwstr>
      </vt:variant>
      <vt:variant>
        <vt:i4>3866745</vt:i4>
      </vt:variant>
      <vt:variant>
        <vt:i4>534</vt:i4>
      </vt:variant>
      <vt:variant>
        <vt:i4>0</vt:i4>
      </vt:variant>
      <vt:variant>
        <vt:i4>5</vt:i4>
      </vt:variant>
      <vt:variant>
        <vt:lpwstr/>
      </vt:variant>
      <vt:variant>
        <vt:lpwstr>Gap_14_14</vt:lpwstr>
      </vt:variant>
      <vt:variant>
        <vt:i4>720933</vt:i4>
      </vt:variant>
      <vt:variant>
        <vt:i4>531</vt:i4>
      </vt:variant>
      <vt:variant>
        <vt:i4>0</vt:i4>
      </vt:variant>
      <vt:variant>
        <vt:i4>5</vt:i4>
      </vt:variant>
      <vt:variant>
        <vt:lpwstr/>
      </vt:variant>
      <vt:variant>
        <vt:lpwstr>Gap_25</vt:lpwstr>
      </vt:variant>
      <vt:variant>
        <vt:i4>655397</vt:i4>
      </vt:variant>
      <vt:variant>
        <vt:i4>528</vt:i4>
      </vt:variant>
      <vt:variant>
        <vt:i4>0</vt:i4>
      </vt:variant>
      <vt:variant>
        <vt:i4>5</vt:i4>
      </vt:variant>
      <vt:variant>
        <vt:lpwstr/>
      </vt:variant>
      <vt:variant>
        <vt:lpwstr>Gap_24</vt:lpwstr>
      </vt:variant>
      <vt:variant>
        <vt:i4>852005</vt:i4>
      </vt:variant>
      <vt:variant>
        <vt:i4>525</vt:i4>
      </vt:variant>
      <vt:variant>
        <vt:i4>0</vt:i4>
      </vt:variant>
      <vt:variant>
        <vt:i4>5</vt:i4>
      </vt:variant>
      <vt:variant>
        <vt:lpwstr/>
      </vt:variant>
      <vt:variant>
        <vt:lpwstr>Gap_23</vt:lpwstr>
      </vt:variant>
      <vt:variant>
        <vt:i4>786469</vt:i4>
      </vt:variant>
      <vt:variant>
        <vt:i4>522</vt:i4>
      </vt:variant>
      <vt:variant>
        <vt:i4>0</vt:i4>
      </vt:variant>
      <vt:variant>
        <vt:i4>5</vt:i4>
      </vt:variant>
      <vt:variant>
        <vt:lpwstr/>
      </vt:variant>
      <vt:variant>
        <vt:lpwstr>Gap_22</vt:lpwstr>
      </vt:variant>
      <vt:variant>
        <vt:i4>983077</vt:i4>
      </vt:variant>
      <vt:variant>
        <vt:i4>519</vt:i4>
      </vt:variant>
      <vt:variant>
        <vt:i4>0</vt:i4>
      </vt:variant>
      <vt:variant>
        <vt:i4>5</vt:i4>
      </vt:variant>
      <vt:variant>
        <vt:lpwstr/>
      </vt:variant>
      <vt:variant>
        <vt:lpwstr>Gap_21</vt:lpwstr>
      </vt:variant>
      <vt:variant>
        <vt:i4>917541</vt:i4>
      </vt:variant>
      <vt:variant>
        <vt:i4>516</vt:i4>
      </vt:variant>
      <vt:variant>
        <vt:i4>0</vt:i4>
      </vt:variant>
      <vt:variant>
        <vt:i4>5</vt:i4>
      </vt:variant>
      <vt:variant>
        <vt:lpwstr/>
      </vt:variant>
      <vt:variant>
        <vt:lpwstr>Gap_20</vt:lpwstr>
      </vt:variant>
      <vt:variant>
        <vt:i4>458790</vt:i4>
      </vt:variant>
      <vt:variant>
        <vt:i4>513</vt:i4>
      </vt:variant>
      <vt:variant>
        <vt:i4>0</vt:i4>
      </vt:variant>
      <vt:variant>
        <vt:i4>5</vt:i4>
      </vt:variant>
      <vt:variant>
        <vt:lpwstr/>
      </vt:variant>
      <vt:variant>
        <vt:lpwstr>Gap_19</vt:lpwstr>
      </vt:variant>
      <vt:variant>
        <vt:i4>393254</vt:i4>
      </vt:variant>
      <vt:variant>
        <vt:i4>510</vt:i4>
      </vt:variant>
      <vt:variant>
        <vt:i4>0</vt:i4>
      </vt:variant>
      <vt:variant>
        <vt:i4>5</vt:i4>
      </vt:variant>
      <vt:variant>
        <vt:lpwstr/>
      </vt:variant>
      <vt:variant>
        <vt:lpwstr>Gap_18</vt:lpwstr>
      </vt:variant>
      <vt:variant>
        <vt:i4>6357039</vt:i4>
      </vt:variant>
      <vt:variant>
        <vt:i4>507</vt:i4>
      </vt:variant>
      <vt:variant>
        <vt:i4>0</vt:i4>
      </vt:variant>
      <vt:variant>
        <vt:i4>5</vt:i4>
      </vt:variant>
      <vt:variant>
        <vt:lpwstr/>
      </vt:variant>
      <vt:variant>
        <vt:lpwstr>Gap_8_8</vt:lpwstr>
      </vt:variant>
      <vt:variant>
        <vt:i4>589862</vt:i4>
      </vt:variant>
      <vt:variant>
        <vt:i4>504</vt:i4>
      </vt:variant>
      <vt:variant>
        <vt:i4>0</vt:i4>
      </vt:variant>
      <vt:variant>
        <vt:i4>5</vt:i4>
      </vt:variant>
      <vt:variant>
        <vt:lpwstr/>
      </vt:variant>
      <vt:variant>
        <vt:lpwstr>Gap_17</vt:lpwstr>
      </vt:variant>
      <vt:variant>
        <vt:i4>524326</vt:i4>
      </vt:variant>
      <vt:variant>
        <vt:i4>501</vt:i4>
      </vt:variant>
      <vt:variant>
        <vt:i4>0</vt:i4>
      </vt:variant>
      <vt:variant>
        <vt:i4>5</vt:i4>
      </vt:variant>
      <vt:variant>
        <vt:lpwstr/>
      </vt:variant>
      <vt:variant>
        <vt:lpwstr>Gap_16</vt:lpwstr>
      </vt:variant>
      <vt:variant>
        <vt:i4>720934</vt:i4>
      </vt:variant>
      <vt:variant>
        <vt:i4>498</vt:i4>
      </vt:variant>
      <vt:variant>
        <vt:i4>0</vt:i4>
      </vt:variant>
      <vt:variant>
        <vt:i4>5</vt:i4>
      </vt:variant>
      <vt:variant>
        <vt:lpwstr/>
      </vt:variant>
      <vt:variant>
        <vt:lpwstr>Gap_15</vt:lpwstr>
      </vt:variant>
      <vt:variant>
        <vt:i4>655398</vt:i4>
      </vt:variant>
      <vt:variant>
        <vt:i4>495</vt:i4>
      </vt:variant>
      <vt:variant>
        <vt:i4>0</vt:i4>
      </vt:variant>
      <vt:variant>
        <vt:i4>5</vt:i4>
      </vt:variant>
      <vt:variant>
        <vt:lpwstr/>
      </vt:variant>
      <vt:variant>
        <vt:lpwstr>Gap_14</vt:lpwstr>
      </vt:variant>
      <vt:variant>
        <vt:i4>852006</vt:i4>
      </vt:variant>
      <vt:variant>
        <vt:i4>492</vt:i4>
      </vt:variant>
      <vt:variant>
        <vt:i4>0</vt:i4>
      </vt:variant>
      <vt:variant>
        <vt:i4>5</vt:i4>
      </vt:variant>
      <vt:variant>
        <vt:lpwstr/>
      </vt:variant>
      <vt:variant>
        <vt:lpwstr>Gap_13</vt:lpwstr>
      </vt:variant>
      <vt:variant>
        <vt:i4>786470</vt:i4>
      </vt:variant>
      <vt:variant>
        <vt:i4>489</vt:i4>
      </vt:variant>
      <vt:variant>
        <vt:i4>0</vt:i4>
      </vt:variant>
      <vt:variant>
        <vt:i4>5</vt:i4>
      </vt:variant>
      <vt:variant>
        <vt:lpwstr/>
      </vt:variant>
      <vt:variant>
        <vt:lpwstr>Gap_12</vt:lpwstr>
      </vt:variant>
      <vt:variant>
        <vt:i4>983078</vt:i4>
      </vt:variant>
      <vt:variant>
        <vt:i4>486</vt:i4>
      </vt:variant>
      <vt:variant>
        <vt:i4>0</vt:i4>
      </vt:variant>
      <vt:variant>
        <vt:i4>5</vt:i4>
      </vt:variant>
      <vt:variant>
        <vt:lpwstr/>
      </vt:variant>
      <vt:variant>
        <vt:lpwstr>Gap_11</vt:lpwstr>
      </vt:variant>
      <vt:variant>
        <vt:i4>917542</vt:i4>
      </vt:variant>
      <vt:variant>
        <vt:i4>483</vt:i4>
      </vt:variant>
      <vt:variant>
        <vt:i4>0</vt:i4>
      </vt:variant>
      <vt:variant>
        <vt:i4>5</vt:i4>
      </vt:variant>
      <vt:variant>
        <vt:lpwstr/>
      </vt:variant>
      <vt:variant>
        <vt:lpwstr>Gap_10</vt:lpwstr>
      </vt:variant>
      <vt:variant>
        <vt:i4>4063255</vt:i4>
      </vt:variant>
      <vt:variant>
        <vt:i4>480</vt:i4>
      </vt:variant>
      <vt:variant>
        <vt:i4>0</vt:i4>
      </vt:variant>
      <vt:variant>
        <vt:i4>5</vt:i4>
      </vt:variant>
      <vt:variant>
        <vt:lpwstr/>
      </vt:variant>
      <vt:variant>
        <vt:lpwstr>Gap_9</vt:lpwstr>
      </vt:variant>
      <vt:variant>
        <vt:i4>3670137</vt:i4>
      </vt:variant>
      <vt:variant>
        <vt:i4>477</vt:i4>
      </vt:variant>
      <vt:variant>
        <vt:i4>0</vt:i4>
      </vt:variant>
      <vt:variant>
        <vt:i4>5</vt:i4>
      </vt:variant>
      <vt:variant>
        <vt:lpwstr/>
      </vt:variant>
      <vt:variant>
        <vt:lpwstr>Gap_17_17</vt:lpwstr>
      </vt:variant>
      <vt:variant>
        <vt:i4>4063255</vt:i4>
      </vt:variant>
      <vt:variant>
        <vt:i4>474</vt:i4>
      </vt:variant>
      <vt:variant>
        <vt:i4>0</vt:i4>
      </vt:variant>
      <vt:variant>
        <vt:i4>5</vt:i4>
      </vt:variant>
      <vt:variant>
        <vt:lpwstr/>
      </vt:variant>
      <vt:variant>
        <vt:lpwstr>Gap_8</vt:lpwstr>
      </vt:variant>
      <vt:variant>
        <vt:i4>4063255</vt:i4>
      </vt:variant>
      <vt:variant>
        <vt:i4>471</vt:i4>
      </vt:variant>
      <vt:variant>
        <vt:i4>0</vt:i4>
      </vt:variant>
      <vt:variant>
        <vt:i4>5</vt:i4>
      </vt:variant>
      <vt:variant>
        <vt:lpwstr/>
      </vt:variant>
      <vt:variant>
        <vt:lpwstr>Gap_7</vt:lpwstr>
      </vt:variant>
      <vt:variant>
        <vt:i4>4063255</vt:i4>
      </vt:variant>
      <vt:variant>
        <vt:i4>468</vt:i4>
      </vt:variant>
      <vt:variant>
        <vt:i4>0</vt:i4>
      </vt:variant>
      <vt:variant>
        <vt:i4>5</vt:i4>
      </vt:variant>
      <vt:variant>
        <vt:lpwstr/>
      </vt:variant>
      <vt:variant>
        <vt:lpwstr>Gap_6</vt:lpwstr>
      </vt:variant>
      <vt:variant>
        <vt:i4>4063255</vt:i4>
      </vt:variant>
      <vt:variant>
        <vt:i4>465</vt:i4>
      </vt:variant>
      <vt:variant>
        <vt:i4>0</vt:i4>
      </vt:variant>
      <vt:variant>
        <vt:i4>5</vt:i4>
      </vt:variant>
      <vt:variant>
        <vt:lpwstr/>
      </vt:variant>
      <vt:variant>
        <vt:lpwstr>Gap_5</vt:lpwstr>
      </vt:variant>
      <vt:variant>
        <vt:i4>4063255</vt:i4>
      </vt:variant>
      <vt:variant>
        <vt:i4>462</vt:i4>
      </vt:variant>
      <vt:variant>
        <vt:i4>0</vt:i4>
      </vt:variant>
      <vt:variant>
        <vt:i4>5</vt:i4>
      </vt:variant>
      <vt:variant>
        <vt:lpwstr/>
      </vt:variant>
      <vt:variant>
        <vt:lpwstr>Gap_4</vt:lpwstr>
      </vt:variant>
      <vt:variant>
        <vt:i4>4063255</vt:i4>
      </vt:variant>
      <vt:variant>
        <vt:i4>459</vt:i4>
      </vt:variant>
      <vt:variant>
        <vt:i4>0</vt:i4>
      </vt:variant>
      <vt:variant>
        <vt:i4>5</vt:i4>
      </vt:variant>
      <vt:variant>
        <vt:lpwstr/>
      </vt:variant>
      <vt:variant>
        <vt:lpwstr>Gap_3</vt:lpwstr>
      </vt:variant>
      <vt:variant>
        <vt:i4>4063255</vt:i4>
      </vt:variant>
      <vt:variant>
        <vt:i4>456</vt:i4>
      </vt:variant>
      <vt:variant>
        <vt:i4>0</vt:i4>
      </vt:variant>
      <vt:variant>
        <vt:i4>5</vt:i4>
      </vt:variant>
      <vt:variant>
        <vt:lpwstr/>
      </vt:variant>
      <vt:variant>
        <vt:lpwstr>Gap_2</vt:lpwstr>
      </vt:variant>
      <vt:variant>
        <vt:i4>4063255</vt:i4>
      </vt:variant>
      <vt:variant>
        <vt:i4>453</vt:i4>
      </vt:variant>
      <vt:variant>
        <vt:i4>0</vt:i4>
      </vt:variant>
      <vt:variant>
        <vt:i4>5</vt:i4>
      </vt:variant>
      <vt:variant>
        <vt:lpwstr/>
      </vt:variant>
      <vt:variant>
        <vt:lpwstr>Gap_1</vt:lpwstr>
      </vt:variant>
      <vt:variant>
        <vt:i4>3735674</vt:i4>
      </vt:variant>
      <vt:variant>
        <vt:i4>450</vt:i4>
      </vt:variant>
      <vt:variant>
        <vt:i4>0</vt:i4>
      </vt:variant>
      <vt:variant>
        <vt:i4>5</vt:i4>
      </vt:variant>
      <vt:variant>
        <vt:lpwstr/>
      </vt:variant>
      <vt:variant>
        <vt:lpwstr>Gap_25_25</vt:lpwstr>
      </vt:variant>
      <vt:variant>
        <vt:i4>3670138</vt:i4>
      </vt:variant>
      <vt:variant>
        <vt:i4>447</vt:i4>
      </vt:variant>
      <vt:variant>
        <vt:i4>0</vt:i4>
      </vt:variant>
      <vt:variant>
        <vt:i4>5</vt:i4>
      </vt:variant>
      <vt:variant>
        <vt:lpwstr/>
      </vt:variant>
      <vt:variant>
        <vt:lpwstr>Gap_24_24</vt:lpwstr>
      </vt:variant>
      <vt:variant>
        <vt:i4>4128890</vt:i4>
      </vt:variant>
      <vt:variant>
        <vt:i4>444</vt:i4>
      </vt:variant>
      <vt:variant>
        <vt:i4>0</vt:i4>
      </vt:variant>
      <vt:variant>
        <vt:i4>5</vt:i4>
      </vt:variant>
      <vt:variant>
        <vt:lpwstr/>
      </vt:variant>
      <vt:variant>
        <vt:lpwstr>Gap_23_23</vt:lpwstr>
      </vt:variant>
      <vt:variant>
        <vt:i4>4063354</vt:i4>
      </vt:variant>
      <vt:variant>
        <vt:i4>441</vt:i4>
      </vt:variant>
      <vt:variant>
        <vt:i4>0</vt:i4>
      </vt:variant>
      <vt:variant>
        <vt:i4>5</vt:i4>
      </vt:variant>
      <vt:variant>
        <vt:lpwstr/>
      </vt:variant>
      <vt:variant>
        <vt:lpwstr>Gap_22_22</vt:lpwstr>
      </vt:variant>
      <vt:variant>
        <vt:i4>3997818</vt:i4>
      </vt:variant>
      <vt:variant>
        <vt:i4>438</vt:i4>
      </vt:variant>
      <vt:variant>
        <vt:i4>0</vt:i4>
      </vt:variant>
      <vt:variant>
        <vt:i4>5</vt:i4>
      </vt:variant>
      <vt:variant>
        <vt:lpwstr/>
      </vt:variant>
      <vt:variant>
        <vt:lpwstr>Gap_21_21</vt:lpwstr>
      </vt:variant>
      <vt:variant>
        <vt:i4>3932282</vt:i4>
      </vt:variant>
      <vt:variant>
        <vt:i4>435</vt:i4>
      </vt:variant>
      <vt:variant>
        <vt:i4>0</vt:i4>
      </vt:variant>
      <vt:variant>
        <vt:i4>5</vt:i4>
      </vt:variant>
      <vt:variant>
        <vt:lpwstr/>
      </vt:variant>
      <vt:variant>
        <vt:lpwstr>Gap_20_20</vt:lpwstr>
      </vt:variant>
      <vt:variant>
        <vt:i4>3539065</vt:i4>
      </vt:variant>
      <vt:variant>
        <vt:i4>432</vt:i4>
      </vt:variant>
      <vt:variant>
        <vt:i4>0</vt:i4>
      </vt:variant>
      <vt:variant>
        <vt:i4>5</vt:i4>
      </vt:variant>
      <vt:variant>
        <vt:lpwstr/>
      </vt:variant>
      <vt:variant>
        <vt:lpwstr>Gap_19_19</vt:lpwstr>
      </vt:variant>
      <vt:variant>
        <vt:i4>3604601</vt:i4>
      </vt:variant>
      <vt:variant>
        <vt:i4>429</vt:i4>
      </vt:variant>
      <vt:variant>
        <vt:i4>0</vt:i4>
      </vt:variant>
      <vt:variant>
        <vt:i4>5</vt:i4>
      </vt:variant>
      <vt:variant>
        <vt:lpwstr/>
      </vt:variant>
      <vt:variant>
        <vt:lpwstr>Gap_18_18</vt:lpwstr>
      </vt:variant>
      <vt:variant>
        <vt:i4>3670137</vt:i4>
      </vt:variant>
      <vt:variant>
        <vt:i4>426</vt:i4>
      </vt:variant>
      <vt:variant>
        <vt:i4>0</vt:i4>
      </vt:variant>
      <vt:variant>
        <vt:i4>5</vt:i4>
      </vt:variant>
      <vt:variant>
        <vt:lpwstr/>
      </vt:variant>
      <vt:variant>
        <vt:lpwstr>Gap_17_17</vt:lpwstr>
      </vt:variant>
      <vt:variant>
        <vt:i4>3735673</vt:i4>
      </vt:variant>
      <vt:variant>
        <vt:i4>423</vt:i4>
      </vt:variant>
      <vt:variant>
        <vt:i4>0</vt:i4>
      </vt:variant>
      <vt:variant>
        <vt:i4>5</vt:i4>
      </vt:variant>
      <vt:variant>
        <vt:lpwstr/>
      </vt:variant>
      <vt:variant>
        <vt:lpwstr>Gap_16_16</vt:lpwstr>
      </vt:variant>
      <vt:variant>
        <vt:i4>3801209</vt:i4>
      </vt:variant>
      <vt:variant>
        <vt:i4>420</vt:i4>
      </vt:variant>
      <vt:variant>
        <vt:i4>0</vt:i4>
      </vt:variant>
      <vt:variant>
        <vt:i4>5</vt:i4>
      </vt:variant>
      <vt:variant>
        <vt:lpwstr/>
      </vt:variant>
      <vt:variant>
        <vt:lpwstr>Gap_15_15</vt:lpwstr>
      </vt:variant>
      <vt:variant>
        <vt:i4>3866745</vt:i4>
      </vt:variant>
      <vt:variant>
        <vt:i4>417</vt:i4>
      </vt:variant>
      <vt:variant>
        <vt:i4>0</vt:i4>
      </vt:variant>
      <vt:variant>
        <vt:i4>5</vt:i4>
      </vt:variant>
      <vt:variant>
        <vt:lpwstr/>
      </vt:variant>
      <vt:variant>
        <vt:lpwstr>Gap_14_14</vt:lpwstr>
      </vt:variant>
      <vt:variant>
        <vt:i4>3932281</vt:i4>
      </vt:variant>
      <vt:variant>
        <vt:i4>414</vt:i4>
      </vt:variant>
      <vt:variant>
        <vt:i4>0</vt:i4>
      </vt:variant>
      <vt:variant>
        <vt:i4>5</vt:i4>
      </vt:variant>
      <vt:variant>
        <vt:lpwstr/>
      </vt:variant>
      <vt:variant>
        <vt:lpwstr>Gap_13_13</vt:lpwstr>
      </vt:variant>
      <vt:variant>
        <vt:i4>3997817</vt:i4>
      </vt:variant>
      <vt:variant>
        <vt:i4>411</vt:i4>
      </vt:variant>
      <vt:variant>
        <vt:i4>0</vt:i4>
      </vt:variant>
      <vt:variant>
        <vt:i4>5</vt:i4>
      </vt:variant>
      <vt:variant>
        <vt:lpwstr/>
      </vt:variant>
      <vt:variant>
        <vt:lpwstr>Gap_12_12</vt:lpwstr>
      </vt:variant>
      <vt:variant>
        <vt:i4>4063353</vt:i4>
      </vt:variant>
      <vt:variant>
        <vt:i4>408</vt:i4>
      </vt:variant>
      <vt:variant>
        <vt:i4>0</vt:i4>
      </vt:variant>
      <vt:variant>
        <vt:i4>5</vt:i4>
      </vt:variant>
      <vt:variant>
        <vt:lpwstr/>
      </vt:variant>
      <vt:variant>
        <vt:lpwstr>Gap_11_11</vt:lpwstr>
      </vt:variant>
      <vt:variant>
        <vt:i4>4128889</vt:i4>
      </vt:variant>
      <vt:variant>
        <vt:i4>405</vt:i4>
      </vt:variant>
      <vt:variant>
        <vt:i4>0</vt:i4>
      </vt:variant>
      <vt:variant>
        <vt:i4>5</vt:i4>
      </vt:variant>
      <vt:variant>
        <vt:lpwstr/>
      </vt:variant>
      <vt:variant>
        <vt:lpwstr>Gap_10_10</vt:lpwstr>
      </vt:variant>
      <vt:variant>
        <vt:i4>6357038</vt:i4>
      </vt:variant>
      <vt:variant>
        <vt:i4>402</vt:i4>
      </vt:variant>
      <vt:variant>
        <vt:i4>0</vt:i4>
      </vt:variant>
      <vt:variant>
        <vt:i4>5</vt:i4>
      </vt:variant>
      <vt:variant>
        <vt:lpwstr/>
      </vt:variant>
      <vt:variant>
        <vt:lpwstr>Gap_9_9</vt:lpwstr>
      </vt:variant>
      <vt:variant>
        <vt:i4>6357039</vt:i4>
      </vt:variant>
      <vt:variant>
        <vt:i4>399</vt:i4>
      </vt:variant>
      <vt:variant>
        <vt:i4>0</vt:i4>
      </vt:variant>
      <vt:variant>
        <vt:i4>5</vt:i4>
      </vt:variant>
      <vt:variant>
        <vt:lpwstr/>
      </vt:variant>
      <vt:variant>
        <vt:lpwstr>Gap_8_8</vt:lpwstr>
      </vt:variant>
      <vt:variant>
        <vt:i4>6357024</vt:i4>
      </vt:variant>
      <vt:variant>
        <vt:i4>396</vt:i4>
      </vt:variant>
      <vt:variant>
        <vt:i4>0</vt:i4>
      </vt:variant>
      <vt:variant>
        <vt:i4>5</vt:i4>
      </vt:variant>
      <vt:variant>
        <vt:lpwstr/>
      </vt:variant>
      <vt:variant>
        <vt:lpwstr>Gap_7_7</vt:lpwstr>
      </vt:variant>
      <vt:variant>
        <vt:i4>6357025</vt:i4>
      </vt:variant>
      <vt:variant>
        <vt:i4>393</vt:i4>
      </vt:variant>
      <vt:variant>
        <vt:i4>0</vt:i4>
      </vt:variant>
      <vt:variant>
        <vt:i4>5</vt:i4>
      </vt:variant>
      <vt:variant>
        <vt:lpwstr/>
      </vt:variant>
      <vt:variant>
        <vt:lpwstr>Gap_6_6</vt:lpwstr>
      </vt:variant>
      <vt:variant>
        <vt:i4>6357026</vt:i4>
      </vt:variant>
      <vt:variant>
        <vt:i4>390</vt:i4>
      </vt:variant>
      <vt:variant>
        <vt:i4>0</vt:i4>
      </vt:variant>
      <vt:variant>
        <vt:i4>5</vt:i4>
      </vt:variant>
      <vt:variant>
        <vt:lpwstr/>
      </vt:variant>
      <vt:variant>
        <vt:lpwstr>Gap_5_5</vt:lpwstr>
      </vt:variant>
      <vt:variant>
        <vt:i4>6357027</vt:i4>
      </vt:variant>
      <vt:variant>
        <vt:i4>387</vt:i4>
      </vt:variant>
      <vt:variant>
        <vt:i4>0</vt:i4>
      </vt:variant>
      <vt:variant>
        <vt:i4>5</vt:i4>
      </vt:variant>
      <vt:variant>
        <vt:lpwstr/>
      </vt:variant>
      <vt:variant>
        <vt:lpwstr>Gap_4_4</vt:lpwstr>
      </vt:variant>
      <vt:variant>
        <vt:i4>6357028</vt:i4>
      </vt:variant>
      <vt:variant>
        <vt:i4>384</vt:i4>
      </vt:variant>
      <vt:variant>
        <vt:i4>0</vt:i4>
      </vt:variant>
      <vt:variant>
        <vt:i4>5</vt:i4>
      </vt:variant>
      <vt:variant>
        <vt:lpwstr/>
      </vt:variant>
      <vt:variant>
        <vt:lpwstr>Gap_3_3</vt:lpwstr>
      </vt:variant>
      <vt:variant>
        <vt:i4>6357029</vt:i4>
      </vt:variant>
      <vt:variant>
        <vt:i4>381</vt:i4>
      </vt:variant>
      <vt:variant>
        <vt:i4>0</vt:i4>
      </vt:variant>
      <vt:variant>
        <vt:i4>5</vt:i4>
      </vt:variant>
      <vt:variant>
        <vt:lpwstr/>
      </vt:variant>
      <vt:variant>
        <vt:lpwstr>Gap_2_2</vt:lpwstr>
      </vt:variant>
      <vt:variant>
        <vt:i4>6357030</vt:i4>
      </vt:variant>
      <vt:variant>
        <vt:i4>378</vt:i4>
      </vt:variant>
      <vt:variant>
        <vt:i4>0</vt:i4>
      </vt:variant>
      <vt:variant>
        <vt:i4>5</vt:i4>
      </vt:variant>
      <vt:variant>
        <vt:lpwstr/>
      </vt:variant>
      <vt:variant>
        <vt:lpwstr>Gap_1_1</vt:lpwstr>
      </vt:variant>
      <vt:variant>
        <vt:i4>2293826</vt:i4>
      </vt:variant>
      <vt:variant>
        <vt:i4>375</vt:i4>
      </vt:variant>
      <vt:variant>
        <vt:i4>0</vt:i4>
      </vt:variant>
      <vt:variant>
        <vt:i4>5</vt:i4>
      </vt:variant>
      <vt:variant>
        <vt:lpwstr/>
      </vt:variant>
      <vt:variant>
        <vt:lpwstr>_7.3.1_Proof_of</vt:lpwstr>
      </vt:variant>
      <vt:variant>
        <vt:i4>5374067</vt:i4>
      </vt:variant>
      <vt:variant>
        <vt:i4>372</vt:i4>
      </vt:variant>
      <vt:variant>
        <vt:i4>0</vt:i4>
      </vt:variant>
      <vt:variant>
        <vt:i4>5</vt:i4>
      </vt:variant>
      <vt:variant>
        <vt:lpwstr/>
      </vt:variant>
      <vt:variant>
        <vt:lpwstr>Table_3</vt:lpwstr>
      </vt:variant>
      <vt:variant>
        <vt:i4>2490422</vt:i4>
      </vt:variant>
      <vt:variant>
        <vt:i4>369</vt:i4>
      </vt:variant>
      <vt:variant>
        <vt:i4>0</vt:i4>
      </vt:variant>
      <vt:variant>
        <vt:i4>5</vt:i4>
      </vt:variant>
      <vt:variant>
        <vt:lpwstr>https://sherlock.epic.com/default.aspx?view=checklist/create</vt:lpwstr>
      </vt:variant>
      <vt:variant>
        <vt:lpwstr>id=1904</vt:lpwstr>
      </vt:variant>
      <vt:variant>
        <vt:i4>2293826</vt:i4>
      </vt:variant>
      <vt:variant>
        <vt:i4>363</vt:i4>
      </vt:variant>
      <vt:variant>
        <vt:i4>0</vt:i4>
      </vt:variant>
      <vt:variant>
        <vt:i4>5</vt:i4>
      </vt:variant>
      <vt:variant>
        <vt:lpwstr/>
      </vt:variant>
      <vt:variant>
        <vt:lpwstr>_7.3.1_Proof_of</vt:lpwstr>
      </vt:variant>
      <vt:variant>
        <vt:i4>5374067</vt:i4>
      </vt:variant>
      <vt:variant>
        <vt:i4>360</vt:i4>
      </vt:variant>
      <vt:variant>
        <vt:i4>0</vt:i4>
      </vt:variant>
      <vt:variant>
        <vt:i4>5</vt:i4>
      </vt:variant>
      <vt:variant>
        <vt:lpwstr/>
      </vt:variant>
      <vt:variant>
        <vt:lpwstr>Table_2</vt:lpwstr>
      </vt:variant>
      <vt:variant>
        <vt:i4>655478</vt:i4>
      </vt:variant>
      <vt:variant>
        <vt:i4>357</vt:i4>
      </vt:variant>
      <vt:variant>
        <vt:i4>0</vt:i4>
      </vt:variant>
      <vt:variant>
        <vt:i4>5</vt:i4>
      </vt:variant>
      <vt:variant>
        <vt:lpwstr/>
      </vt:variant>
      <vt:variant>
        <vt:lpwstr>_8.3.1.1_Environment_Development</vt:lpwstr>
      </vt:variant>
      <vt:variant>
        <vt:i4>131164</vt:i4>
      </vt:variant>
      <vt:variant>
        <vt:i4>354</vt:i4>
      </vt:variant>
      <vt:variant>
        <vt:i4>0</vt:i4>
      </vt:variant>
      <vt:variant>
        <vt:i4>5</vt:i4>
      </vt:variant>
      <vt:variant>
        <vt:lpwstr>https://capfdaapis.cap.org/data-load/fda-shield/compendium-report</vt:lpwstr>
      </vt:variant>
      <vt:variant>
        <vt:lpwstr/>
      </vt:variant>
      <vt:variant>
        <vt:i4>6225990</vt:i4>
      </vt:variant>
      <vt:variant>
        <vt:i4>351</vt:i4>
      </vt:variant>
      <vt:variant>
        <vt:i4>0</vt:i4>
      </vt:variant>
      <vt:variant>
        <vt:i4>5</vt:i4>
      </vt:variant>
      <vt:variant>
        <vt:lpwstr>https://capfdaapis.cap.org/data-load/fda-shield/pt-direct-trasmission</vt:lpwstr>
      </vt:variant>
      <vt:variant>
        <vt:lpwstr/>
      </vt:variant>
      <vt:variant>
        <vt:i4>5374067</vt:i4>
      </vt:variant>
      <vt:variant>
        <vt:i4>348</vt:i4>
      </vt:variant>
      <vt:variant>
        <vt:i4>0</vt:i4>
      </vt:variant>
      <vt:variant>
        <vt:i4>5</vt:i4>
      </vt:variant>
      <vt:variant>
        <vt:lpwstr/>
      </vt:variant>
      <vt:variant>
        <vt:lpwstr>Table_2</vt:lpwstr>
      </vt:variant>
      <vt:variant>
        <vt:i4>5374067</vt:i4>
      </vt:variant>
      <vt:variant>
        <vt:i4>345</vt:i4>
      </vt:variant>
      <vt:variant>
        <vt:i4>0</vt:i4>
      </vt:variant>
      <vt:variant>
        <vt:i4>5</vt:i4>
      </vt:variant>
      <vt:variant>
        <vt:lpwstr/>
      </vt:variant>
      <vt:variant>
        <vt:lpwstr>Table_3</vt:lpwstr>
      </vt:variant>
      <vt:variant>
        <vt:i4>327798</vt:i4>
      </vt:variant>
      <vt:variant>
        <vt:i4>342</vt:i4>
      </vt:variant>
      <vt:variant>
        <vt:i4>0</vt:i4>
      </vt:variant>
      <vt:variant>
        <vt:i4>5</vt:i4>
      </vt:variant>
      <vt:variant>
        <vt:lpwstr/>
      </vt:variant>
      <vt:variant>
        <vt:lpwstr>_7.3.1.1_Environment_Development</vt:lpwstr>
      </vt:variant>
      <vt:variant>
        <vt:i4>3473432</vt:i4>
      </vt:variant>
      <vt:variant>
        <vt:i4>339</vt:i4>
      </vt:variant>
      <vt:variant>
        <vt:i4>0</vt:i4>
      </vt:variant>
      <vt:variant>
        <vt:i4>5</vt:i4>
      </vt:variant>
      <vt:variant>
        <vt:lpwstr>https://www.ihe.net/ihe_domains/ihe_pathology_and_laboratory_medicine/</vt:lpwstr>
      </vt:variant>
      <vt:variant>
        <vt:lpwstr/>
      </vt:variant>
      <vt:variant>
        <vt:i4>2490422</vt:i4>
      </vt:variant>
      <vt:variant>
        <vt:i4>336</vt:i4>
      </vt:variant>
      <vt:variant>
        <vt:i4>0</vt:i4>
      </vt:variant>
      <vt:variant>
        <vt:i4>5</vt:i4>
      </vt:variant>
      <vt:variant>
        <vt:lpwstr>https://sherlock.epic.com/default.aspx?view=checklist/create</vt:lpwstr>
      </vt:variant>
      <vt:variant>
        <vt:lpwstr>id=1904</vt:lpwstr>
      </vt:variant>
      <vt:variant>
        <vt:i4>5374067</vt:i4>
      </vt:variant>
      <vt:variant>
        <vt:i4>333</vt:i4>
      </vt:variant>
      <vt:variant>
        <vt:i4>0</vt:i4>
      </vt:variant>
      <vt:variant>
        <vt:i4>5</vt:i4>
      </vt:variant>
      <vt:variant>
        <vt:lpwstr/>
      </vt:variant>
      <vt:variant>
        <vt:lpwstr>Table_2</vt:lpwstr>
      </vt:variant>
      <vt:variant>
        <vt:i4>1376309</vt:i4>
      </vt:variant>
      <vt:variant>
        <vt:i4>326</vt:i4>
      </vt:variant>
      <vt:variant>
        <vt:i4>0</vt:i4>
      </vt:variant>
      <vt:variant>
        <vt:i4>5</vt:i4>
      </vt:variant>
      <vt:variant>
        <vt:lpwstr/>
      </vt:variant>
      <vt:variant>
        <vt:lpwstr>_Toc177137032</vt:lpwstr>
      </vt:variant>
      <vt:variant>
        <vt:i4>1376309</vt:i4>
      </vt:variant>
      <vt:variant>
        <vt:i4>320</vt:i4>
      </vt:variant>
      <vt:variant>
        <vt:i4>0</vt:i4>
      </vt:variant>
      <vt:variant>
        <vt:i4>5</vt:i4>
      </vt:variant>
      <vt:variant>
        <vt:lpwstr/>
      </vt:variant>
      <vt:variant>
        <vt:lpwstr>_Toc177137031</vt:lpwstr>
      </vt:variant>
      <vt:variant>
        <vt:i4>1376309</vt:i4>
      </vt:variant>
      <vt:variant>
        <vt:i4>314</vt:i4>
      </vt:variant>
      <vt:variant>
        <vt:i4>0</vt:i4>
      </vt:variant>
      <vt:variant>
        <vt:i4>5</vt:i4>
      </vt:variant>
      <vt:variant>
        <vt:lpwstr/>
      </vt:variant>
      <vt:variant>
        <vt:lpwstr>_Toc177137030</vt:lpwstr>
      </vt:variant>
      <vt:variant>
        <vt:i4>1310773</vt:i4>
      </vt:variant>
      <vt:variant>
        <vt:i4>308</vt:i4>
      </vt:variant>
      <vt:variant>
        <vt:i4>0</vt:i4>
      </vt:variant>
      <vt:variant>
        <vt:i4>5</vt:i4>
      </vt:variant>
      <vt:variant>
        <vt:lpwstr/>
      </vt:variant>
      <vt:variant>
        <vt:lpwstr>_Toc177137029</vt:lpwstr>
      </vt:variant>
      <vt:variant>
        <vt:i4>1310773</vt:i4>
      </vt:variant>
      <vt:variant>
        <vt:i4>302</vt:i4>
      </vt:variant>
      <vt:variant>
        <vt:i4>0</vt:i4>
      </vt:variant>
      <vt:variant>
        <vt:i4>5</vt:i4>
      </vt:variant>
      <vt:variant>
        <vt:lpwstr/>
      </vt:variant>
      <vt:variant>
        <vt:lpwstr>_Toc177137028</vt:lpwstr>
      </vt:variant>
      <vt:variant>
        <vt:i4>1310773</vt:i4>
      </vt:variant>
      <vt:variant>
        <vt:i4>296</vt:i4>
      </vt:variant>
      <vt:variant>
        <vt:i4>0</vt:i4>
      </vt:variant>
      <vt:variant>
        <vt:i4>5</vt:i4>
      </vt:variant>
      <vt:variant>
        <vt:lpwstr/>
      </vt:variant>
      <vt:variant>
        <vt:lpwstr>_Toc177137027</vt:lpwstr>
      </vt:variant>
      <vt:variant>
        <vt:i4>1310773</vt:i4>
      </vt:variant>
      <vt:variant>
        <vt:i4>290</vt:i4>
      </vt:variant>
      <vt:variant>
        <vt:i4>0</vt:i4>
      </vt:variant>
      <vt:variant>
        <vt:i4>5</vt:i4>
      </vt:variant>
      <vt:variant>
        <vt:lpwstr/>
      </vt:variant>
      <vt:variant>
        <vt:lpwstr>_Toc177137026</vt:lpwstr>
      </vt:variant>
      <vt:variant>
        <vt:i4>1310773</vt:i4>
      </vt:variant>
      <vt:variant>
        <vt:i4>284</vt:i4>
      </vt:variant>
      <vt:variant>
        <vt:i4>0</vt:i4>
      </vt:variant>
      <vt:variant>
        <vt:i4>5</vt:i4>
      </vt:variant>
      <vt:variant>
        <vt:lpwstr/>
      </vt:variant>
      <vt:variant>
        <vt:lpwstr>_Toc177137025</vt:lpwstr>
      </vt:variant>
      <vt:variant>
        <vt:i4>1310773</vt:i4>
      </vt:variant>
      <vt:variant>
        <vt:i4>278</vt:i4>
      </vt:variant>
      <vt:variant>
        <vt:i4>0</vt:i4>
      </vt:variant>
      <vt:variant>
        <vt:i4>5</vt:i4>
      </vt:variant>
      <vt:variant>
        <vt:lpwstr/>
      </vt:variant>
      <vt:variant>
        <vt:lpwstr>_Toc177137024</vt:lpwstr>
      </vt:variant>
      <vt:variant>
        <vt:i4>1310773</vt:i4>
      </vt:variant>
      <vt:variant>
        <vt:i4>272</vt:i4>
      </vt:variant>
      <vt:variant>
        <vt:i4>0</vt:i4>
      </vt:variant>
      <vt:variant>
        <vt:i4>5</vt:i4>
      </vt:variant>
      <vt:variant>
        <vt:lpwstr/>
      </vt:variant>
      <vt:variant>
        <vt:lpwstr>_Toc177137023</vt:lpwstr>
      </vt:variant>
      <vt:variant>
        <vt:i4>1310773</vt:i4>
      </vt:variant>
      <vt:variant>
        <vt:i4>266</vt:i4>
      </vt:variant>
      <vt:variant>
        <vt:i4>0</vt:i4>
      </vt:variant>
      <vt:variant>
        <vt:i4>5</vt:i4>
      </vt:variant>
      <vt:variant>
        <vt:lpwstr/>
      </vt:variant>
      <vt:variant>
        <vt:lpwstr>_Toc177137022</vt:lpwstr>
      </vt:variant>
      <vt:variant>
        <vt:i4>1310773</vt:i4>
      </vt:variant>
      <vt:variant>
        <vt:i4>260</vt:i4>
      </vt:variant>
      <vt:variant>
        <vt:i4>0</vt:i4>
      </vt:variant>
      <vt:variant>
        <vt:i4>5</vt:i4>
      </vt:variant>
      <vt:variant>
        <vt:lpwstr/>
      </vt:variant>
      <vt:variant>
        <vt:lpwstr>_Toc177137021</vt:lpwstr>
      </vt:variant>
      <vt:variant>
        <vt:i4>1310773</vt:i4>
      </vt:variant>
      <vt:variant>
        <vt:i4>254</vt:i4>
      </vt:variant>
      <vt:variant>
        <vt:i4>0</vt:i4>
      </vt:variant>
      <vt:variant>
        <vt:i4>5</vt:i4>
      </vt:variant>
      <vt:variant>
        <vt:lpwstr/>
      </vt:variant>
      <vt:variant>
        <vt:lpwstr>_Toc177137020</vt:lpwstr>
      </vt:variant>
      <vt:variant>
        <vt:i4>1507381</vt:i4>
      </vt:variant>
      <vt:variant>
        <vt:i4>248</vt:i4>
      </vt:variant>
      <vt:variant>
        <vt:i4>0</vt:i4>
      </vt:variant>
      <vt:variant>
        <vt:i4>5</vt:i4>
      </vt:variant>
      <vt:variant>
        <vt:lpwstr/>
      </vt:variant>
      <vt:variant>
        <vt:lpwstr>_Toc177137019</vt:lpwstr>
      </vt:variant>
      <vt:variant>
        <vt:i4>1507381</vt:i4>
      </vt:variant>
      <vt:variant>
        <vt:i4>242</vt:i4>
      </vt:variant>
      <vt:variant>
        <vt:i4>0</vt:i4>
      </vt:variant>
      <vt:variant>
        <vt:i4>5</vt:i4>
      </vt:variant>
      <vt:variant>
        <vt:lpwstr/>
      </vt:variant>
      <vt:variant>
        <vt:lpwstr>_Toc177137018</vt:lpwstr>
      </vt:variant>
      <vt:variant>
        <vt:i4>1507381</vt:i4>
      </vt:variant>
      <vt:variant>
        <vt:i4>236</vt:i4>
      </vt:variant>
      <vt:variant>
        <vt:i4>0</vt:i4>
      </vt:variant>
      <vt:variant>
        <vt:i4>5</vt:i4>
      </vt:variant>
      <vt:variant>
        <vt:lpwstr/>
      </vt:variant>
      <vt:variant>
        <vt:lpwstr>_Toc177137017</vt:lpwstr>
      </vt:variant>
      <vt:variant>
        <vt:i4>1507381</vt:i4>
      </vt:variant>
      <vt:variant>
        <vt:i4>230</vt:i4>
      </vt:variant>
      <vt:variant>
        <vt:i4>0</vt:i4>
      </vt:variant>
      <vt:variant>
        <vt:i4>5</vt:i4>
      </vt:variant>
      <vt:variant>
        <vt:lpwstr/>
      </vt:variant>
      <vt:variant>
        <vt:lpwstr>_Toc177137016</vt:lpwstr>
      </vt:variant>
      <vt:variant>
        <vt:i4>1507381</vt:i4>
      </vt:variant>
      <vt:variant>
        <vt:i4>224</vt:i4>
      </vt:variant>
      <vt:variant>
        <vt:i4>0</vt:i4>
      </vt:variant>
      <vt:variant>
        <vt:i4>5</vt:i4>
      </vt:variant>
      <vt:variant>
        <vt:lpwstr/>
      </vt:variant>
      <vt:variant>
        <vt:lpwstr>_Toc177137015</vt:lpwstr>
      </vt:variant>
      <vt:variant>
        <vt:i4>1507381</vt:i4>
      </vt:variant>
      <vt:variant>
        <vt:i4>218</vt:i4>
      </vt:variant>
      <vt:variant>
        <vt:i4>0</vt:i4>
      </vt:variant>
      <vt:variant>
        <vt:i4>5</vt:i4>
      </vt:variant>
      <vt:variant>
        <vt:lpwstr/>
      </vt:variant>
      <vt:variant>
        <vt:lpwstr>_Toc177137014</vt:lpwstr>
      </vt:variant>
      <vt:variant>
        <vt:i4>1507381</vt:i4>
      </vt:variant>
      <vt:variant>
        <vt:i4>212</vt:i4>
      </vt:variant>
      <vt:variant>
        <vt:i4>0</vt:i4>
      </vt:variant>
      <vt:variant>
        <vt:i4>5</vt:i4>
      </vt:variant>
      <vt:variant>
        <vt:lpwstr/>
      </vt:variant>
      <vt:variant>
        <vt:lpwstr>_Toc177137013</vt:lpwstr>
      </vt:variant>
      <vt:variant>
        <vt:i4>1507381</vt:i4>
      </vt:variant>
      <vt:variant>
        <vt:i4>206</vt:i4>
      </vt:variant>
      <vt:variant>
        <vt:i4>0</vt:i4>
      </vt:variant>
      <vt:variant>
        <vt:i4>5</vt:i4>
      </vt:variant>
      <vt:variant>
        <vt:lpwstr/>
      </vt:variant>
      <vt:variant>
        <vt:lpwstr>_Toc177137012</vt:lpwstr>
      </vt:variant>
      <vt:variant>
        <vt:i4>1507381</vt:i4>
      </vt:variant>
      <vt:variant>
        <vt:i4>200</vt:i4>
      </vt:variant>
      <vt:variant>
        <vt:i4>0</vt:i4>
      </vt:variant>
      <vt:variant>
        <vt:i4>5</vt:i4>
      </vt:variant>
      <vt:variant>
        <vt:lpwstr/>
      </vt:variant>
      <vt:variant>
        <vt:lpwstr>_Toc177137011</vt:lpwstr>
      </vt:variant>
      <vt:variant>
        <vt:i4>1507381</vt:i4>
      </vt:variant>
      <vt:variant>
        <vt:i4>194</vt:i4>
      </vt:variant>
      <vt:variant>
        <vt:i4>0</vt:i4>
      </vt:variant>
      <vt:variant>
        <vt:i4>5</vt:i4>
      </vt:variant>
      <vt:variant>
        <vt:lpwstr/>
      </vt:variant>
      <vt:variant>
        <vt:lpwstr>_Toc177137010</vt:lpwstr>
      </vt:variant>
      <vt:variant>
        <vt:i4>1441845</vt:i4>
      </vt:variant>
      <vt:variant>
        <vt:i4>188</vt:i4>
      </vt:variant>
      <vt:variant>
        <vt:i4>0</vt:i4>
      </vt:variant>
      <vt:variant>
        <vt:i4>5</vt:i4>
      </vt:variant>
      <vt:variant>
        <vt:lpwstr/>
      </vt:variant>
      <vt:variant>
        <vt:lpwstr>_Toc177137009</vt:lpwstr>
      </vt:variant>
      <vt:variant>
        <vt:i4>1441845</vt:i4>
      </vt:variant>
      <vt:variant>
        <vt:i4>182</vt:i4>
      </vt:variant>
      <vt:variant>
        <vt:i4>0</vt:i4>
      </vt:variant>
      <vt:variant>
        <vt:i4>5</vt:i4>
      </vt:variant>
      <vt:variant>
        <vt:lpwstr/>
      </vt:variant>
      <vt:variant>
        <vt:lpwstr>_Toc177137008</vt:lpwstr>
      </vt:variant>
      <vt:variant>
        <vt:i4>1441845</vt:i4>
      </vt:variant>
      <vt:variant>
        <vt:i4>176</vt:i4>
      </vt:variant>
      <vt:variant>
        <vt:i4>0</vt:i4>
      </vt:variant>
      <vt:variant>
        <vt:i4>5</vt:i4>
      </vt:variant>
      <vt:variant>
        <vt:lpwstr/>
      </vt:variant>
      <vt:variant>
        <vt:lpwstr>_Toc177137007</vt:lpwstr>
      </vt:variant>
      <vt:variant>
        <vt:i4>1441845</vt:i4>
      </vt:variant>
      <vt:variant>
        <vt:i4>170</vt:i4>
      </vt:variant>
      <vt:variant>
        <vt:i4>0</vt:i4>
      </vt:variant>
      <vt:variant>
        <vt:i4>5</vt:i4>
      </vt:variant>
      <vt:variant>
        <vt:lpwstr/>
      </vt:variant>
      <vt:variant>
        <vt:lpwstr>_Toc177137006</vt:lpwstr>
      </vt:variant>
      <vt:variant>
        <vt:i4>1441845</vt:i4>
      </vt:variant>
      <vt:variant>
        <vt:i4>164</vt:i4>
      </vt:variant>
      <vt:variant>
        <vt:i4>0</vt:i4>
      </vt:variant>
      <vt:variant>
        <vt:i4>5</vt:i4>
      </vt:variant>
      <vt:variant>
        <vt:lpwstr/>
      </vt:variant>
      <vt:variant>
        <vt:lpwstr>_Toc177137005</vt:lpwstr>
      </vt:variant>
      <vt:variant>
        <vt:i4>1441845</vt:i4>
      </vt:variant>
      <vt:variant>
        <vt:i4>158</vt:i4>
      </vt:variant>
      <vt:variant>
        <vt:i4>0</vt:i4>
      </vt:variant>
      <vt:variant>
        <vt:i4>5</vt:i4>
      </vt:variant>
      <vt:variant>
        <vt:lpwstr/>
      </vt:variant>
      <vt:variant>
        <vt:lpwstr>_Toc177137004</vt:lpwstr>
      </vt:variant>
      <vt:variant>
        <vt:i4>1441845</vt:i4>
      </vt:variant>
      <vt:variant>
        <vt:i4>152</vt:i4>
      </vt:variant>
      <vt:variant>
        <vt:i4>0</vt:i4>
      </vt:variant>
      <vt:variant>
        <vt:i4>5</vt:i4>
      </vt:variant>
      <vt:variant>
        <vt:lpwstr/>
      </vt:variant>
      <vt:variant>
        <vt:lpwstr>_Toc177137003</vt:lpwstr>
      </vt:variant>
      <vt:variant>
        <vt:i4>1441845</vt:i4>
      </vt:variant>
      <vt:variant>
        <vt:i4>146</vt:i4>
      </vt:variant>
      <vt:variant>
        <vt:i4>0</vt:i4>
      </vt:variant>
      <vt:variant>
        <vt:i4>5</vt:i4>
      </vt:variant>
      <vt:variant>
        <vt:lpwstr/>
      </vt:variant>
      <vt:variant>
        <vt:lpwstr>_Toc177137002</vt:lpwstr>
      </vt:variant>
      <vt:variant>
        <vt:i4>1441845</vt:i4>
      </vt:variant>
      <vt:variant>
        <vt:i4>140</vt:i4>
      </vt:variant>
      <vt:variant>
        <vt:i4>0</vt:i4>
      </vt:variant>
      <vt:variant>
        <vt:i4>5</vt:i4>
      </vt:variant>
      <vt:variant>
        <vt:lpwstr/>
      </vt:variant>
      <vt:variant>
        <vt:lpwstr>_Toc177137001</vt:lpwstr>
      </vt:variant>
      <vt:variant>
        <vt:i4>1441845</vt:i4>
      </vt:variant>
      <vt:variant>
        <vt:i4>134</vt:i4>
      </vt:variant>
      <vt:variant>
        <vt:i4>0</vt:i4>
      </vt:variant>
      <vt:variant>
        <vt:i4>5</vt:i4>
      </vt:variant>
      <vt:variant>
        <vt:lpwstr/>
      </vt:variant>
      <vt:variant>
        <vt:lpwstr>_Toc177137000</vt:lpwstr>
      </vt:variant>
      <vt:variant>
        <vt:i4>1966140</vt:i4>
      </vt:variant>
      <vt:variant>
        <vt:i4>128</vt:i4>
      </vt:variant>
      <vt:variant>
        <vt:i4>0</vt:i4>
      </vt:variant>
      <vt:variant>
        <vt:i4>5</vt:i4>
      </vt:variant>
      <vt:variant>
        <vt:lpwstr/>
      </vt:variant>
      <vt:variant>
        <vt:lpwstr>_Toc177136999</vt:lpwstr>
      </vt:variant>
      <vt:variant>
        <vt:i4>1966140</vt:i4>
      </vt:variant>
      <vt:variant>
        <vt:i4>122</vt:i4>
      </vt:variant>
      <vt:variant>
        <vt:i4>0</vt:i4>
      </vt:variant>
      <vt:variant>
        <vt:i4>5</vt:i4>
      </vt:variant>
      <vt:variant>
        <vt:lpwstr/>
      </vt:variant>
      <vt:variant>
        <vt:lpwstr>_Toc177136998</vt:lpwstr>
      </vt:variant>
      <vt:variant>
        <vt:i4>1966140</vt:i4>
      </vt:variant>
      <vt:variant>
        <vt:i4>116</vt:i4>
      </vt:variant>
      <vt:variant>
        <vt:i4>0</vt:i4>
      </vt:variant>
      <vt:variant>
        <vt:i4>5</vt:i4>
      </vt:variant>
      <vt:variant>
        <vt:lpwstr/>
      </vt:variant>
      <vt:variant>
        <vt:lpwstr>_Toc177136997</vt:lpwstr>
      </vt:variant>
      <vt:variant>
        <vt:i4>1966140</vt:i4>
      </vt:variant>
      <vt:variant>
        <vt:i4>110</vt:i4>
      </vt:variant>
      <vt:variant>
        <vt:i4>0</vt:i4>
      </vt:variant>
      <vt:variant>
        <vt:i4>5</vt:i4>
      </vt:variant>
      <vt:variant>
        <vt:lpwstr/>
      </vt:variant>
      <vt:variant>
        <vt:lpwstr>_Toc177136996</vt:lpwstr>
      </vt:variant>
      <vt:variant>
        <vt:i4>1966140</vt:i4>
      </vt:variant>
      <vt:variant>
        <vt:i4>104</vt:i4>
      </vt:variant>
      <vt:variant>
        <vt:i4>0</vt:i4>
      </vt:variant>
      <vt:variant>
        <vt:i4>5</vt:i4>
      </vt:variant>
      <vt:variant>
        <vt:lpwstr/>
      </vt:variant>
      <vt:variant>
        <vt:lpwstr>_Toc177136995</vt:lpwstr>
      </vt:variant>
      <vt:variant>
        <vt:i4>1966140</vt:i4>
      </vt:variant>
      <vt:variant>
        <vt:i4>98</vt:i4>
      </vt:variant>
      <vt:variant>
        <vt:i4>0</vt:i4>
      </vt:variant>
      <vt:variant>
        <vt:i4>5</vt:i4>
      </vt:variant>
      <vt:variant>
        <vt:lpwstr/>
      </vt:variant>
      <vt:variant>
        <vt:lpwstr>_Toc177136994</vt:lpwstr>
      </vt:variant>
      <vt:variant>
        <vt:i4>1966140</vt:i4>
      </vt:variant>
      <vt:variant>
        <vt:i4>92</vt:i4>
      </vt:variant>
      <vt:variant>
        <vt:i4>0</vt:i4>
      </vt:variant>
      <vt:variant>
        <vt:i4>5</vt:i4>
      </vt:variant>
      <vt:variant>
        <vt:lpwstr/>
      </vt:variant>
      <vt:variant>
        <vt:lpwstr>_Toc177136993</vt:lpwstr>
      </vt:variant>
      <vt:variant>
        <vt:i4>1966140</vt:i4>
      </vt:variant>
      <vt:variant>
        <vt:i4>86</vt:i4>
      </vt:variant>
      <vt:variant>
        <vt:i4>0</vt:i4>
      </vt:variant>
      <vt:variant>
        <vt:i4>5</vt:i4>
      </vt:variant>
      <vt:variant>
        <vt:lpwstr/>
      </vt:variant>
      <vt:variant>
        <vt:lpwstr>_Toc177136992</vt:lpwstr>
      </vt:variant>
      <vt:variant>
        <vt:i4>1966140</vt:i4>
      </vt:variant>
      <vt:variant>
        <vt:i4>80</vt:i4>
      </vt:variant>
      <vt:variant>
        <vt:i4>0</vt:i4>
      </vt:variant>
      <vt:variant>
        <vt:i4>5</vt:i4>
      </vt:variant>
      <vt:variant>
        <vt:lpwstr/>
      </vt:variant>
      <vt:variant>
        <vt:lpwstr>_Toc177136991</vt:lpwstr>
      </vt:variant>
      <vt:variant>
        <vt:i4>1966140</vt:i4>
      </vt:variant>
      <vt:variant>
        <vt:i4>74</vt:i4>
      </vt:variant>
      <vt:variant>
        <vt:i4>0</vt:i4>
      </vt:variant>
      <vt:variant>
        <vt:i4>5</vt:i4>
      </vt:variant>
      <vt:variant>
        <vt:lpwstr/>
      </vt:variant>
      <vt:variant>
        <vt:lpwstr>_Toc177136990</vt:lpwstr>
      </vt:variant>
      <vt:variant>
        <vt:i4>2031676</vt:i4>
      </vt:variant>
      <vt:variant>
        <vt:i4>68</vt:i4>
      </vt:variant>
      <vt:variant>
        <vt:i4>0</vt:i4>
      </vt:variant>
      <vt:variant>
        <vt:i4>5</vt:i4>
      </vt:variant>
      <vt:variant>
        <vt:lpwstr/>
      </vt:variant>
      <vt:variant>
        <vt:lpwstr>_Toc177136989</vt:lpwstr>
      </vt:variant>
      <vt:variant>
        <vt:i4>2031676</vt:i4>
      </vt:variant>
      <vt:variant>
        <vt:i4>62</vt:i4>
      </vt:variant>
      <vt:variant>
        <vt:i4>0</vt:i4>
      </vt:variant>
      <vt:variant>
        <vt:i4>5</vt:i4>
      </vt:variant>
      <vt:variant>
        <vt:lpwstr/>
      </vt:variant>
      <vt:variant>
        <vt:lpwstr>_Toc177136988</vt:lpwstr>
      </vt:variant>
      <vt:variant>
        <vt:i4>2031676</vt:i4>
      </vt:variant>
      <vt:variant>
        <vt:i4>56</vt:i4>
      </vt:variant>
      <vt:variant>
        <vt:i4>0</vt:i4>
      </vt:variant>
      <vt:variant>
        <vt:i4>5</vt:i4>
      </vt:variant>
      <vt:variant>
        <vt:lpwstr/>
      </vt:variant>
      <vt:variant>
        <vt:lpwstr>_Toc177136987</vt:lpwstr>
      </vt:variant>
      <vt:variant>
        <vt:i4>2031676</vt:i4>
      </vt:variant>
      <vt:variant>
        <vt:i4>50</vt:i4>
      </vt:variant>
      <vt:variant>
        <vt:i4>0</vt:i4>
      </vt:variant>
      <vt:variant>
        <vt:i4>5</vt:i4>
      </vt:variant>
      <vt:variant>
        <vt:lpwstr/>
      </vt:variant>
      <vt:variant>
        <vt:lpwstr>_Toc177136986</vt:lpwstr>
      </vt:variant>
      <vt:variant>
        <vt:i4>2031676</vt:i4>
      </vt:variant>
      <vt:variant>
        <vt:i4>44</vt:i4>
      </vt:variant>
      <vt:variant>
        <vt:i4>0</vt:i4>
      </vt:variant>
      <vt:variant>
        <vt:i4>5</vt:i4>
      </vt:variant>
      <vt:variant>
        <vt:lpwstr/>
      </vt:variant>
      <vt:variant>
        <vt:lpwstr>_Toc177136985</vt:lpwstr>
      </vt:variant>
      <vt:variant>
        <vt:i4>2031676</vt:i4>
      </vt:variant>
      <vt:variant>
        <vt:i4>38</vt:i4>
      </vt:variant>
      <vt:variant>
        <vt:i4>0</vt:i4>
      </vt:variant>
      <vt:variant>
        <vt:i4>5</vt:i4>
      </vt:variant>
      <vt:variant>
        <vt:lpwstr/>
      </vt:variant>
      <vt:variant>
        <vt:lpwstr>_Toc177136984</vt:lpwstr>
      </vt:variant>
      <vt:variant>
        <vt:i4>2031676</vt:i4>
      </vt:variant>
      <vt:variant>
        <vt:i4>32</vt:i4>
      </vt:variant>
      <vt:variant>
        <vt:i4>0</vt:i4>
      </vt:variant>
      <vt:variant>
        <vt:i4>5</vt:i4>
      </vt:variant>
      <vt:variant>
        <vt:lpwstr/>
      </vt:variant>
      <vt:variant>
        <vt:lpwstr>_Toc177136983</vt:lpwstr>
      </vt:variant>
      <vt:variant>
        <vt:i4>2031676</vt:i4>
      </vt:variant>
      <vt:variant>
        <vt:i4>26</vt:i4>
      </vt:variant>
      <vt:variant>
        <vt:i4>0</vt:i4>
      </vt:variant>
      <vt:variant>
        <vt:i4>5</vt:i4>
      </vt:variant>
      <vt:variant>
        <vt:lpwstr/>
      </vt:variant>
      <vt:variant>
        <vt:lpwstr>_Toc177136982</vt:lpwstr>
      </vt:variant>
      <vt:variant>
        <vt:i4>2031676</vt:i4>
      </vt:variant>
      <vt:variant>
        <vt:i4>20</vt:i4>
      </vt:variant>
      <vt:variant>
        <vt:i4>0</vt:i4>
      </vt:variant>
      <vt:variant>
        <vt:i4>5</vt:i4>
      </vt:variant>
      <vt:variant>
        <vt:lpwstr/>
      </vt:variant>
      <vt:variant>
        <vt:lpwstr>_Toc177136981</vt:lpwstr>
      </vt:variant>
      <vt:variant>
        <vt:i4>2031676</vt:i4>
      </vt:variant>
      <vt:variant>
        <vt:i4>14</vt:i4>
      </vt:variant>
      <vt:variant>
        <vt:i4>0</vt:i4>
      </vt:variant>
      <vt:variant>
        <vt:i4>5</vt:i4>
      </vt:variant>
      <vt:variant>
        <vt:lpwstr/>
      </vt:variant>
      <vt:variant>
        <vt:lpwstr>_Toc177136980</vt:lpwstr>
      </vt:variant>
      <vt:variant>
        <vt:i4>1048636</vt:i4>
      </vt:variant>
      <vt:variant>
        <vt:i4>8</vt:i4>
      </vt:variant>
      <vt:variant>
        <vt:i4>0</vt:i4>
      </vt:variant>
      <vt:variant>
        <vt:i4>5</vt:i4>
      </vt:variant>
      <vt:variant>
        <vt:lpwstr/>
      </vt:variant>
      <vt:variant>
        <vt:lpwstr>_Toc177136979</vt:lpwstr>
      </vt:variant>
      <vt:variant>
        <vt:i4>1048636</vt:i4>
      </vt:variant>
      <vt:variant>
        <vt:i4>2</vt:i4>
      </vt:variant>
      <vt:variant>
        <vt:i4>0</vt:i4>
      </vt:variant>
      <vt:variant>
        <vt:i4>5</vt:i4>
      </vt:variant>
      <vt:variant>
        <vt:lpwstr/>
      </vt:variant>
      <vt:variant>
        <vt:lpwstr>_Toc177136978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Natalia Arce (ns)</dc:creator>
  <cp:keywords/>
  <dc:description/>
  <cp:lastModifiedBy>Olivia Finks (ns)</cp:lastModifiedBy>
  <cp:revision>1497</cp:revision>
  <cp:lastPrinted>2024-09-26T16:00:00Z</cp:lastPrinted>
  <dcterms:created xsi:type="dcterms:W3CDTF">2024-06-04T16:10:00Z</dcterms:created>
  <dcterms:modified xsi:type="dcterms:W3CDTF">2024-09-26T16:00:00Z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0x0101002EC17F244CB9374DBAD4352F086818BB</vt:lpwstr>
  </property>
  <property fmtid="{D5CDD505-2E9C-101B-9397-08002B2CF9AE}" pid="3" name="MediaServiceImageTags">
    <vt:lpwstr/>
  </property>
</Properties>
</file>